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E4E" w:rsidRDefault="00F36E4E" w:rsidP="00F36E4E">
      <w:pPr>
        <w:spacing w:after="120"/>
        <w:jc w:val="right"/>
        <w:rPr>
          <w:rFonts w:ascii="Arial" w:hAnsi="Arial" w:cs="Arial"/>
          <w:b/>
          <w:sz w:val="26"/>
          <w:szCs w:val="26"/>
          <w:u w:val="single"/>
        </w:rPr>
      </w:pPr>
      <w:bookmarkStart w:id="0" w:name="_GoBack"/>
      <w:bookmarkEnd w:id="0"/>
      <w:r>
        <w:rPr>
          <w:rFonts w:ascii="Arial" w:hAnsi="Arial" w:cs="Arial"/>
          <w:b/>
          <w:sz w:val="26"/>
          <w:szCs w:val="26"/>
          <w:u w:val="single"/>
        </w:rPr>
        <w:t>ATTACHMENT 2</w:t>
      </w:r>
    </w:p>
    <w:p w:rsidR="00F36E4E" w:rsidRDefault="00F36E4E" w:rsidP="00F36E4E">
      <w:pPr>
        <w:spacing w:after="120"/>
        <w:rPr>
          <w:rFonts w:ascii="Arial" w:hAnsi="Arial" w:cs="Arial"/>
          <w:b/>
        </w:rPr>
      </w:pPr>
    </w:p>
    <w:p w:rsidR="00F36E4E" w:rsidRDefault="00F36E4E" w:rsidP="00F36E4E">
      <w:pPr>
        <w:spacing w:after="120"/>
        <w:rPr>
          <w:rFonts w:ascii="Arial" w:hAnsi="Arial" w:cs="Arial"/>
          <w:b/>
        </w:rPr>
      </w:pPr>
    </w:p>
    <w:p w:rsidR="003B358E" w:rsidRDefault="003B358E" w:rsidP="003B358E">
      <w:pPr>
        <w:spacing w:after="120"/>
        <w:rPr>
          <w:rFonts w:ascii="Arial" w:hAnsi="Arial" w:cs="Arial"/>
        </w:rPr>
      </w:pPr>
      <w:r>
        <w:rPr>
          <w:rFonts w:ascii="Arial" w:hAnsi="Arial" w:cs="Arial"/>
          <w:b/>
        </w:rPr>
        <w:t>SOUTH AUSTRALIA – FINAL REPORT AGAINST SUBACUTE CARE IMPLEMENTATION PLAN NATIONAL PARTNERSHIP AGREEMENT ON HOSPITAL AND HEALTH WORKFORCE REFORM – SCHEDULE C</w:t>
      </w:r>
    </w:p>
    <w:p w:rsidR="003B358E" w:rsidRDefault="003B358E" w:rsidP="003B358E">
      <w:pPr>
        <w:rPr>
          <w:rFonts w:ascii="Arial" w:hAnsi="Arial" w:cs="Arial"/>
          <w:sz w:val="20"/>
        </w:rPr>
      </w:pPr>
    </w:p>
    <w:p w:rsidR="003B358E" w:rsidRDefault="003B358E" w:rsidP="003B358E">
      <w:pPr>
        <w:rPr>
          <w:rFonts w:ascii="Arial" w:hAnsi="Arial" w:cs="Arial"/>
          <w:sz w:val="20"/>
        </w:rPr>
      </w:pPr>
    </w:p>
    <w:p w:rsidR="003B358E" w:rsidRPr="002307A5" w:rsidRDefault="003B358E" w:rsidP="003B358E">
      <w:pPr>
        <w:ind w:right="423"/>
        <w:rPr>
          <w:rFonts w:ascii="Arial" w:hAnsi="Arial" w:cs="Arial"/>
          <w:b/>
          <w:sz w:val="22"/>
          <w:szCs w:val="22"/>
        </w:rPr>
      </w:pPr>
      <w:r w:rsidRPr="002307A5">
        <w:rPr>
          <w:rFonts w:ascii="Arial" w:hAnsi="Arial" w:cs="Arial"/>
          <w:b/>
        </w:rPr>
        <w:t>1</w:t>
      </w:r>
      <w:r w:rsidRPr="002307A5">
        <w:rPr>
          <w:rFonts w:ascii="Arial" w:hAnsi="Arial" w:cs="Arial"/>
          <w:b/>
          <w:vertAlign w:val="superscript"/>
        </w:rPr>
        <w:t>st</w:t>
      </w:r>
      <w:r w:rsidRPr="002307A5">
        <w:rPr>
          <w:rFonts w:ascii="Arial" w:hAnsi="Arial" w:cs="Arial"/>
          <w:b/>
        </w:rPr>
        <w:t xml:space="preserve"> July 2012 – 30</w:t>
      </w:r>
      <w:r w:rsidRPr="002307A5">
        <w:rPr>
          <w:rFonts w:ascii="Arial" w:hAnsi="Arial" w:cs="Arial"/>
          <w:b/>
          <w:vertAlign w:val="superscript"/>
        </w:rPr>
        <w:t>th</w:t>
      </w:r>
      <w:r w:rsidRPr="002307A5">
        <w:rPr>
          <w:rFonts w:ascii="Arial" w:hAnsi="Arial" w:cs="Arial"/>
          <w:b/>
        </w:rPr>
        <w:t xml:space="preserve"> June 2013</w:t>
      </w:r>
    </w:p>
    <w:p w:rsidR="003B358E" w:rsidRDefault="003B358E" w:rsidP="003B358E">
      <w:pPr>
        <w:ind w:right="423"/>
        <w:rPr>
          <w:rFonts w:ascii="Arial" w:hAnsi="Arial" w:cs="Arial"/>
          <w:b/>
          <w:sz w:val="22"/>
          <w:szCs w:val="22"/>
        </w:rPr>
      </w:pPr>
    </w:p>
    <w:p w:rsidR="003B358E" w:rsidRDefault="003B358E" w:rsidP="003B358E">
      <w:pPr>
        <w:ind w:right="423"/>
        <w:rPr>
          <w:rFonts w:ascii="Arial" w:hAnsi="Arial" w:cs="Arial"/>
          <w:b/>
        </w:rPr>
      </w:pPr>
      <w:r>
        <w:rPr>
          <w:rFonts w:ascii="Arial" w:hAnsi="Arial" w:cs="Arial"/>
          <w:b/>
        </w:rPr>
        <w:t>Summary of Progress</w:t>
      </w:r>
    </w:p>
    <w:p w:rsidR="003B358E" w:rsidRDefault="003B358E" w:rsidP="003B358E">
      <w:pPr>
        <w:ind w:right="423"/>
        <w:rPr>
          <w:rFonts w:ascii="Arial" w:hAnsi="Arial" w:cs="Arial"/>
          <w:b/>
        </w:rPr>
      </w:pPr>
    </w:p>
    <w:p w:rsidR="003B358E" w:rsidRDefault="003B358E" w:rsidP="003B358E">
      <w:pPr>
        <w:spacing w:before="120" w:after="120"/>
        <w:rPr>
          <w:rFonts w:ascii="Arial" w:hAnsi="Arial" w:cs="Arial"/>
          <w:sz w:val="22"/>
          <w:szCs w:val="22"/>
        </w:rPr>
      </w:pPr>
      <w:r>
        <w:rPr>
          <w:rFonts w:ascii="Arial" w:hAnsi="Arial" w:cs="Arial"/>
          <w:sz w:val="22"/>
          <w:szCs w:val="22"/>
        </w:rPr>
        <w:t xml:space="preserve">South Australia’s </w:t>
      </w:r>
      <w:r w:rsidRPr="00AD3F37">
        <w:rPr>
          <w:rFonts w:ascii="Arial" w:hAnsi="Arial" w:cs="Arial"/>
          <w:sz w:val="22"/>
          <w:szCs w:val="22"/>
        </w:rPr>
        <w:t>fourth</w:t>
      </w:r>
      <w:r>
        <w:rPr>
          <w:rFonts w:ascii="Arial" w:hAnsi="Arial" w:cs="Arial"/>
          <w:sz w:val="22"/>
          <w:szCs w:val="22"/>
        </w:rPr>
        <w:t xml:space="preserve"> annual report on the expansion of subacute care documents service delivery initiatives that have enhanced the patient journey from initial access to individual outcomes. These COAG funded initiatives are working along-side reform activity already underway in South Australia, underpinned by three state wide service plans:</w:t>
      </w:r>
    </w:p>
    <w:p w:rsidR="003B358E" w:rsidRDefault="003B358E" w:rsidP="003B358E">
      <w:pPr>
        <w:numPr>
          <w:ilvl w:val="0"/>
          <w:numId w:val="1"/>
        </w:numPr>
        <w:ind w:left="0" w:firstLine="0"/>
        <w:rPr>
          <w:rFonts w:ascii="Arial" w:hAnsi="Arial" w:cs="Arial"/>
          <w:sz w:val="22"/>
          <w:szCs w:val="22"/>
        </w:rPr>
      </w:pPr>
      <w:r>
        <w:rPr>
          <w:rFonts w:ascii="Arial" w:hAnsi="Arial" w:cs="Arial"/>
          <w:sz w:val="22"/>
          <w:szCs w:val="22"/>
        </w:rPr>
        <w:t>Statewide Rehabilitation Service Plan 2009 - 2017</w:t>
      </w:r>
    </w:p>
    <w:p w:rsidR="003B358E" w:rsidRDefault="003B358E" w:rsidP="003B358E">
      <w:pPr>
        <w:numPr>
          <w:ilvl w:val="0"/>
          <w:numId w:val="1"/>
        </w:numPr>
        <w:ind w:left="0" w:firstLine="0"/>
        <w:rPr>
          <w:rFonts w:ascii="Arial" w:hAnsi="Arial" w:cs="Arial"/>
          <w:sz w:val="22"/>
          <w:szCs w:val="22"/>
        </w:rPr>
      </w:pPr>
      <w:r>
        <w:rPr>
          <w:rFonts w:ascii="Arial" w:hAnsi="Arial" w:cs="Arial"/>
          <w:sz w:val="22"/>
          <w:szCs w:val="22"/>
        </w:rPr>
        <w:t>Palliative Care Services Plan 2009 - 2016</w:t>
      </w:r>
    </w:p>
    <w:p w:rsidR="003B358E" w:rsidRDefault="003B358E" w:rsidP="003B358E">
      <w:pPr>
        <w:numPr>
          <w:ilvl w:val="0"/>
          <w:numId w:val="1"/>
        </w:numPr>
        <w:ind w:left="0" w:firstLine="0"/>
        <w:rPr>
          <w:rFonts w:ascii="Arial" w:hAnsi="Arial" w:cs="Arial"/>
          <w:sz w:val="22"/>
          <w:szCs w:val="22"/>
        </w:rPr>
      </w:pPr>
      <w:r>
        <w:rPr>
          <w:rFonts w:ascii="Arial" w:hAnsi="Arial" w:cs="Arial"/>
          <w:sz w:val="22"/>
          <w:szCs w:val="22"/>
        </w:rPr>
        <w:t>Health Service Framework for Older People 2009 – 2016.</w:t>
      </w:r>
    </w:p>
    <w:p w:rsidR="003B358E" w:rsidRDefault="003B358E" w:rsidP="003B358E">
      <w:pPr>
        <w:rPr>
          <w:rFonts w:ascii="Arial" w:hAnsi="Arial" w:cs="Arial"/>
          <w:sz w:val="22"/>
          <w:szCs w:val="22"/>
        </w:rPr>
      </w:pPr>
    </w:p>
    <w:p w:rsidR="003B358E" w:rsidRDefault="003B358E" w:rsidP="003B358E">
      <w:pPr>
        <w:rPr>
          <w:rFonts w:ascii="Arial" w:hAnsi="Arial" w:cs="Arial"/>
          <w:sz w:val="22"/>
          <w:szCs w:val="22"/>
        </w:rPr>
      </w:pPr>
      <w:r>
        <w:rPr>
          <w:rFonts w:ascii="Arial" w:hAnsi="Arial" w:cs="Arial"/>
          <w:sz w:val="22"/>
          <w:szCs w:val="22"/>
        </w:rPr>
        <w:t>The South Australian Government’s response to the Stepping Up Report is also incorporated into the psychogeriatric component of the Country Health SA Local Health Network’s health service expansion.</w:t>
      </w:r>
    </w:p>
    <w:p w:rsidR="003B358E" w:rsidRDefault="003B358E" w:rsidP="003B358E">
      <w:pPr>
        <w:rPr>
          <w:rFonts w:ascii="Arial" w:hAnsi="Arial" w:cs="Arial"/>
          <w:sz w:val="22"/>
          <w:szCs w:val="22"/>
        </w:rPr>
      </w:pPr>
    </w:p>
    <w:p w:rsidR="003B358E" w:rsidRDefault="003B358E" w:rsidP="003B358E">
      <w:pPr>
        <w:rPr>
          <w:rFonts w:ascii="Arial" w:hAnsi="Arial" w:cs="Arial"/>
          <w:sz w:val="22"/>
          <w:szCs w:val="22"/>
        </w:rPr>
      </w:pPr>
      <w:r>
        <w:rPr>
          <w:rFonts w:ascii="Arial" w:hAnsi="Arial" w:cs="Arial"/>
          <w:sz w:val="22"/>
          <w:szCs w:val="22"/>
        </w:rPr>
        <w:t xml:space="preserve">In addition to the current COAG funding which is being provided, South Australia is also contributing other State funds to further enhance the availability and expansion of subacute care service delivery initiatives that will enhance the patient journey from initial access to individual outcomes. </w:t>
      </w:r>
    </w:p>
    <w:p w:rsidR="003B358E" w:rsidRDefault="003B358E" w:rsidP="003B358E">
      <w:pPr>
        <w:rPr>
          <w:rFonts w:ascii="Arial" w:hAnsi="Arial" w:cs="Arial"/>
          <w:sz w:val="22"/>
          <w:szCs w:val="22"/>
        </w:rPr>
      </w:pPr>
    </w:p>
    <w:p w:rsidR="003B358E" w:rsidRDefault="003B358E" w:rsidP="003B358E">
      <w:pPr>
        <w:spacing w:after="120"/>
        <w:rPr>
          <w:rFonts w:ascii="Arial" w:hAnsi="Arial" w:cs="Arial"/>
          <w:sz w:val="22"/>
          <w:szCs w:val="22"/>
        </w:rPr>
      </w:pPr>
      <w:r>
        <w:rPr>
          <w:rFonts w:ascii="Arial" w:hAnsi="Arial" w:cs="Arial"/>
          <w:sz w:val="22"/>
          <w:szCs w:val="22"/>
        </w:rPr>
        <w:t>Some of the major themes that have influenced the design of service expansion have been:</w:t>
      </w:r>
    </w:p>
    <w:p w:rsidR="003B358E" w:rsidRDefault="003B358E" w:rsidP="003B358E">
      <w:pPr>
        <w:numPr>
          <w:ilvl w:val="0"/>
          <w:numId w:val="2"/>
        </w:numPr>
        <w:ind w:left="0" w:firstLine="0"/>
        <w:rPr>
          <w:rFonts w:ascii="Arial" w:hAnsi="Arial" w:cs="Arial"/>
          <w:sz w:val="22"/>
          <w:szCs w:val="22"/>
        </w:rPr>
      </w:pPr>
      <w:r>
        <w:rPr>
          <w:rFonts w:ascii="Arial" w:hAnsi="Arial" w:cs="Arial"/>
          <w:sz w:val="22"/>
          <w:szCs w:val="22"/>
        </w:rPr>
        <w:t>The delivery of services closer to where patients live</w:t>
      </w:r>
    </w:p>
    <w:p w:rsidR="003B358E" w:rsidRDefault="003B358E" w:rsidP="003B358E">
      <w:pPr>
        <w:numPr>
          <w:ilvl w:val="0"/>
          <w:numId w:val="2"/>
        </w:numPr>
        <w:ind w:left="0" w:firstLine="0"/>
        <w:rPr>
          <w:rFonts w:ascii="Arial" w:hAnsi="Arial" w:cs="Arial"/>
          <w:sz w:val="22"/>
          <w:szCs w:val="22"/>
        </w:rPr>
      </w:pPr>
      <w:r>
        <w:rPr>
          <w:rFonts w:ascii="Arial" w:hAnsi="Arial" w:cs="Arial"/>
          <w:sz w:val="22"/>
          <w:szCs w:val="22"/>
        </w:rPr>
        <w:t>Taking pressure off public hospitals</w:t>
      </w:r>
    </w:p>
    <w:p w:rsidR="003B358E" w:rsidRDefault="003B358E" w:rsidP="003B358E">
      <w:pPr>
        <w:numPr>
          <w:ilvl w:val="0"/>
          <w:numId w:val="2"/>
        </w:numPr>
        <w:ind w:left="0" w:firstLine="0"/>
        <w:rPr>
          <w:rFonts w:ascii="Arial" w:hAnsi="Arial" w:cs="Arial"/>
          <w:sz w:val="22"/>
          <w:szCs w:val="22"/>
        </w:rPr>
      </w:pPr>
      <w:r>
        <w:rPr>
          <w:rFonts w:ascii="Arial" w:hAnsi="Arial" w:cs="Arial"/>
          <w:sz w:val="22"/>
          <w:szCs w:val="22"/>
        </w:rPr>
        <w:t>Achieving consistency in evidence-based practice across all sites</w:t>
      </w:r>
    </w:p>
    <w:p w:rsidR="003B358E" w:rsidRDefault="003B358E" w:rsidP="003B358E">
      <w:pPr>
        <w:numPr>
          <w:ilvl w:val="0"/>
          <w:numId w:val="2"/>
        </w:numPr>
        <w:ind w:left="0" w:firstLine="0"/>
        <w:rPr>
          <w:rFonts w:ascii="Arial" w:hAnsi="Arial" w:cs="Arial"/>
          <w:sz w:val="22"/>
          <w:szCs w:val="22"/>
        </w:rPr>
      </w:pPr>
      <w:r>
        <w:rPr>
          <w:rFonts w:ascii="Arial" w:hAnsi="Arial" w:cs="Arial"/>
          <w:sz w:val="22"/>
          <w:szCs w:val="22"/>
        </w:rPr>
        <w:t>Reducing length of stay</w:t>
      </w:r>
    </w:p>
    <w:p w:rsidR="003B358E" w:rsidRDefault="003B358E" w:rsidP="003B358E">
      <w:pPr>
        <w:numPr>
          <w:ilvl w:val="0"/>
          <w:numId w:val="2"/>
        </w:numPr>
        <w:ind w:left="0" w:firstLine="0"/>
        <w:rPr>
          <w:rFonts w:ascii="Arial" w:hAnsi="Arial" w:cs="Arial"/>
          <w:sz w:val="22"/>
          <w:szCs w:val="22"/>
        </w:rPr>
      </w:pPr>
      <w:r>
        <w:rPr>
          <w:rFonts w:ascii="Arial" w:hAnsi="Arial" w:cs="Arial"/>
          <w:sz w:val="22"/>
          <w:szCs w:val="22"/>
        </w:rPr>
        <w:t>Increasing throughput.</w:t>
      </w:r>
    </w:p>
    <w:p w:rsidR="003B358E" w:rsidRDefault="003B358E" w:rsidP="003B358E">
      <w:pPr>
        <w:spacing w:before="120"/>
        <w:rPr>
          <w:rFonts w:ascii="Arial" w:hAnsi="Arial" w:cs="Arial"/>
          <w:sz w:val="22"/>
          <w:szCs w:val="22"/>
        </w:rPr>
      </w:pPr>
    </w:p>
    <w:p w:rsidR="003B358E" w:rsidRDefault="003B358E" w:rsidP="003B358E">
      <w:pPr>
        <w:spacing w:after="120"/>
        <w:rPr>
          <w:rFonts w:ascii="Arial" w:hAnsi="Arial" w:cs="Arial"/>
          <w:sz w:val="22"/>
          <w:szCs w:val="22"/>
        </w:rPr>
      </w:pPr>
      <w:r>
        <w:rPr>
          <w:rFonts w:ascii="Arial" w:hAnsi="Arial" w:cs="Arial"/>
          <w:sz w:val="22"/>
          <w:szCs w:val="22"/>
        </w:rPr>
        <w:t>Local Health Networks (LHNs), there are five LHNs in South Australia:</w:t>
      </w:r>
    </w:p>
    <w:p w:rsidR="003B358E" w:rsidRDefault="003B358E" w:rsidP="003B358E">
      <w:pPr>
        <w:numPr>
          <w:ilvl w:val="1"/>
          <w:numId w:val="2"/>
        </w:numPr>
        <w:tabs>
          <w:tab w:val="clear" w:pos="1440"/>
          <w:tab w:val="num" w:pos="720"/>
        </w:tabs>
        <w:ind w:hanging="1440"/>
        <w:rPr>
          <w:rFonts w:ascii="Arial" w:hAnsi="Arial" w:cs="Arial"/>
          <w:sz w:val="22"/>
          <w:szCs w:val="22"/>
        </w:rPr>
      </w:pPr>
      <w:r>
        <w:rPr>
          <w:rFonts w:ascii="Arial" w:hAnsi="Arial" w:cs="Arial"/>
          <w:sz w:val="22"/>
          <w:szCs w:val="22"/>
        </w:rPr>
        <w:t>Women’s and Children’s Health Network (WCHN)</w:t>
      </w:r>
    </w:p>
    <w:p w:rsidR="003B358E" w:rsidRDefault="003B358E" w:rsidP="003B358E">
      <w:pPr>
        <w:numPr>
          <w:ilvl w:val="1"/>
          <w:numId w:val="2"/>
        </w:numPr>
        <w:tabs>
          <w:tab w:val="clear" w:pos="1440"/>
          <w:tab w:val="num" w:pos="720"/>
        </w:tabs>
        <w:ind w:hanging="1440"/>
        <w:rPr>
          <w:rFonts w:ascii="Arial" w:hAnsi="Arial" w:cs="Arial"/>
          <w:sz w:val="22"/>
          <w:szCs w:val="22"/>
        </w:rPr>
      </w:pPr>
      <w:r>
        <w:rPr>
          <w:rFonts w:ascii="Arial" w:hAnsi="Arial" w:cs="Arial"/>
          <w:sz w:val="22"/>
          <w:szCs w:val="22"/>
        </w:rPr>
        <w:t>Central Adelaide Local Health Network (CALHN)</w:t>
      </w:r>
    </w:p>
    <w:p w:rsidR="003B358E" w:rsidRDefault="003B358E" w:rsidP="003B358E">
      <w:pPr>
        <w:numPr>
          <w:ilvl w:val="1"/>
          <w:numId w:val="2"/>
        </w:numPr>
        <w:tabs>
          <w:tab w:val="clear" w:pos="1440"/>
          <w:tab w:val="num" w:pos="720"/>
        </w:tabs>
        <w:ind w:hanging="1440"/>
        <w:rPr>
          <w:rFonts w:ascii="Arial" w:hAnsi="Arial" w:cs="Arial"/>
          <w:sz w:val="22"/>
          <w:szCs w:val="22"/>
        </w:rPr>
      </w:pPr>
      <w:r>
        <w:rPr>
          <w:rFonts w:ascii="Arial" w:hAnsi="Arial" w:cs="Arial"/>
          <w:sz w:val="22"/>
          <w:szCs w:val="22"/>
        </w:rPr>
        <w:t>Northern Adelaide Local Health Network (NALHN)</w:t>
      </w:r>
    </w:p>
    <w:p w:rsidR="003B358E" w:rsidRDefault="003B358E" w:rsidP="003B358E">
      <w:pPr>
        <w:numPr>
          <w:ilvl w:val="1"/>
          <w:numId w:val="2"/>
        </w:numPr>
        <w:tabs>
          <w:tab w:val="clear" w:pos="1440"/>
          <w:tab w:val="num" w:pos="720"/>
        </w:tabs>
        <w:ind w:hanging="1440"/>
        <w:rPr>
          <w:rFonts w:ascii="Arial" w:hAnsi="Arial" w:cs="Arial"/>
          <w:sz w:val="22"/>
          <w:szCs w:val="22"/>
        </w:rPr>
      </w:pPr>
      <w:r>
        <w:rPr>
          <w:rFonts w:ascii="Arial" w:hAnsi="Arial" w:cs="Arial"/>
          <w:sz w:val="22"/>
          <w:szCs w:val="22"/>
        </w:rPr>
        <w:t>Southern Adelaide Local Health Network (SALHN)</w:t>
      </w:r>
    </w:p>
    <w:p w:rsidR="00F36E4E" w:rsidRDefault="003B358E" w:rsidP="003B358E">
      <w:pPr>
        <w:rPr>
          <w:rFonts w:ascii="Arial" w:hAnsi="Arial" w:cs="Arial"/>
          <w:sz w:val="22"/>
          <w:szCs w:val="22"/>
        </w:rPr>
      </w:pPr>
      <w:r>
        <w:rPr>
          <w:rFonts w:ascii="Arial" w:hAnsi="Arial" w:cs="Arial"/>
          <w:sz w:val="22"/>
          <w:szCs w:val="22"/>
        </w:rPr>
        <w:t>Country Health SA Local Health Network (CHSALHN)</w:t>
      </w:r>
      <w:r w:rsidRPr="005C21C9">
        <w:rPr>
          <w:rFonts w:ascii="Arial" w:hAnsi="Arial" w:cs="Arial"/>
          <w:sz w:val="22"/>
          <w:szCs w:val="22"/>
        </w:rPr>
        <w:t>.</w:t>
      </w:r>
    </w:p>
    <w:p w:rsidR="003B358E" w:rsidRDefault="003B358E" w:rsidP="003B358E">
      <w:pPr>
        <w:rPr>
          <w:rFonts w:ascii="Arial" w:hAnsi="Arial" w:cs="Arial"/>
          <w:b/>
        </w:rPr>
      </w:pPr>
    </w:p>
    <w:p w:rsidR="00D338E9" w:rsidRDefault="00D338E9" w:rsidP="00F36E4E">
      <w:pPr>
        <w:rPr>
          <w:rFonts w:ascii="Arial" w:hAnsi="Arial" w:cs="Arial"/>
          <w:b/>
        </w:rPr>
      </w:pPr>
    </w:p>
    <w:p w:rsidR="00D338E9" w:rsidRDefault="00D338E9" w:rsidP="00F36E4E">
      <w:pPr>
        <w:rPr>
          <w:rFonts w:ascii="Arial" w:hAnsi="Arial" w:cs="Arial"/>
          <w:b/>
        </w:rPr>
      </w:pPr>
    </w:p>
    <w:p w:rsidR="00F36E4E" w:rsidRDefault="00F36E4E" w:rsidP="00F36E4E">
      <w:pPr>
        <w:rPr>
          <w:rFonts w:ascii="Arial" w:hAnsi="Arial" w:cs="Arial"/>
          <w:b/>
        </w:rPr>
      </w:pPr>
    </w:p>
    <w:p w:rsidR="00F36E4E" w:rsidRDefault="00F36E4E" w:rsidP="00F36E4E">
      <w:pPr>
        <w:rPr>
          <w:rFonts w:ascii="Arial" w:hAnsi="Arial" w:cs="Arial"/>
          <w:b/>
        </w:rPr>
      </w:pPr>
    </w:p>
    <w:p w:rsidR="00D41912" w:rsidRDefault="00D41912" w:rsidP="00F36E4E">
      <w:pPr>
        <w:rPr>
          <w:rFonts w:ascii="Arial" w:hAnsi="Arial" w:cs="Arial"/>
          <w:b/>
        </w:rPr>
      </w:pPr>
    </w:p>
    <w:p w:rsidR="00A71672" w:rsidRDefault="00A71672" w:rsidP="00F36E4E">
      <w:pPr>
        <w:rPr>
          <w:rFonts w:ascii="Arial" w:hAnsi="Arial" w:cs="Arial"/>
          <w:b/>
        </w:rPr>
      </w:pPr>
    </w:p>
    <w:p w:rsidR="00D41912" w:rsidRDefault="00D41912" w:rsidP="00F36E4E">
      <w:pPr>
        <w:rPr>
          <w:rFonts w:ascii="Arial" w:hAnsi="Arial" w:cs="Arial"/>
          <w:b/>
        </w:rPr>
      </w:pPr>
    </w:p>
    <w:p w:rsidR="00F36E4E" w:rsidRDefault="00D41912" w:rsidP="00B37010">
      <w:pPr>
        <w:jc w:val="center"/>
        <w:rPr>
          <w:rFonts w:ascii="Arial" w:hAnsi="Arial" w:cs="Arial"/>
          <w:b/>
        </w:rPr>
      </w:pPr>
      <w:r>
        <w:rPr>
          <w:rFonts w:ascii="Arial" w:hAnsi="Arial" w:cs="Arial"/>
          <w:b/>
        </w:rPr>
        <w:lastRenderedPageBreak/>
        <w:t>2012 / 2013</w:t>
      </w:r>
      <w:r w:rsidR="00F36E4E">
        <w:rPr>
          <w:rFonts w:ascii="Arial" w:hAnsi="Arial" w:cs="Arial"/>
          <w:b/>
        </w:rPr>
        <w:t xml:space="preserve"> Annual Overview of Achievements</w:t>
      </w:r>
      <w:r w:rsidR="007C1C40">
        <w:rPr>
          <w:rFonts w:ascii="Arial" w:hAnsi="Arial" w:cs="Arial"/>
          <w:b/>
        </w:rPr>
        <w:t xml:space="preserve"> </w:t>
      </w:r>
      <w:r w:rsidR="00F36E4E">
        <w:rPr>
          <w:rFonts w:ascii="Arial" w:hAnsi="Arial" w:cs="Arial"/>
          <w:b/>
        </w:rPr>
        <w:t>– COAG Subacute</w:t>
      </w:r>
    </w:p>
    <w:p w:rsidR="00F36E4E" w:rsidRDefault="00F36E4E" w:rsidP="00F36E4E"/>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662"/>
        <w:gridCol w:w="1559"/>
      </w:tblGrid>
      <w:tr w:rsidR="00F36E4E" w:rsidTr="002C7132">
        <w:trPr>
          <w:jc w:val="center"/>
        </w:trPr>
        <w:tc>
          <w:tcPr>
            <w:tcW w:w="1418" w:type="dxa"/>
            <w:vAlign w:val="center"/>
          </w:tcPr>
          <w:p w:rsidR="00F36E4E" w:rsidRDefault="00F36E4E" w:rsidP="007632BD">
            <w:pPr>
              <w:jc w:val="center"/>
              <w:rPr>
                <w:rFonts w:ascii="Arial" w:hAnsi="Arial" w:cs="Arial"/>
                <w:b/>
              </w:rPr>
            </w:pPr>
            <w:r>
              <w:rPr>
                <w:rFonts w:ascii="Arial" w:hAnsi="Arial" w:cs="Arial"/>
              </w:rPr>
              <w:br w:type="page"/>
            </w:r>
            <w:r>
              <w:rPr>
                <w:rFonts w:ascii="Arial" w:hAnsi="Arial" w:cs="Arial"/>
                <w:b/>
              </w:rPr>
              <w:t>Subacute Area</w:t>
            </w:r>
          </w:p>
        </w:tc>
        <w:tc>
          <w:tcPr>
            <w:tcW w:w="6662" w:type="dxa"/>
            <w:vAlign w:val="center"/>
          </w:tcPr>
          <w:p w:rsidR="00F36E4E" w:rsidRDefault="00F36E4E" w:rsidP="007632BD">
            <w:pPr>
              <w:jc w:val="center"/>
              <w:rPr>
                <w:rFonts w:ascii="Arial" w:hAnsi="Arial" w:cs="Arial"/>
                <w:b/>
              </w:rPr>
            </w:pPr>
            <w:r>
              <w:rPr>
                <w:rFonts w:ascii="Arial" w:hAnsi="Arial" w:cs="Arial"/>
                <w:b/>
              </w:rPr>
              <w:t xml:space="preserve">High Level Summary </w:t>
            </w:r>
          </w:p>
        </w:tc>
        <w:tc>
          <w:tcPr>
            <w:tcW w:w="1559" w:type="dxa"/>
            <w:vAlign w:val="center"/>
          </w:tcPr>
          <w:p w:rsidR="00F36E4E" w:rsidRDefault="00D41912" w:rsidP="007632BD">
            <w:pPr>
              <w:jc w:val="center"/>
              <w:rPr>
                <w:rFonts w:ascii="Arial" w:hAnsi="Arial" w:cs="Arial"/>
                <w:b/>
              </w:rPr>
            </w:pPr>
            <w:r>
              <w:rPr>
                <w:rFonts w:ascii="Arial" w:hAnsi="Arial" w:cs="Arial"/>
                <w:b/>
              </w:rPr>
              <w:t>FY 2012/13</w:t>
            </w:r>
          </w:p>
          <w:p w:rsidR="00F36E4E" w:rsidRDefault="00F36E4E" w:rsidP="007632BD">
            <w:pPr>
              <w:jc w:val="center"/>
              <w:rPr>
                <w:rFonts w:ascii="Arial" w:hAnsi="Arial" w:cs="Arial"/>
                <w:b/>
              </w:rPr>
            </w:pPr>
            <w:r>
              <w:rPr>
                <w:rFonts w:ascii="Arial" w:hAnsi="Arial" w:cs="Arial"/>
                <w:b/>
              </w:rPr>
              <w:t>Funding Allocation</w:t>
            </w:r>
          </w:p>
        </w:tc>
      </w:tr>
      <w:tr w:rsidR="00F36E4E" w:rsidTr="002C7132">
        <w:trPr>
          <w:trHeight w:val="522"/>
          <w:jc w:val="center"/>
        </w:trPr>
        <w:tc>
          <w:tcPr>
            <w:tcW w:w="9639" w:type="dxa"/>
            <w:gridSpan w:val="3"/>
            <w:vAlign w:val="center"/>
          </w:tcPr>
          <w:p w:rsidR="00F36E4E" w:rsidRDefault="00F36E4E" w:rsidP="007632BD">
            <w:pPr>
              <w:rPr>
                <w:rFonts w:ascii="Arial" w:hAnsi="Arial" w:cs="Arial"/>
              </w:rPr>
            </w:pPr>
            <w:r>
              <w:rPr>
                <w:rFonts w:ascii="Arial" w:hAnsi="Arial" w:cs="Arial"/>
                <w:b/>
              </w:rPr>
              <w:t>1. Rehabilitation:</w:t>
            </w:r>
          </w:p>
        </w:tc>
      </w:tr>
      <w:tr w:rsidR="007C1C40" w:rsidTr="002C7132">
        <w:trPr>
          <w:trHeight w:val="522"/>
          <w:jc w:val="center"/>
        </w:trPr>
        <w:tc>
          <w:tcPr>
            <w:tcW w:w="1418" w:type="dxa"/>
          </w:tcPr>
          <w:p w:rsidR="007C1C40" w:rsidRDefault="007C1C40" w:rsidP="007632BD">
            <w:pPr>
              <w:rPr>
                <w:rFonts w:ascii="Arial" w:hAnsi="Arial" w:cs="Arial"/>
              </w:rPr>
            </w:pPr>
            <w:r>
              <w:rPr>
                <w:rFonts w:ascii="Arial" w:hAnsi="Arial" w:cs="Arial"/>
              </w:rPr>
              <w:t>WCHN</w:t>
            </w:r>
          </w:p>
          <w:p w:rsidR="007C1C40" w:rsidRDefault="007C1C40" w:rsidP="007632BD">
            <w:pPr>
              <w:rPr>
                <w:rFonts w:ascii="Arial" w:hAnsi="Arial" w:cs="Arial"/>
                <w:b/>
              </w:rPr>
            </w:pPr>
          </w:p>
        </w:tc>
        <w:tc>
          <w:tcPr>
            <w:tcW w:w="6662" w:type="dxa"/>
          </w:tcPr>
          <w:p w:rsidR="003B358E" w:rsidRDefault="003B358E" w:rsidP="003B358E">
            <w:pPr>
              <w:rPr>
                <w:rFonts w:ascii="Arial" w:hAnsi="Arial" w:cs="Arial"/>
              </w:rPr>
            </w:pPr>
            <w:r>
              <w:rPr>
                <w:rFonts w:ascii="Arial" w:hAnsi="Arial" w:cs="Arial"/>
              </w:rPr>
              <w:t>In 2012/2013 the focus continued to be getting children out of hospital as quickly as possible, while still maintaining their intensive level of rehabilitation to allow for maximal improvement in functioning. There was also a focus on intensive rehabilitation for children and adolescents following acute medical or surgical interventions.</w:t>
            </w:r>
          </w:p>
          <w:p w:rsidR="003B358E" w:rsidRDefault="003B358E" w:rsidP="003B358E">
            <w:pPr>
              <w:rPr>
                <w:rFonts w:ascii="Arial" w:hAnsi="Arial" w:cs="Arial"/>
                <w:sz w:val="16"/>
                <w:szCs w:val="16"/>
              </w:rPr>
            </w:pPr>
          </w:p>
          <w:p w:rsidR="003B358E" w:rsidRDefault="003B358E" w:rsidP="003B358E">
            <w:pPr>
              <w:rPr>
                <w:rFonts w:ascii="Arial" w:hAnsi="Arial" w:cs="Arial"/>
              </w:rPr>
            </w:pPr>
            <w:r>
              <w:rPr>
                <w:rFonts w:ascii="Arial" w:hAnsi="Arial" w:cs="Arial"/>
              </w:rPr>
              <w:t>Work has continued to find ways of providing intensive rehabilitation using assistive devices such as robotics and there are plans to establish a robotics gym to assist with rehabilitation in the future.</w:t>
            </w:r>
          </w:p>
          <w:p w:rsidR="003B358E" w:rsidRDefault="003B358E" w:rsidP="003B358E">
            <w:pPr>
              <w:rPr>
                <w:rFonts w:ascii="Arial" w:hAnsi="Arial" w:cs="Arial"/>
                <w:sz w:val="16"/>
                <w:szCs w:val="16"/>
              </w:rPr>
            </w:pPr>
          </w:p>
          <w:p w:rsidR="007C1C40" w:rsidRPr="006A2D55" w:rsidRDefault="003B358E" w:rsidP="003B358E">
            <w:pPr>
              <w:rPr>
                <w:rFonts w:ascii="Calibri" w:hAnsi="Calibri"/>
                <w:sz w:val="22"/>
                <w:szCs w:val="22"/>
              </w:rPr>
            </w:pPr>
            <w:r>
              <w:rPr>
                <w:rFonts w:ascii="Arial" w:hAnsi="Arial" w:cs="Arial"/>
              </w:rPr>
              <w:t>Work has continued on the transition model as well as enhanced clinic models.</w:t>
            </w:r>
          </w:p>
        </w:tc>
        <w:tc>
          <w:tcPr>
            <w:tcW w:w="1559" w:type="dxa"/>
          </w:tcPr>
          <w:p w:rsidR="007C1C40" w:rsidRPr="007C1C40" w:rsidRDefault="007C1C40" w:rsidP="007632BD">
            <w:pPr>
              <w:rPr>
                <w:rFonts w:ascii="Arial" w:hAnsi="Arial" w:cs="Arial"/>
              </w:rPr>
            </w:pPr>
            <w:r w:rsidRPr="007C1C40">
              <w:rPr>
                <w:rFonts w:ascii="Arial" w:hAnsi="Arial" w:cs="Arial"/>
              </w:rPr>
              <w:t>$582,000</w:t>
            </w:r>
          </w:p>
        </w:tc>
      </w:tr>
      <w:tr w:rsidR="003B358E" w:rsidTr="002C7132">
        <w:trPr>
          <w:trHeight w:val="627"/>
          <w:jc w:val="center"/>
        </w:trPr>
        <w:tc>
          <w:tcPr>
            <w:tcW w:w="1418" w:type="dxa"/>
          </w:tcPr>
          <w:p w:rsidR="003B358E" w:rsidRDefault="003B358E" w:rsidP="007632BD">
            <w:pPr>
              <w:rPr>
                <w:rFonts w:ascii="Arial" w:hAnsi="Arial" w:cs="Arial"/>
              </w:rPr>
            </w:pPr>
            <w:r>
              <w:rPr>
                <w:rFonts w:ascii="Arial" w:hAnsi="Arial" w:cs="Arial"/>
              </w:rPr>
              <w:t>CALHN</w:t>
            </w:r>
          </w:p>
        </w:tc>
        <w:tc>
          <w:tcPr>
            <w:tcW w:w="6662" w:type="dxa"/>
          </w:tcPr>
          <w:p w:rsidR="003B358E" w:rsidRDefault="003B358E" w:rsidP="003A1A07">
            <w:pPr>
              <w:rPr>
                <w:rFonts w:ascii="Arial" w:hAnsi="Arial" w:cs="Arial"/>
              </w:rPr>
            </w:pPr>
            <w:r w:rsidRPr="003B0416">
              <w:rPr>
                <w:rFonts w:ascii="Arial" w:hAnsi="Arial" w:cs="Arial"/>
              </w:rPr>
              <w:t>Continuing COAG funded initiatives, included:</w:t>
            </w:r>
            <w:r>
              <w:rPr>
                <w:rFonts w:ascii="Arial" w:hAnsi="Arial" w:cs="Arial"/>
              </w:rPr>
              <w:br/>
            </w:r>
            <w:r>
              <w:rPr>
                <w:rFonts w:ascii="Arial" w:hAnsi="Arial" w:cs="Arial"/>
              </w:rPr>
              <w:br/>
            </w:r>
            <w:r w:rsidRPr="003B0416">
              <w:rPr>
                <w:rFonts w:ascii="Arial" w:hAnsi="Arial" w:cs="Arial"/>
              </w:rPr>
              <w:t>Concussion Clinic- commenced in 2012 with multi – disciplinary (MD) team providing advice and education to people following a concussion. During this period, procedures have been further refined.  People are provided with advice about managing their symptoms by telephone as soon as a referral is received and are then given a follow</w:t>
            </w:r>
            <w:r>
              <w:rPr>
                <w:rFonts w:ascii="Arial" w:hAnsi="Arial" w:cs="Arial"/>
              </w:rPr>
              <w:t xml:space="preserve"> up appointment as necessary.</w:t>
            </w:r>
            <w:r>
              <w:rPr>
                <w:rFonts w:ascii="Arial" w:hAnsi="Arial" w:cs="Arial"/>
              </w:rPr>
              <w:br/>
            </w:r>
            <w:r>
              <w:rPr>
                <w:rFonts w:ascii="Arial" w:hAnsi="Arial" w:cs="Arial"/>
              </w:rPr>
              <w:br/>
            </w:r>
            <w:r w:rsidRPr="003B0416">
              <w:rPr>
                <w:rFonts w:ascii="Arial" w:hAnsi="Arial" w:cs="Arial"/>
              </w:rPr>
              <w:t>Spinal Outreach Rehab</w:t>
            </w:r>
            <w:r>
              <w:rPr>
                <w:rFonts w:ascii="Arial" w:hAnsi="Arial" w:cs="Arial"/>
              </w:rPr>
              <w:t xml:space="preserve">ilitation Team - established a multi-disciplinary </w:t>
            </w:r>
            <w:r w:rsidRPr="003B0416">
              <w:rPr>
                <w:rFonts w:ascii="Arial" w:hAnsi="Arial" w:cs="Arial"/>
              </w:rPr>
              <w:t>ambulatory rehabilitation service as part of the state wide spinal cord injury services, providing discharge / transition support for people with new</w:t>
            </w:r>
            <w:r>
              <w:rPr>
                <w:rFonts w:ascii="Arial" w:hAnsi="Arial" w:cs="Arial"/>
              </w:rPr>
              <w:t xml:space="preserve">ly acquired injury. Commenced </w:t>
            </w:r>
            <w:r w:rsidRPr="003B0416">
              <w:rPr>
                <w:rFonts w:ascii="Arial" w:hAnsi="Arial" w:cs="Arial"/>
              </w:rPr>
              <w:t>a monthly Southern Metro outreach clinic at Noarlunga .GP Plus funded medical consultant resources.  This service improves access for individuals in outer metro and rural areas who battle with transport barriers and medical issues, including fatigue, to access Hampstead-based follow-up services. The clinic has received positive feedback from patients a</w:t>
            </w:r>
            <w:r>
              <w:rPr>
                <w:rFonts w:ascii="Arial" w:hAnsi="Arial" w:cs="Arial"/>
              </w:rPr>
              <w:t>nd is fully booked each month.</w:t>
            </w:r>
            <w:r>
              <w:rPr>
                <w:rFonts w:ascii="Arial" w:hAnsi="Arial" w:cs="Arial"/>
              </w:rPr>
              <w:br/>
            </w:r>
            <w:r>
              <w:rPr>
                <w:rFonts w:ascii="Arial" w:hAnsi="Arial" w:cs="Arial"/>
              </w:rPr>
              <w:br/>
            </w:r>
            <w:r w:rsidRPr="003B0416">
              <w:rPr>
                <w:rFonts w:ascii="Arial" w:hAnsi="Arial" w:cs="Arial"/>
              </w:rPr>
              <w:t>At this early stage, a meaningful analysis of clinical outcomes is not available, however early data is showing a positive change in independence scores and quality of life measures.</w:t>
            </w:r>
            <w:r>
              <w:rPr>
                <w:rFonts w:ascii="Arial" w:hAnsi="Arial" w:cs="Arial"/>
              </w:rPr>
              <w:br/>
            </w:r>
            <w:r>
              <w:rPr>
                <w:rFonts w:ascii="Arial" w:hAnsi="Arial" w:cs="Arial"/>
              </w:rPr>
              <w:br/>
            </w:r>
            <w:r w:rsidRPr="003B0416">
              <w:rPr>
                <w:rFonts w:ascii="Arial" w:hAnsi="Arial" w:cs="Arial"/>
              </w:rPr>
              <w:t xml:space="preserve">Interdisciplinary Professional Assessment program - Inter - disciplinary clinician to complete initial assessment, undertake discharge planning role, increased group sessions to improve efficiencies for service provision which </w:t>
            </w:r>
            <w:r w:rsidRPr="003B0416">
              <w:rPr>
                <w:rFonts w:ascii="Arial" w:hAnsi="Arial" w:cs="Arial"/>
              </w:rPr>
              <w:lastRenderedPageBreak/>
              <w:t xml:space="preserve">positively impact on LOS. The program provides a contact </w:t>
            </w:r>
            <w:r>
              <w:rPr>
                <w:rFonts w:ascii="Arial" w:hAnsi="Arial" w:cs="Arial"/>
              </w:rPr>
              <w:t>after hours (</w:t>
            </w:r>
            <w:r w:rsidRPr="003B0416">
              <w:rPr>
                <w:rFonts w:ascii="Arial" w:hAnsi="Arial" w:cs="Arial"/>
              </w:rPr>
              <w:t>AH</w:t>
            </w:r>
            <w:r>
              <w:rPr>
                <w:rFonts w:ascii="Arial" w:hAnsi="Arial" w:cs="Arial"/>
              </w:rPr>
              <w:t>)</w:t>
            </w:r>
            <w:r w:rsidRPr="003B0416">
              <w:rPr>
                <w:rFonts w:ascii="Arial" w:hAnsi="Arial" w:cs="Arial"/>
              </w:rPr>
              <w:t xml:space="preserve"> consultancy for potential and complex clients to ensure right service right time right place.</w:t>
            </w:r>
            <w:r>
              <w:rPr>
                <w:rFonts w:ascii="Arial" w:hAnsi="Arial" w:cs="Arial"/>
              </w:rPr>
              <w:br/>
            </w:r>
            <w:r>
              <w:rPr>
                <w:rFonts w:ascii="Arial" w:hAnsi="Arial" w:cs="Arial"/>
              </w:rPr>
              <w:br/>
            </w:r>
            <w:r w:rsidRPr="003B0416">
              <w:rPr>
                <w:rFonts w:ascii="Arial" w:hAnsi="Arial" w:cs="Arial"/>
              </w:rPr>
              <w:t xml:space="preserve">A Data Reporting and Analysis project position </w:t>
            </w:r>
            <w:r>
              <w:rPr>
                <w:rFonts w:ascii="Arial" w:hAnsi="Arial" w:cs="Arial"/>
              </w:rPr>
              <w:t xml:space="preserve">was established to develop, </w:t>
            </w:r>
            <w:r w:rsidRPr="003B0416">
              <w:rPr>
                <w:rFonts w:ascii="Arial" w:hAnsi="Arial" w:cs="Arial"/>
              </w:rPr>
              <w:t>review</w:t>
            </w:r>
            <w:r>
              <w:rPr>
                <w:rFonts w:ascii="Arial" w:hAnsi="Arial" w:cs="Arial"/>
              </w:rPr>
              <w:t xml:space="preserve"> and</w:t>
            </w:r>
            <w:r w:rsidRPr="003B0416">
              <w:rPr>
                <w:rFonts w:ascii="Arial" w:hAnsi="Arial" w:cs="Arial"/>
              </w:rPr>
              <w:t xml:space="preserve"> monitor data management systems and reports to ensure efficient and effective activity reporting and ensure that service delivery models are based on financial modelling. The role works closely with service managers to ensure the provision and development of quality services and client outcomes.</w:t>
            </w:r>
            <w:r>
              <w:rPr>
                <w:rFonts w:ascii="Arial" w:hAnsi="Arial" w:cs="Arial"/>
              </w:rPr>
              <w:br/>
            </w:r>
            <w:r>
              <w:rPr>
                <w:rFonts w:ascii="Arial" w:hAnsi="Arial" w:cs="Arial"/>
              </w:rPr>
              <w:br/>
            </w:r>
            <w:r w:rsidRPr="003B0416">
              <w:rPr>
                <w:rFonts w:ascii="Arial" w:hAnsi="Arial" w:cs="Arial"/>
              </w:rPr>
              <w:t xml:space="preserve">In line with the National Stroke Foundation Guidelines The Stroke Follow up Clinic provides assessment and review within 3 months, then again at 6 and 12 months post discharge of clients who have experienced a stroke and been discharged from the </w:t>
            </w:r>
            <w:r>
              <w:rPr>
                <w:rFonts w:ascii="Arial" w:hAnsi="Arial" w:cs="Arial"/>
              </w:rPr>
              <w:t>Hampstead Rehabilitation Centre (</w:t>
            </w:r>
            <w:r w:rsidRPr="003B0416">
              <w:rPr>
                <w:rFonts w:ascii="Arial" w:hAnsi="Arial" w:cs="Arial"/>
              </w:rPr>
              <w:t>HRC</w:t>
            </w:r>
            <w:r>
              <w:rPr>
                <w:rFonts w:ascii="Arial" w:hAnsi="Arial" w:cs="Arial"/>
              </w:rPr>
              <w:t>)</w:t>
            </w:r>
            <w:r w:rsidRPr="003B0416">
              <w:rPr>
                <w:rFonts w:ascii="Arial" w:hAnsi="Arial" w:cs="Arial"/>
              </w:rPr>
              <w:t xml:space="preserve"> inpatient Stroke Rehabilitation Unit. In addition clients receive secondary prevention screening, review of discharge rehabilitation goals, community integration and identification of new issues and goals. The overall impact aims at deceasing re-</w:t>
            </w:r>
            <w:r>
              <w:rPr>
                <w:rFonts w:ascii="Arial" w:hAnsi="Arial" w:cs="Arial"/>
              </w:rPr>
              <w:t xml:space="preserve">admission due to exacerbation. </w:t>
            </w:r>
          </w:p>
        </w:tc>
        <w:tc>
          <w:tcPr>
            <w:tcW w:w="1559" w:type="dxa"/>
          </w:tcPr>
          <w:p w:rsidR="003B358E" w:rsidRDefault="003B358E" w:rsidP="007C1C40">
            <w:pPr>
              <w:rPr>
                <w:rFonts w:ascii="Arial" w:hAnsi="Arial" w:cs="Arial"/>
              </w:rPr>
            </w:pPr>
            <w:r w:rsidRPr="007C1C40">
              <w:rPr>
                <w:rFonts w:ascii="Arial" w:hAnsi="Arial" w:cs="Arial"/>
              </w:rPr>
              <w:lastRenderedPageBreak/>
              <w:t>$576,722</w:t>
            </w:r>
          </w:p>
        </w:tc>
      </w:tr>
      <w:tr w:rsidR="003B358E" w:rsidTr="002C7132">
        <w:trPr>
          <w:trHeight w:val="627"/>
          <w:jc w:val="center"/>
        </w:trPr>
        <w:tc>
          <w:tcPr>
            <w:tcW w:w="1418" w:type="dxa"/>
          </w:tcPr>
          <w:p w:rsidR="003B358E" w:rsidRDefault="003B358E" w:rsidP="007632BD">
            <w:pPr>
              <w:rPr>
                <w:rFonts w:ascii="Arial" w:hAnsi="Arial" w:cs="Arial"/>
              </w:rPr>
            </w:pPr>
            <w:r>
              <w:rPr>
                <w:rFonts w:ascii="Arial" w:hAnsi="Arial" w:cs="Arial"/>
              </w:rPr>
              <w:lastRenderedPageBreak/>
              <w:t>NALHN</w:t>
            </w:r>
          </w:p>
        </w:tc>
        <w:tc>
          <w:tcPr>
            <w:tcW w:w="6662" w:type="dxa"/>
          </w:tcPr>
          <w:p w:rsidR="003B358E" w:rsidRPr="00620277" w:rsidRDefault="003B358E" w:rsidP="003A1A07">
            <w:pPr>
              <w:spacing w:after="120"/>
              <w:rPr>
                <w:rFonts w:ascii="Arial" w:hAnsi="Arial" w:cs="Arial"/>
              </w:rPr>
            </w:pPr>
            <w:r w:rsidRPr="00620277">
              <w:rPr>
                <w:rFonts w:ascii="Arial" w:hAnsi="Arial" w:cs="Arial"/>
              </w:rPr>
              <w:t>2012</w:t>
            </w:r>
            <w:r>
              <w:rPr>
                <w:rFonts w:ascii="Arial" w:hAnsi="Arial" w:cs="Arial"/>
              </w:rPr>
              <w:t>/</w:t>
            </w:r>
            <w:r w:rsidRPr="00620277">
              <w:rPr>
                <w:rFonts w:ascii="Arial" w:hAnsi="Arial" w:cs="Arial"/>
              </w:rPr>
              <w:t xml:space="preserve">13 saw the development of a new rehabilitation service in the Northern Adelaide Local Health Network. From July 2012, new Rehabilitation In The Home (RITH) came on line providing in home rehabilitation to eligible NALHN residents. The service operates on average at 15 ambulatory places each day.  </w:t>
            </w:r>
          </w:p>
          <w:p w:rsidR="003B358E" w:rsidRPr="00620277" w:rsidRDefault="003B358E" w:rsidP="003A1A07">
            <w:pPr>
              <w:spacing w:after="120"/>
              <w:rPr>
                <w:rFonts w:ascii="Arial" w:hAnsi="Arial" w:cs="Arial"/>
              </w:rPr>
            </w:pPr>
            <w:r w:rsidRPr="00620277">
              <w:rPr>
                <w:rFonts w:ascii="Arial" w:hAnsi="Arial" w:cs="Arial"/>
              </w:rPr>
              <w:t>In August 2012, 8 inpatient rehabilitation beds opened in Modbury Hospital and have remained at capacity since opening.  Two new outpatients clinics are now also operational; prosthetics and musculoskeletal – running from GP Plus Elizabeth an</w:t>
            </w:r>
            <w:r>
              <w:rPr>
                <w:rFonts w:ascii="Arial" w:hAnsi="Arial" w:cs="Arial"/>
              </w:rPr>
              <w:t>d GP Plus Super Clinic Modbury r</w:t>
            </w:r>
            <w:r w:rsidRPr="00620277">
              <w:rPr>
                <w:rFonts w:ascii="Arial" w:hAnsi="Arial" w:cs="Arial"/>
              </w:rPr>
              <w:t xml:space="preserve">espectively. </w:t>
            </w:r>
          </w:p>
          <w:p w:rsidR="003B358E" w:rsidRDefault="003B358E" w:rsidP="003A1A07">
            <w:pPr>
              <w:rPr>
                <w:rFonts w:ascii="Arial" w:hAnsi="Arial" w:cs="Arial"/>
              </w:rPr>
            </w:pPr>
            <w:r w:rsidRPr="00620277">
              <w:rPr>
                <w:rFonts w:ascii="Arial" w:hAnsi="Arial" w:cs="Arial"/>
              </w:rPr>
              <w:t>This activity has consolidated Modbury as the hub for aged care, rehabilitation an</w:t>
            </w:r>
            <w:r>
              <w:rPr>
                <w:rFonts w:ascii="Arial" w:hAnsi="Arial" w:cs="Arial"/>
              </w:rPr>
              <w:t>d palliative care in NALHN.</w:t>
            </w:r>
          </w:p>
        </w:tc>
        <w:tc>
          <w:tcPr>
            <w:tcW w:w="1559" w:type="dxa"/>
          </w:tcPr>
          <w:p w:rsidR="003B358E" w:rsidRPr="007C1C40" w:rsidRDefault="003B358E" w:rsidP="007C1C40">
            <w:pPr>
              <w:rPr>
                <w:rFonts w:ascii="Arial" w:hAnsi="Arial" w:cs="Arial"/>
                <w:highlight w:val="yellow"/>
              </w:rPr>
            </w:pPr>
            <w:r>
              <w:rPr>
                <w:rFonts w:ascii="Arial" w:hAnsi="Arial" w:cs="Arial"/>
              </w:rPr>
              <w:t>$</w:t>
            </w:r>
            <w:r w:rsidRPr="00620277">
              <w:rPr>
                <w:rFonts w:ascii="Arial" w:hAnsi="Arial" w:cs="Arial"/>
              </w:rPr>
              <w:t>576,722</w:t>
            </w:r>
          </w:p>
        </w:tc>
      </w:tr>
      <w:tr w:rsidR="003B358E" w:rsidTr="002C7132">
        <w:trPr>
          <w:trHeight w:val="627"/>
          <w:jc w:val="center"/>
        </w:trPr>
        <w:tc>
          <w:tcPr>
            <w:tcW w:w="1418" w:type="dxa"/>
          </w:tcPr>
          <w:p w:rsidR="003B358E" w:rsidRDefault="003B358E" w:rsidP="007C1C40">
            <w:pPr>
              <w:rPr>
                <w:rFonts w:ascii="Arial" w:hAnsi="Arial" w:cs="Arial"/>
              </w:rPr>
            </w:pPr>
            <w:r>
              <w:rPr>
                <w:rFonts w:ascii="Arial" w:hAnsi="Arial" w:cs="Arial"/>
              </w:rPr>
              <w:t>SALHN</w:t>
            </w:r>
          </w:p>
        </w:tc>
        <w:tc>
          <w:tcPr>
            <w:tcW w:w="6662" w:type="dxa"/>
          </w:tcPr>
          <w:p w:rsidR="003B358E" w:rsidRDefault="003B358E" w:rsidP="003A1A07">
            <w:pPr>
              <w:spacing w:after="120"/>
              <w:rPr>
                <w:rFonts w:ascii="Arial" w:hAnsi="Arial" w:cs="Arial"/>
              </w:rPr>
            </w:pPr>
            <w:r>
              <w:rPr>
                <w:rFonts w:ascii="Arial" w:hAnsi="Arial" w:cs="Arial"/>
              </w:rPr>
              <w:t>The 4</w:t>
            </w:r>
            <w:r w:rsidRPr="00D17919">
              <w:rPr>
                <w:rFonts w:ascii="Arial" w:hAnsi="Arial" w:cs="Arial"/>
                <w:vertAlign w:val="superscript"/>
              </w:rPr>
              <w:t>th</w:t>
            </w:r>
            <w:r>
              <w:rPr>
                <w:rFonts w:ascii="Arial" w:hAnsi="Arial" w:cs="Arial"/>
              </w:rPr>
              <w:t xml:space="preserve"> Generation Ambulatory Rehabilitation Clinic opened in April 2013.  Integrating COAG funded services, research and teaching into a modern clinical facility. It incorporates a range of specific rehabilitation programs, clinics and services. These include treatment and rehabilitation of persons in the community with complex neurological conditions such as cerebral palsy in adults, brain tumours, brain injury and stroke. Other day rehabilitation streams include falls, fracture, fragility and amputee. These services continue to experience high levels of demand from the community.</w:t>
            </w:r>
          </w:p>
          <w:p w:rsidR="003B358E" w:rsidRDefault="003B358E" w:rsidP="003A1A07">
            <w:pPr>
              <w:spacing w:after="120"/>
              <w:rPr>
                <w:rFonts w:ascii="Arial" w:hAnsi="Arial" w:cs="Arial"/>
              </w:rPr>
            </w:pPr>
            <w:r>
              <w:rPr>
                <w:rFonts w:ascii="Arial" w:hAnsi="Arial" w:cs="Arial"/>
              </w:rPr>
              <w:t xml:space="preserve">Rehabilitation In the Home (RITHOM) continues to provide the equivalent of 20 inpatient rehabilitation beds, allowing patients to reduce length of stay/ increase in- patient throughput, and deliver rehabilitation services within a patient’s environment.     </w:t>
            </w:r>
          </w:p>
          <w:p w:rsidR="003B358E" w:rsidRDefault="003B358E" w:rsidP="003A1A07">
            <w:pPr>
              <w:rPr>
                <w:rFonts w:ascii="Arial" w:hAnsi="Arial" w:cs="Arial"/>
              </w:rPr>
            </w:pPr>
            <w:r>
              <w:rPr>
                <w:rFonts w:ascii="Arial" w:hAnsi="Arial" w:cs="Arial"/>
              </w:rPr>
              <w:t xml:space="preserve">Realignment of the Rehabilitation inpatient wards, creating a 40 bed stroke/ neurological specialised rehabilitation unit/ 7 day week service has meant that patients have an earlier admission/ transition from acute (Flinders Medical Centre), and that severe/ complex stroke patients are considered for a coordinated program. Evidence demonstrates reduced dependency and increased quality of life.  </w:t>
            </w:r>
          </w:p>
        </w:tc>
        <w:tc>
          <w:tcPr>
            <w:tcW w:w="1559" w:type="dxa"/>
          </w:tcPr>
          <w:p w:rsidR="003B358E" w:rsidRPr="007C1C40" w:rsidRDefault="003B358E" w:rsidP="007C1C40">
            <w:pPr>
              <w:rPr>
                <w:rFonts w:ascii="Arial" w:hAnsi="Arial" w:cs="Arial"/>
                <w:highlight w:val="yellow"/>
              </w:rPr>
            </w:pPr>
            <w:r>
              <w:rPr>
                <w:rFonts w:ascii="Arial" w:hAnsi="Arial" w:cs="Arial"/>
              </w:rPr>
              <w:t>$571,445</w:t>
            </w:r>
          </w:p>
        </w:tc>
      </w:tr>
      <w:tr w:rsidR="003B358E" w:rsidTr="002C7132">
        <w:trPr>
          <w:trHeight w:val="627"/>
          <w:jc w:val="center"/>
        </w:trPr>
        <w:tc>
          <w:tcPr>
            <w:tcW w:w="1418" w:type="dxa"/>
          </w:tcPr>
          <w:p w:rsidR="003B358E" w:rsidRDefault="003B358E" w:rsidP="007632BD">
            <w:pPr>
              <w:rPr>
                <w:rFonts w:ascii="Arial" w:hAnsi="Arial" w:cs="Arial"/>
              </w:rPr>
            </w:pPr>
            <w:r>
              <w:rPr>
                <w:rFonts w:ascii="Arial" w:hAnsi="Arial" w:cs="Arial"/>
              </w:rPr>
              <w:t>CHSALHN</w:t>
            </w:r>
          </w:p>
          <w:p w:rsidR="003B358E" w:rsidRDefault="003B358E" w:rsidP="007632BD">
            <w:pPr>
              <w:rPr>
                <w:rFonts w:ascii="Arial" w:hAnsi="Arial" w:cs="Arial"/>
              </w:rPr>
            </w:pPr>
          </w:p>
        </w:tc>
        <w:tc>
          <w:tcPr>
            <w:tcW w:w="6662" w:type="dxa"/>
          </w:tcPr>
          <w:p w:rsidR="003B358E" w:rsidRPr="004379F8" w:rsidRDefault="003B358E" w:rsidP="003A1A07">
            <w:pPr>
              <w:spacing w:after="120"/>
              <w:rPr>
                <w:rFonts w:ascii="Arial" w:hAnsi="Arial" w:cs="Arial"/>
              </w:rPr>
            </w:pPr>
            <w:r w:rsidRPr="004379F8">
              <w:rPr>
                <w:rFonts w:ascii="Arial" w:hAnsi="Arial" w:cs="Arial"/>
              </w:rPr>
              <w:t xml:space="preserve">The services continue to experience most demand in the ambulatory settings. </w:t>
            </w:r>
          </w:p>
          <w:p w:rsidR="003B358E" w:rsidRPr="004379F8" w:rsidRDefault="003B358E" w:rsidP="003A1A07">
            <w:pPr>
              <w:spacing w:after="120"/>
              <w:rPr>
                <w:rFonts w:ascii="Arial" w:hAnsi="Arial" w:cs="Arial"/>
              </w:rPr>
            </w:pPr>
            <w:r>
              <w:rPr>
                <w:rFonts w:ascii="Arial" w:hAnsi="Arial" w:cs="Arial"/>
              </w:rPr>
              <w:t>Four</w:t>
            </w:r>
            <w:r w:rsidRPr="004379F8">
              <w:rPr>
                <w:rFonts w:ascii="Arial" w:hAnsi="Arial" w:cs="Arial"/>
              </w:rPr>
              <w:t xml:space="preserve"> new </w:t>
            </w:r>
            <w:proofErr w:type="spellStart"/>
            <w:r w:rsidRPr="004379F8">
              <w:rPr>
                <w:rFonts w:ascii="Arial" w:hAnsi="Arial" w:cs="Arial"/>
              </w:rPr>
              <w:t>telehealth</w:t>
            </w:r>
            <w:proofErr w:type="spellEnd"/>
            <w:r w:rsidRPr="004379F8">
              <w:rPr>
                <w:rFonts w:ascii="Arial" w:hAnsi="Arial" w:cs="Arial"/>
              </w:rPr>
              <w:t xml:space="preserve"> units were purchased for the Country General Hospital sites and were delivered late in the financial year. This will support an expansion of </w:t>
            </w:r>
            <w:proofErr w:type="spellStart"/>
            <w:r w:rsidRPr="004379F8">
              <w:rPr>
                <w:rFonts w:ascii="Arial" w:hAnsi="Arial" w:cs="Arial"/>
              </w:rPr>
              <w:t>telehealth</w:t>
            </w:r>
            <w:proofErr w:type="spellEnd"/>
            <w:r w:rsidRPr="004379F8">
              <w:rPr>
                <w:rFonts w:ascii="Arial" w:hAnsi="Arial" w:cs="Arial"/>
              </w:rPr>
              <w:t xml:space="preserve"> services linking the rehabilitation teams with metropolitan based specialists. </w:t>
            </w:r>
          </w:p>
          <w:p w:rsidR="003B358E" w:rsidRPr="004379F8" w:rsidRDefault="003B358E" w:rsidP="003A1A07">
            <w:pPr>
              <w:spacing w:after="120"/>
              <w:rPr>
                <w:rFonts w:ascii="Arial" w:hAnsi="Arial" w:cs="Arial"/>
              </w:rPr>
            </w:pPr>
            <w:r w:rsidRPr="004379F8">
              <w:rPr>
                <w:rFonts w:ascii="Arial" w:hAnsi="Arial" w:cs="Arial"/>
              </w:rPr>
              <w:t xml:space="preserve">Ongoing service improvement activities were supported through the state wide clinical leads. </w:t>
            </w:r>
          </w:p>
          <w:p w:rsidR="003B358E" w:rsidRDefault="003B358E" w:rsidP="003A1A07">
            <w:pPr>
              <w:rPr>
                <w:rFonts w:ascii="Arial" w:hAnsi="Arial" w:cs="Arial"/>
              </w:rPr>
            </w:pPr>
            <w:r w:rsidRPr="004379F8">
              <w:rPr>
                <w:rFonts w:ascii="Arial" w:hAnsi="Arial" w:cs="Arial"/>
              </w:rPr>
              <w:t>Teams transitioned from AROC version 3 to AROC version 4 data collection.</w:t>
            </w:r>
          </w:p>
        </w:tc>
        <w:tc>
          <w:tcPr>
            <w:tcW w:w="1559" w:type="dxa"/>
          </w:tcPr>
          <w:p w:rsidR="003B358E" w:rsidRPr="007C1C40" w:rsidRDefault="003B358E" w:rsidP="007C1C40">
            <w:pPr>
              <w:rPr>
                <w:rFonts w:ascii="Arial" w:hAnsi="Arial" w:cs="Arial"/>
                <w:highlight w:val="yellow"/>
              </w:rPr>
            </w:pPr>
            <w:r w:rsidRPr="004379F8">
              <w:rPr>
                <w:rFonts w:ascii="Arial" w:hAnsi="Arial" w:cs="Arial"/>
              </w:rPr>
              <w:t>$2,000,000</w:t>
            </w:r>
          </w:p>
        </w:tc>
      </w:tr>
    </w:tbl>
    <w:p w:rsidR="00F36E4E" w:rsidRDefault="00F36E4E" w:rsidP="00F36E4E"/>
    <w:tbl>
      <w:tblPr>
        <w:tblpPr w:leftFromText="180" w:rightFromText="180" w:vertAnchor="text" w:horzAnchor="margin" w:tblpXSpec="center" w:tblpY="10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
        <w:gridCol w:w="6628"/>
        <w:gridCol w:w="34"/>
        <w:gridCol w:w="1559"/>
      </w:tblGrid>
      <w:tr w:rsidR="007C1C40" w:rsidTr="002C7132">
        <w:trPr>
          <w:trHeight w:val="126"/>
        </w:trPr>
        <w:tc>
          <w:tcPr>
            <w:tcW w:w="1384" w:type="dxa"/>
            <w:vAlign w:val="center"/>
          </w:tcPr>
          <w:p w:rsidR="007C1C40" w:rsidRDefault="007C1C40" w:rsidP="007632BD">
            <w:pPr>
              <w:jc w:val="center"/>
              <w:rPr>
                <w:rFonts w:ascii="Arial" w:hAnsi="Arial" w:cs="Arial"/>
                <w:b/>
              </w:rPr>
            </w:pPr>
            <w:r>
              <w:rPr>
                <w:rFonts w:ascii="Arial" w:hAnsi="Arial" w:cs="Arial"/>
              </w:rPr>
              <w:br w:type="page"/>
            </w:r>
            <w:r>
              <w:rPr>
                <w:rFonts w:ascii="Arial" w:hAnsi="Arial" w:cs="Arial"/>
                <w:b/>
              </w:rPr>
              <w:t>Subacute Area</w:t>
            </w:r>
          </w:p>
        </w:tc>
        <w:tc>
          <w:tcPr>
            <w:tcW w:w="6662" w:type="dxa"/>
            <w:gridSpan w:val="2"/>
            <w:vAlign w:val="center"/>
          </w:tcPr>
          <w:p w:rsidR="007C1C40" w:rsidRDefault="007C1C40" w:rsidP="007632BD">
            <w:pPr>
              <w:jc w:val="center"/>
              <w:rPr>
                <w:rFonts w:ascii="Arial" w:hAnsi="Arial" w:cs="Arial"/>
                <w:b/>
              </w:rPr>
            </w:pPr>
            <w:r>
              <w:rPr>
                <w:rFonts w:ascii="Arial" w:hAnsi="Arial" w:cs="Arial"/>
                <w:b/>
              </w:rPr>
              <w:t xml:space="preserve">High Level Summary </w:t>
            </w:r>
          </w:p>
        </w:tc>
        <w:tc>
          <w:tcPr>
            <w:tcW w:w="1593" w:type="dxa"/>
            <w:gridSpan w:val="2"/>
            <w:vAlign w:val="center"/>
          </w:tcPr>
          <w:p w:rsidR="007C1C40" w:rsidRDefault="007C1C40" w:rsidP="007632BD">
            <w:pPr>
              <w:jc w:val="center"/>
              <w:rPr>
                <w:rFonts w:ascii="Arial" w:hAnsi="Arial" w:cs="Arial"/>
                <w:b/>
              </w:rPr>
            </w:pPr>
            <w:r>
              <w:rPr>
                <w:rFonts w:ascii="Arial" w:hAnsi="Arial" w:cs="Arial"/>
                <w:b/>
              </w:rPr>
              <w:t>FY 2012/13</w:t>
            </w:r>
          </w:p>
          <w:p w:rsidR="007C1C40" w:rsidRDefault="007C1C40" w:rsidP="007632BD">
            <w:pPr>
              <w:jc w:val="center"/>
              <w:rPr>
                <w:rFonts w:ascii="Arial" w:hAnsi="Arial" w:cs="Arial"/>
                <w:b/>
              </w:rPr>
            </w:pPr>
            <w:r>
              <w:rPr>
                <w:rFonts w:ascii="Arial" w:hAnsi="Arial" w:cs="Arial"/>
                <w:b/>
              </w:rPr>
              <w:t>Funding Allocation</w:t>
            </w:r>
          </w:p>
        </w:tc>
      </w:tr>
      <w:tr w:rsidR="007C1C40" w:rsidTr="002C7132">
        <w:trPr>
          <w:trHeight w:val="126"/>
        </w:trPr>
        <w:tc>
          <w:tcPr>
            <w:tcW w:w="9639" w:type="dxa"/>
            <w:gridSpan w:val="5"/>
          </w:tcPr>
          <w:p w:rsidR="007C1C40" w:rsidRDefault="007C1C40" w:rsidP="007C1C40">
            <w:pPr>
              <w:rPr>
                <w:rFonts w:ascii="Arial" w:hAnsi="Arial" w:cs="Arial"/>
                <w:b/>
              </w:rPr>
            </w:pPr>
            <w:r>
              <w:rPr>
                <w:rFonts w:ascii="Arial" w:hAnsi="Arial" w:cs="Arial"/>
                <w:b/>
              </w:rPr>
              <w:t>2. GEM:</w:t>
            </w:r>
          </w:p>
        </w:tc>
      </w:tr>
      <w:tr w:rsidR="003B358E" w:rsidTr="002C7132">
        <w:trPr>
          <w:trHeight w:val="711"/>
        </w:trPr>
        <w:tc>
          <w:tcPr>
            <w:tcW w:w="1418" w:type="dxa"/>
            <w:gridSpan w:val="2"/>
          </w:tcPr>
          <w:p w:rsidR="003B358E" w:rsidRDefault="003B358E" w:rsidP="009B6AFC">
            <w:pPr>
              <w:rPr>
                <w:rFonts w:ascii="Arial" w:hAnsi="Arial" w:cs="Arial"/>
              </w:rPr>
            </w:pPr>
            <w:r>
              <w:rPr>
                <w:rFonts w:ascii="Arial" w:hAnsi="Arial" w:cs="Arial"/>
              </w:rPr>
              <w:t>CALHN</w:t>
            </w:r>
          </w:p>
        </w:tc>
        <w:tc>
          <w:tcPr>
            <w:tcW w:w="6662" w:type="dxa"/>
            <w:gridSpan w:val="2"/>
          </w:tcPr>
          <w:p w:rsidR="003B358E" w:rsidRPr="003B0416" w:rsidRDefault="003B358E" w:rsidP="003A1A07">
            <w:pPr>
              <w:spacing w:after="120"/>
              <w:rPr>
                <w:rFonts w:ascii="Arial" w:hAnsi="Arial" w:cs="Arial"/>
              </w:rPr>
            </w:pPr>
            <w:r w:rsidRPr="003B0416">
              <w:rPr>
                <w:rFonts w:ascii="Arial" w:hAnsi="Arial" w:cs="Arial"/>
              </w:rPr>
              <w:t xml:space="preserve">Community GEM </w:t>
            </w:r>
            <w:r>
              <w:rPr>
                <w:rFonts w:ascii="Arial" w:hAnsi="Arial" w:cs="Arial"/>
              </w:rPr>
              <w:t>–</w:t>
            </w:r>
            <w:r w:rsidRPr="003B0416">
              <w:rPr>
                <w:rFonts w:ascii="Arial" w:hAnsi="Arial" w:cs="Arial"/>
              </w:rPr>
              <w:t xml:space="preserve"> MAST</w:t>
            </w:r>
            <w:r>
              <w:rPr>
                <w:rFonts w:ascii="Arial" w:hAnsi="Arial" w:cs="Arial"/>
              </w:rPr>
              <w:br/>
            </w:r>
            <w:r>
              <w:rPr>
                <w:rFonts w:ascii="Arial" w:hAnsi="Arial" w:cs="Arial"/>
              </w:rPr>
              <w:br/>
            </w:r>
            <w:r w:rsidRPr="003B0416">
              <w:rPr>
                <w:rFonts w:ascii="Arial" w:hAnsi="Arial" w:cs="Arial"/>
              </w:rPr>
              <w:t xml:space="preserve">The split of the Community GEM service split occurred between CALHN and NALHN </w:t>
            </w:r>
            <w:r>
              <w:rPr>
                <w:rFonts w:ascii="Arial" w:hAnsi="Arial" w:cs="Arial"/>
              </w:rPr>
              <w:t xml:space="preserve">on July 1, 2012. </w:t>
            </w:r>
            <w:r w:rsidRPr="003B0416">
              <w:rPr>
                <w:rFonts w:ascii="Arial" w:hAnsi="Arial" w:cs="Arial"/>
              </w:rPr>
              <w:t>As a result, there was a reduction in the</w:t>
            </w:r>
            <w:r>
              <w:rPr>
                <w:rFonts w:ascii="Arial" w:hAnsi="Arial" w:cs="Arial"/>
              </w:rPr>
              <w:t xml:space="preserve"> number of FTE for the service. </w:t>
            </w:r>
            <w:r w:rsidRPr="003B0416">
              <w:rPr>
                <w:rFonts w:ascii="Arial" w:hAnsi="Arial" w:cs="Arial"/>
              </w:rPr>
              <w:t>While this caused challenges for the service, the client services grew.</w:t>
            </w:r>
            <w:r>
              <w:rPr>
                <w:rFonts w:ascii="Arial" w:hAnsi="Arial" w:cs="Arial"/>
              </w:rPr>
              <w:br/>
            </w:r>
            <w:r>
              <w:rPr>
                <w:rFonts w:ascii="Arial" w:hAnsi="Arial" w:cs="Arial"/>
              </w:rPr>
              <w:br/>
            </w:r>
            <w:r w:rsidRPr="003B0416">
              <w:rPr>
                <w:rFonts w:ascii="Arial" w:hAnsi="Arial" w:cs="Arial"/>
              </w:rPr>
              <w:t>A new initiative which s</w:t>
            </w:r>
            <w:r w:rsidRPr="008F1224">
              <w:rPr>
                <w:rFonts w:ascii="Arial" w:hAnsi="Arial" w:cs="Arial"/>
              </w:rPr>
              <w:t>aw the integration of Integrated Complex Care Older People</w:t>
            </w:r>
            <w:r w:rsidRPr="003B0416">
              <w:rPr>
                <w:rFonts w:ascii="Arial" w:hAnsi="Arial" w:cs="Arial"/>
              </w:rPr>
              <w:t xml:space="preserve"> with Community GEM allowed the service to </w:t>
            </w:r>
            <w:r>
              <w:rPr>
                <w:rFonts w:ascii="Arial" w:hAnsi="Arial" w:cs="Arial"/>
              </w:rPr>
              <w:t xml:space="preserve">meet increased service demands. </w:t>
            </w:r>
            <w:r>
              <w:rPr>
                <w:rFonts w:ascii="Arial" w:hAnsi="Arial" w:cs="Arial"/>
              </w:rPr>
              <w:br/>
            </w:r>
            <w:r>
              <w:rPr>
                <w:rFonts w:ascii="Arial" w:hAnsi="Arial" w:cs="Arial"/>
              </w:rPr>
              <w:br/>
            </w:r>
            <w:r w:rsidRPr="003B0416">
              <w:rPr>
                <w:rFonts w:ascii="Arial" w:hAnsi="Arial" w:cs="Arial"/>
              </w:rPr>
              <w:t>TQEH GEM Unit was established in 2009. There was no additional funding in 2012/2013 to the GEM Unit and so, the focus was on service improvement with a focus on safety and quality and building future capacity</w:t>
            </w:r>
            <w:r>
              <w:rPr>
                <w:rFonts w:ascii="Arial" w:hAnsi="Arial" w:cs="Arial"/>
              </w:rPr>
              <w:t xml:space="preserve"> through teaching and training.</w:t>
            </w:r>
            <w:r>
              <w:rPr>
                <w:rFonts w:ascii="Arial" w:hAnsi="Arial" w:cs="Arial"/>
              </w:rPr>
              <w:br/>
            </w:r>
            <w:r w:rsidRPr="003B0416">
              <w:rPr>
                <w:rFonts w:ascii="Arial" w:hAnsi="Arial" w:cs="Arial"/>
              </w:rPr>
              <w:t>1) Average Length of Stay (ALOS): The majority of patients in the GEM Unit are aged 80 years and older and the unit has contributed positively to the overall reduction in ALOS seen in the Queen Elizabeth Hospital- 2012   7.03 days vs. 2008   8.42 days for patients aged 80 years and older.</w:t>
            </w:r>
            <w:r>
              <w:rPr>
                <w:rFonts w:ascii="Arial" w:hAnsi="Arial" w:cs="Arial"/>
              </w:rPr>
              <w:br/>
            </w:r>
            <w:r w:rsidRPr="003B0416">
              <w:rPr>
                <w:rFonts w:ascii="Arial" w:hAnsi="Arial" w:cs="Arial"/>
              </w:rPr>
              <w:t>2) Achieving or Contributing To Evidence Based Practice:</w:t>
            </w:r>
          </w:p>
          <w:p w:rsidR="003B358E" w:rsidRDefault="003B358E" w:rsidP="003A1A07">
            <w:pPr>
              <w:rPr>
                <w:rFonts w:ascii="Arial" w:hAnsi="Arial" w:cs="Arial"/>
              </w:rPr>
            </w:pPr>
            <w:r w:rsidRPr="003B0416">
              <w:rPr>
                <w:rFonts w:ascii="Arial" w:hAnsi="Arial" w:cs="Arial"/>
              </w:rPr>
              <w:t>Quality improvement initiatives undertaken in the 2012/2013 year:</w:t>
            </w:r>
            <w:r>
              <w:rPr>
                <w:rFonts w:ascii="Arial" w:hAnsi="Arial" w:cs="Arial"/>
              </w:rPr>
              <w:br/>
              <w:t>Medications:</w:t>
            </w:r>
            <w:r w:rsidRPr="003B0416">
              <w:rPr>
                <w:rFonts w:ascii="Arial" w:hAnsi="Arial" w:cs="Arial"/>
              </w:rPr>
              <w:t xml:space="preserve"> The GEM clinical pharmacist audited prescribing practices at discharge from the TQEH Geriatric Evaluation and Management Unit between 2008 and 2012 using the Screening Tool of Older Person’s Prescription (STOPP) and noted a significant reduction in the prescribing of inappropriate medications contributing to falls risk- i.e. neuroleptics and sedatives.</w:t>
            </w:r>
            <w:r>
              <w:rPr>
                <w:rFonts w:ascii="Arial" w:hAnsi="Arial" w:cs="Arial"/>
              </w:rPr>
              <w:br/>
            </w:r>
            <w:r>
              <w:rPr>
                <w:rFonts w:ascii="Arial" w:hAnsi="Arial" w:cs="Arial"/>
              </w:rPr>
              <w:br/>
            </w:r>
            <w:r w:rsidRPr="003B0416">
              <w:rPr>
                <w:rFonts w:ascii="Arial" w:hAnsi="Arial" w:cs="Arial"/>
              </w:rPr>
              <w:t>Falls Prevention: An audit of update and display of ‘bedside posters’ to facilitate clinical handover as part of best practice in terms of falls prevention in the TQEH Geriatric Evaluation and Management Unit revealed poor adherence as a result of challenges arising from the current complex paper and sticker system. In collaboration with engineering researchers, a handheld information tool (HIT) has been developed and action research to evaluate the implementation of the HIT tool supported process will be undertaken over the next 12 months. Also, clinicians and patients from the unit have also been participating in research to develop an innovative movement sensor alarm system to prevent falls in collaboration with University of Adelaide researchers.</w:t>
            </w:r>
            <w:r>
              <w:rPr>
                <w:rFonts w:ascii="Arial" w:hAnsi="Arial" w:cs="Arial"/>
              </w:rPr>
              <w:br/>
            </w:r>
            <w:r>
              <w:rPr>
                <w:rFonts w:ascii="Arial" w:hAnsi="Arial" w:cs="Arial"/>
              </w:rPr>
              <w:br/>
            </w:r>
            <w:r w:rsidRPr="003B0416">
              <w:rPr>
                <w:rFonts w:ascii="Arial" w:hAnsi="Arial" w:cs="Arial"/>
              </w:rPr>
              <w:t>3) Supporting Teaching and Training: Building Capacity For The Future</w:t>
            </w:r>
            <w:r>
              <w:rPr>
                <w:rFonts w:ascii="Arial" w:hAnsi="Arial" w:cs="Arial"/>
              </w:rPr>
              <w:t>.</w:t>
            </w:r>
            <w:r>
              <w:rPr>
                <w:rFonts w:ascii="Arial" w:hAnsi="Arial" w:cs="Arial"/>
              </w:rPr>
              <w:br/>
            </w:r>
            <w:r>
              <w:rPr>
                <w:rFonts w:ascii="Arial" w:hAnsi="Arial" w:cs="Arial"/>
              </w:rPr>
              <w:br/>
            </w:r>
            <w:r w:rsidRPr="003B0416">
              <w:rPr>
                <w:rFonts w:ascii="Arial" w:hAnsi="Arial" w:cs="Arial"/>
              </w:rPr>
              <w:t>Undergraduate students: The unit hosts undergraduate medical, nursing, allied health and pharmacy student and provides them with exposure to gerontology.</w:t>
            </w:r>
            <w:r>
              <w:rPr>
                <w:rFonts w:ascii="Arial" w:hAnsi="Arial" w:cs="Arial"/>
              </w:rPr>
              <w:br/>
            </w:r>
            <w:r>
              <w:rPr>
                <w:rFonts w:ascii="Arial" w:hAnsi="Arial" w:cs="Arial"/>
              </w:rPr>
              <w:br/>
            </w:r>
            <w:r w:rsidRPr="003B0416">
              <w:rPr>
                <w:rFonts w:ascii="Arial" w:hAnsi="Arial" w:cs="Arial"/>
              </w:rPr>
              <w:t>Postgraduate students:  PhD students (1 completed in 2013) in the areas of nutrition, oral health, technology &amp; falls p</w:t>
            </w:r>
            <w:r>
              <w:rPr>
                <w:rFonts w:ascii="Arial" w:hAnsi="Arial" w:cs="Arial"/>
              </w:rPr>
              <w:t>revention and medication optimis</w:t>
            </w:r>
            <w:r w:rsidRPr="003B0416">
              <w:rPr>
                <w:rFonts w:ascii="Arial" w:hAnsi="Arial" w:cs="Arial"/>
              </w:rPr>
              <w:t>ation</w:t>
            </w:r>
            <w:r>
              <w:rPr>
                <w:rFonts w:ascii="Arial" w:hAnsi="Arial" w:cs="Arial"/>
              </w:rPr>
              <w:t xml:space="preserve"> </w:t>
            </w:r>
            <w:r w:rsidRPr="003B0416">
              <w:rPr>
                <w:rFonts w:ascii="Arial" w:hAnsi="Arial" w:cs="Arial"/>
              </w:rPr>
              <w:t>2 Masters students in the area of technology and falls prevention</w:t>
            </w:r>
            <w:r>
              <w:rPr>
                <w:rFonts w:ascii="Arial" w:hAnsi="Arial" w:cs="Arial"/>
              </w:rPr>
              <w:t>.</w:t>
            </w:r>
            <w:r>
              <w:rPr>
                <w:rFonts w:ascii="Arial" w:hAnsi="Arial" w:cs="Arial"/>
              </w:rPr>
              <w:br/>
            </w:r>
            <w:r>
              <w:rPr>
                <w:rFonts w:ascii="Arial" w:hAnsi="Arial" w:cs="Arial"/>
              </w:rPr>
              <w:br/>
            </w:r>
            <w:r w:rsidRPr="003B0416">
              <w:rPr>
                <w:rFonts w:ascii="Arial" w:hAnsi="Arial" w:cs="Arial"/>
              </w:rPr>
              <w:t xml:space="preserve">Postgraduate training: An in-service program is in place for all clinical staff. The principle </w:t>
            </w:r>
            <w:r>
              <w:rPr>
                <w:rFonts w:ascii="Arial" w:hAnsi="Arial" w:cs="Arial"/>
              </w:rPr>
              <w:t>being</w:t>
            </w:r>
            <w:r w:rsidRPr="003B0416">
              <w:rPr>
                <w:rFonts w:ascii="Arial" w:hAnsi="Arial" w:cs="Arial"/>
              </w:rPr>
              <w:t xml:space="preserve"> that expert clinicians support the training of rotational staff who in turn take their skills elsewhere through the hospital improving th</w:t>
            </w:r>
            <w:r>
              <w:rPr>
                <w:rFonts w:ascii="Arial" w:hAnsi="Arial" w:cs="Arial"/>
              </w:rPr>
              <w:t xml:space="preserve">e care </w:t>
            </w:r>
            <w:r w:rsidRPr="003B0416">
              <w:rPr>
                <w:rFonts w:ascii="Arial" w:hAnsi="Arial" w:cs="Arial"/>
              </w:rPr>
              <w:t xml:space="preserve">older patients </w:t>
            </w:r>
            <w:r>
              <w:rPr>
                <w:rFonts w:ascii="Arial" w:hAnsi="Arial" w:cs="Arial"/>
              </w:rPr>
              <w:t>receive</w:t>
            </w:r>
            <w:r w:rsidRPr="003B0416">
              <w:rPr>
                <w:rFonts w:ascii="Arial" w:hAnsi="Arial" w:cs="Arial"/>
              </w:rPr>
              <w:t>.</w:t>
            </w:r>
          </w:p>
          <w:p w:rsidR="003B358E" w:rsidRDefault="003B358E" w:rsidP="003A1A07">
            <w:pPr>
              <w:rPr>
                <w:rFonts w:ascii="Arial" w:hAnsi="Arial" w:cs="Arial"/>
              </w:rPr>
            </w:pPr>
            <w:r>
              <w:rPr>
                <w:rFonts w:ascii="Arial" w:hAnsi="Arial" w:cs="Arial"/>
              </w:rPr>
              <w:br/>
            </w:r>
            <w:r w:rsidRPr="003B0416">
              <w:rPr>
                <w:rFonts w:ascii="Arial" w:hAnsi="Arial" w:cs="Arial"/>
              </w:rPr>
              <w:t xml:space="preserve">4) Engaging With Consumers: The unit has had </w:t>
            </w:r>
            <w:r>
              <w:rPr>
                <w:rFonts w:ascii="Arial" w:hAnsi="Arial" w:cs="Arial"/>
              </w:rPr>
              <w:t>effective</w:t>
            </w:r>
            <w:r w:rsidRPr="003B0416">
              <w:rPr>
                <w:rFonts w:ascii="Arial" w:hAnsi="Arial" w:cs="Arial"/>
              </w:rPr>
              <w:t xml:space="preserve"> engagement with and support </w:t>
            </w:r>
            <w:r>
              <w:rPr>
                <w:rFonts w:ascii="Arial" w:hAnsi="Arial" w:cs="Arial"/>
              </w:rPr>
              <w:t xml:space="preserve">from consumers and volunteers. </w:t>
            </w:r>
          </w:p>
        </w:tc>
        <w:tc>
          <w:tcPr>
            <w:tcW w:w="1559" w:type="dxa"/>
          </w:tcPr>
          <w:p w:rsidR="003B358E" w:rsidRDefault="003B358E" w:rsidP="009B6AFC">
            <w:pPr>
              <w:rPr>
                <w:rFonts w:ascii="Arial" w:hAnsi="Arial" w:cs="Arial"/>
              </w:rPr>
            </w:pPr>
            <w:r>
              <w:rPr>
                <w:rFonts w:ascii="Arial" w:hAnsi="Arial" w:cs="Arial"/>
              </w:rPr>
              <w:t>$578,722</w:t>
            </w:r>
          </w:p>
        </w:tc>
      </w:tr>
      <w:tr w:rsidR="003B358E" w:rsidTr="002C7132">
        <w:trPr>
          <w:trHeight w:val="711"/>
        </w:trPr>
        <w:tc>
          <w:tcPr>
            <w:tcW w:w="1418" w:type="dxa"/>
            <w:gridSpan w:val="2"/>
          </w:tcPr>
          <w:p w:rsidR="003B358E" w:rsidRDefault="003B358E" w:rsidP="009B6AFC">
            <w:pPr>
              <w:rPr>
                <w:rFonts w:ascii="Arial" w:hAnsi="Arial" w:cs="Arial"/>
              </w:rPr>
            </w:pPr>
            <w:r>
              <w:rPr>
                <w:rFonts w:ascii="Arial" w:hAnsi="Arial" w:cs="Arial"/>
              </w:rPr>
              <w:t>NALHN</w:t>
            </w:r>
          </w:p>
        </w:tc>
        <w:tc>
          <w:tcPr>
            <w:tcW w:w="6662" w:type="dxa"/>
            <w:gridSpan w:val="2"/>
          </w:tcPr>
          <w:p w:rsidR="003B358E" w:rsidRDefault="003B358E" w:rsidP="003A1A07">
            <w:pPr>
              <w:rPr>
                <w:rFonts w:ascii="Arial" w:hAnsi="Arial" w:cs="Arial"/>
              </w:rPr>
            </w:pPr>
            <w:r w:rsidRPr="00620277">
              <w:rPr>
                <w:rFonts w:ascii="Arial" w:hAnsi="Arial" w:cs="Arial"/>
              </w:rPr>
              <w:t>In August 2012 the NALHN team collocated with the GEM service and other subacute services at Modbury Hospital.</w:t>
            </w:r>
            <w:r>
              <w:rPr>
                <w:rFonts w:ascii="Arial" w:hAnsi="Arial" w:cs="Arial"/>
              </w:rPr>
              <w:br/>
            </w:r>
            <w:r w:rsidRPr="00620277">
              <w:rPr>
                <w:rFonts w:ascii="Arial" w:hAnsi="Arial" w:cs="Arial"/>
              </w:rPr>
              <w:t>The community team consolidated previous functions under the Community GEM banner and commenced providing both outreach and clinic services for older people within NALHN.</w:t>
            </w:r>
            <w:r>
              <w:rPr>
                <w:rFonts w:ascii="Arial" w:hAnsi="Arial" w:cs="Arial"/>
              </w:rPr>
              <w:br/>
            </w:r>
            <w:r>
              <w:rPr>
                <w:rFonts w:ascii="Arial" w:hAnsi="Arial" w:cs="Arial"/>
              </w:rPr>
              <w:br/>
            </w:r>
            <w:r w:rsidRPr="00620277">
              <w:rPr>
                <w:rFonts w:ascii="Arial" w:hAnsi="Arial" w:cs="Arial"/>
              </w:rPr>
              <w:t xml:space="preserve">Falls services had </w:t>
            </w:r>
            <w:r>
              <w:rPr>
                <w:rFonts w:ascii="Arial" w:hAnsi="Arial" w:cs="Arial"/>
              </w:rPr>
              <w:t>in excess of 500 referrals during the 2012/</w:t>
            </w:r>
            <w:r w:rsidRPr="00620277">
              <w:rPr>
                <w:rFonts w:ascii="Arial" w:hAnsi="Arial" w:cs="Arial"/>
              </w:rPr>
              <w:t>13 year – with over 220 people seen within multi-disciplinary Falls Clinics (geriatrician, nurse, OT and Physio) and a further</w:t>
            </w:r>
            <w:r>
              <w:rPr>
                <w:rFonts w:ascii="Arial" w:hAnsi="Arial" w:cs="Arial"/>
              </w:rPr>
              <w:t xml:space="preserve"> </w:t>
            </w:r>
            <w:r w:rsidRPr="00620277">
              <w:rPr>
                <w:rFonts w:ascii="Arial" w:hAnsi="Arial" w:cs="Arial"/>
              </w:rPr>
              <w:t>140 being referred to Day Therapy and other community services.</w:t>
            </w:r>
            <w:r>
              <w:rPr>
                <w:rFonts w:ascii="Arial" w:hAnsi="Arial" w:cs="Arial"/>
              </w:rPr>
              <w:br/>
            </w:r>
            <w:r>
              <w:rPr>
                <w:rFonts w:ascii="Arial" w:hAnsi="Arial" w:cs="Arial"/>
              </w:rPr>
              <w:br/>
            </w:r>
            <w:r w:rsidRPr="00620277">
              <w:rPr>
                <w:rFonts w:ascii="Arial" w:hAnsi="Arial" w:cs="Arial"/>
              </w:rPr>
              <w:t>The Community GEM service provided support for over 200 people during the year – providing multidisciplinary nursing, social work, physio, OT and geriatrician services for complex older people living at home.</w:t>
            </w:r>
            <w:r>
              <w:rPr>
                <w:rFonts w:ascii="Arial" w:hAnsi="Arial" w:cs="Arial"/>
              </w:rPr>
              <w:br/>
            </w:r>
            <w:r>
              <w:rPr>
                <w:rFonts w:ascii="Arial" w:hAnsi="Arial" w:cs="Arial"/>
              </w:rPr>
              <w:br/>
              <w:t>The m</w:t>
            </w:r>
            <w:r w:rsidRPr="00620277">
              <w:rPr>
                <w:rFonts w:ascii="Arial" w:hAnsi="Arial" w:cs="Arial"/>
              </w:rPr>
              <w:t>ove to Modbury has seen opportunities to plan services across the sub-acute area and develop better pathways and service systems.</w:t>
            </w:r>
          </w:p>
        </w:tc>
        <w:tc>
          <w:tcPr>
            <w:tcW w:w="1559" w:type="dxa"/>
          </w:tcPr>
          <w:p w:rsidR="003B358E" w:rsidRDefault="003B358E" w:rsidP="009B6AFC">
            <w:pPr>
              <w:rPr>
                <w:rFonts w:ascii="Arial" w:hAnsi="Arial" w:cs="Arial"/>
              </w:rPr>
            </w:pPr>
            <w:r>
              <w:rPr>
                <w:rFonts w:ascii="Arial" w:hAnsi="Arial" w:cs="Arial"/>
              </w:rPr>
              <w:t>$</w:t>
            </w:r>
            <w:r w:rsidRPr="00620277">
              <w:rPr>
                <w:rFonts w:ascii="Arial" w:hAnsi="Arial" w:cs="Arial"/>
              </w:rPr>
              <w:t>578,722</w:t>
            </w:r>
          </w:p>
        </w:tc>
      </w:tr>
      <w:tr w:rsidR="003B358E" w:rsidTr="002C7132">
        <w:trPr>
          <w:trHeight w:val="126"/>
        </w:trPr>
        <w:tc>
          <w:tcPr>
            <w:tcW w:w="1418" w:type="dxa"/>
            <w:gridSpan w:val="2"/>
          </w:tcPr>
          <w:p w:rsidR="003B358E" w:rsidRDefault="003B358E" w:rsidP="009B6AFC">
            <w:pPr>
              <w:rPr>
                <w:rFonts w:ascii="Arial" w:hAnsi="Arial" w:cs="Arial"/>
              </w:rPr>
            </w:pPr>
            <w:r>
              <w:rPr>
                <w:rFonts w:ascii="Arial" w:hAnsi="Arial" w:cs="Arial"/>
              </w:rPr>
              <w:t>SALHN</w:t>
            </w:r>
          </w:p>
        </w:tc>
        <w:tc>
          <w:tcPr>
            <w:tcW w:w="6662" w:type="dxa"/>
            <w:gridSpan w:val="2"/>
          </w:tcPr>
          <w:p w:rsidR="003B358E" w:rsidRDefault="003B358E" w:rsidP="003A1A07">
            <w:pPr>
              <w:spacing w:before="100" w:beforeAutospacing="1" w:after="100" w:afterAutospacing="1"/>
              <w:rPr>
                <w:lang w:val="en"/>
              </w:rPr>
            </w:pPr>
            <w:r>
              <w:rPr>
                <w:rFonts w:ascii="Arial" w:hAnsi="Arial" w:cs="Arial"/>
              </w:rPr>
              <w:t>The 4</w:t>
            </w:r>
            <w:r w:rsidRPr="00D17919">
              <w:rPr>
                <w:rFonts w:ascii="Arial" w:hAnsi="Arial" w:cs="Arial"/>
                <w:vertAlign w:val="superscript"/>
              </w:rPr>
              <w:t>th</w:t>
            </w:r>
            <w:r>
              <w:rPr>
                <w:rFonts w:ascii="Arial" w:hAnsi="Arial" w:cs="Arial"/>
              </w:rPr>
              <w:t xml:space="preserve"> Generation Ambulatory Rehabilitation Clinic opened in April 2013, integrating COAG funded services, research and teaching into a modern clinical facility. It incorporates a range of specific aged care programs, clinics and services. These include assessment and treatment of persons in the community with :</w:t>
            </w:r>
          </w:p>
          <w:p w:rsidR="003B358E" w:rsidRPr="006E2FEF" w:rsidRDefault="003B358E" w:rsidP="003B358E">
            <w:pPr>
              <w:numPr>
                <w:ilvl w:val="0"/>
                <w:numId w:val="5"/>
              </w:numPr>
              <w:spacing w:before="100" w:beforeAutospacing="1" w:after="100" w:afterAutospacing="1"/>
              <w:rPr>
                <w:rFonts w:ascii="Arial" w:hAnsi="Arial" w:cs="Arial"/>
                <w:lang w:val="en"/>
              </w:rPr>
            </w:pPr>
            <w:proofErr w:type="spellStart"/>
            <w:r w:rsidRPr="006E2FEF">
              <w:rPr>
                <w:rFonts w:ascii="Arial" w:hAnsi="Arial" w:cs="Arial"/>
                <w:lang w:val="en"/>
              </w:rPr>
              <w:t>neuro</w:t>
            </w:r>
            <w:proofErr w:type="spellEnd"/>
            <w:r w:rsidRPr="006E2FEF">
              <w:rPr>
                <w:rFonts w:ascii="Arial" w:hAnsi="Arial" w:cs="Arial"/>
                <w:lang w:val="en"/>
              </w:rPr>
              <w:t xml:space="preserve">-generative disorders such as dementia </w:t>
            </w:r>
          </w:p>
          <w:p w:rsidR="003B358E" w:rsidRPr="006E2FEF" w:rsidRDefault="003B358E" w:rsidP="003B358E">
            <w:pPr>
              <w:numPr>
                <w:ilvl w:val="0"/>
                <w:numId w:val="5"/>
              </w:numPr>
              <w:spacing w:before="100" w:beforeAutospacing="1" w:after="100" w:afterAutospacing="1"/>
              <w:rPr>
                <w:rFonts w:ascii="Arial" w:hAnsi="Arial" w:cs="Arial"/>
                <w:lang w:val="en"/>
              </w:rPr>
            </w:pPr>
            <w:r w:rsidRPr="006E2FEF">
              <w:rPr>
                <w:rFonts w:ascii="Arial" w:hAnsi="Arial" w:cs="Arial"/>
                <w:lang w:val="en"/>
              </w:rPr>
              <w:t xml:space="preserve">cognitive / memory disorders </w:t>
            </w:r>
          </w:p>
          <w:p w:rsidR="003B358E" w:rsidRPr="006E2FEF" w:rsidRDefault="003B358E" w:rsidP="003B358E">
            <w:pPr>
              <w:numPr>
                <w:ilvl w:val="0"/>
                <w:numId w:val="5"/>
              </w:numPr>
              <w:spacing w:before="100" w:beforeAutospacing="1" w:after="100" w:afterAutospacing="1"/>
              <w:rPr>
                <w:rFonts w:ascii="Arial" w:hAnsi="Arial" w:cs="Arial"/>
                <w:lang w:val="en"/>
              </w:rPr>
            </w:pPr>
            <w:r w:rsidRPr="006E2FEF">
              <w:rPr>
                <w:rFonts w:ascii="Arial" w:hAnsi="Arial" w:cs="Arial"/>
                <w:lang w:val="en"/>
              </w:rPr>
              <w:t xml:space="preserve">syncope (recurrent unconscious collapse or vertigo) </w:t>
            </w:r>
          </w:p>
          <w:p w:rsidR="003B358E" w:rsidRDefault="003B358E" w:rsidP="003A1A07">
            <w:pPr>
              <w:rPr>
                <w:rFonts w:ascii="Arial" w:hAnsi="Arial" w:cs="Arial"/>
              </w:rPr>
            </w:pPr>
            <w:r>
              <w:rPr>
                <w:rFonts w:ascii="Arial" w:hAnsi="Arial" w:cs="Arial"/>
              </w:rPr>
              <w:t>These services continue to experience high levels of demand from the community.</w:t>
            </w:r>
            <w:r>
              <w:rPr>
                <w:rFonts w:ascii="Arial" w:hAnsi="Arial" w:cs="Arial"/>
              </w:rPr>
              <w:br/>
            </w:r>
            <w:r>
              <w:rPr>
                <w:rFonts w:ascii="Arial" w:hAnsi="Arial" w:cs="Arial"/>
              </w:rPr>
              <w:br/>
              <w:t xml:space="preserve">The Community Geriatrics Outreach team is a multidisciplinary team which includes a Geriatrician. They have become well established providing a community service which is an essential component of assessment and management/ hospital avoidance of older persons in the community.  </w:t>
            </w:r>
          </w:p>
        </w:tc>
        <w:tc>
          <w:tcPr>
            <w:tcW w:w="1559" w:type="dxa"/>
          </w:tcPr>
          <w:p w:rsidR="003B358E" w:rsidRDefault="003B358E" w:rsidP="009B6AFC">
            <w:pPr>
              <w:rPr>
                <w:rFonts w:ascii="Arial" w:hAnsi="Arial" w:cs="Arial"/>
              </w:rPr>
            </w:pPr>
            <w:r>
              <w:rPr>
                <w:rFonts w:ascii="Arial" w:hAnsi="Arial" w:cs="Arial"/>
              </w:rPr>
              <w:t>$ 573 444</w:t>
            </w:r>
          </w:p>
        </w:tc>
      </w:tr>
      <w:tr w:rsidR="003B358E" w:rsidTr="002C7132">
        <w:trPr>
          <w:trHeight w:val="126"/>
        </w:trPr>
        <w:tc>
          <w:tcPr>
            <w:tcW w:w="1418" w:type="dxa"/>
            <w:gridSpan w:val="2"/>
          </w:tcPr>
          <w:p w:rsidR="003B358E" w:rsidRDefault="003B358E" w:rsidP="009B6AFC">
            <w:pPr>
              <w:rPr>
                <w:rFonts w:ascii="Arial" w:hAnsi="Arial" w:cs="Arial"/>
              </w:rPr>
            </w:pPr>
            <w:r>
              <w:rPr>
                <w:rFonts w:ascii="Arial" w:hAnsi="Arial" w:cs="Arial"/>
              </w:rPr>
              <w:t xml:space="preserve">CHSALHN </w:t>
            </w:r>
          </w:p>
        </w:tc>
        <w:tc>
          <w:tcPr>
            <w:tcW w:w="6662" w:type="dxa"/>
            <w:gridSpan w:val="2"/>
          </w:tcPr>
          <w:p w:rsidR="003B358E" w:rsidRPr="004379F8" w:rsidRDefault="003B358E" w:rsidP="003A1A07">
            <w:pPr>
              <w:spacing w:after="120"/>
              <w:rPr>
                <w:rFonts w:ascii="Arial" w:hAnsi="Arial" w:cs="Arial"/>
              </w:rPr>
            </w:pPr>
            <w:r w:rsidRPr="004379F8">
              <w:rPr>
                <w:rFonts w:ascii="Arial" w:hAnsi="Arial" w:cs="Arial"/>
              </w:rPr>
              <w:t xml:space="preserve">Services have continued to operate as they have </w:t>
            </w:r>
            <w:r>
              <w:rPr>
                <w:rFonts w:ascii="Arial" w:hAnsi="Arial" w:cs="Arial"/>
              </w:rPr>
              <w:t>in</w:t>
            </w:r>
            <w:r w:rsidRPr="004379F8">
              <w:rPr>
                <w:rFonts w:ascii="Arial" w:hAnsi="Arial" w:cs="Arial"/>
              </w:rPr>
              <w:t xml:space="preserve"> previous year</w:t>
            </w:r>
            <w:r>
              <w:rPr>
                <w:rFonts w:ascii="Arial" w:hAnsi="Arial" w:cs="Arial"/>
              </w:rPr>
              <w:t>s</w:t>
            </w:r>
            <w:r w:rsidRPr="004379F8">
              <w:rPr>
                <w:rFonts w:ascii="Arial" w:hAnsi="Arial" w:cs="Arial"/>
              </w:rPr>
              <w:t>.</w:t>
            </w:r>
            <w:r>
              <w:rPr>
                <w:rFonts w:ascii="Arial" w:hAnsi="Arial" w:cs="Arial"/>
              </w:rPr>
              <w:br/>
            </w:r>
            <w:r>
              <w:rPr>
                <w:rFonts w:ascii="Arial" w:hAnsi="Arial" w:cs="Arial"/>
              </w:rPr>
              <w:br/>
            </w:r>
            <w:r w:rsidRPr="004379F8">
              <w:rPr>
                <w:rFonts w:ascii="Arial" w:hAnsi="Arial" w:cs="Arial"/>
              </w:rPr>
              <w:t xml:space="preserve">All multi-disciplinary teams continue with a visiting </w:t>
            </w:r>
            <w:r>
              <w:rPr>
                <w:rFonts w:ascii="Arial" w:hAnsi="Arial" w:cs="Arial"/>
              </w:rPr>
              <w:t>geriatrician</w:t>
            </w:r>
            <w:r w:rsidRPr="004379F8">
              <w:rPr>
                <w:rFonts w:ascii="Arial" w:hAnsi="Arial" w:cs="Arial"/>
              </w:rPr>
              <w:t xml:space="preserve"> service supplemented by video case conferencing.</w:t>
            </w:r>
            <w:r>
              <w:rPr>
                <w:rFonts w:ascii="Arial" w:hAnsi="Arial" w:cs="Arial"/>
              </w:rPr>
              <w:br/>
            </w:r>
            <w:r>
              <w:rPr>
                <w:rFonts w:ascii="Arial" w:hAnsi="Arial" w:cs="Arial"/>
              </w:rPr>
              <w:br/>
            </w:r>
            <w:r w:rsidRPr="004379F8">
              <w:rPr>
                <w:rFonts w:ascii="Arial" w:hAnsi="Arial" w:cs="Arial"/>
              </w:rPr>
              <w:t>A major focus has been on continuing to consolidate the services.</w:t>
            </w:r>
            <w:r>
              <w:rPr>
                <w:rFonts w:ascii="Arial" w:hAnsi="Arial" w:cs="Arial"/>
              </w:rPr>
              <w:br/>
            </w:r>
            <w:r w:rsidRPr="004379F8">
              <w:rPr>
                <w:rFonts w:ascii="Arial" w:hAnsi="Arial" w:cs="Arial"/>
              </w:rPr>
              <w:t xml:space="preserve">Teams transitioned from AROC version 3 to AROC version 4 data collection. </w:t>
            </w:r>
          </w:p>
          <w:p w:rsidR="003B358E" w:rsidRDefault="003B358E" w:rsidP="003A1A07">
            <w:pPr>
              <w:spacing w:after="120"/>
              <w:rPr>
                <w:rFonts w:ascii="Arial" w:hAnsi="Arial" w:cs="Arial"/>
              </w:rPr>
            </w:pPr>
            <w:r w:rsidRPr="004379F8">
              <w:rPr>
                <w:rFonts w:ascii="Arial" w:hAnsi="Arial" w:cs="Arial"/>
              </w:rPr>
              <w:t>Uncertainty in funding towards the end of the financial year has impacted on teams.</w:t>
            </w:r>
          </w:p>
        </w:tc>
        <w:tc>
          <w:tcPr>
            <w:tcW w:w="1559" w:type="dxa"/>
          </w:tcPr>
          <w:p w:rsidR="003B358E" w:rsidRDefault="003B358E" w:rsidP="009B6AFC">
            <w:pPr>
              <w:rPr>
                <w:rFonts w:ascii="Arial" w:hAnsi="Arial" w:cs="Arial"/>
              </w:rPr>
            </w:pPr>
            <w:r w:rsidRPr="004379F8">
              <w:rPr>
                <w:rFonts w:ascii="Arial" w:hAnsi="Arial" w:cs="Arial"/>
              </w:rPr>
              <w:t>$1,000,000</w:t>
            </w:r>
          </w:p>
        </w:tc>
      </w:tr>
    </w:tbl>
    <w:p w:rsidR="00F36E4E" w:rsidRDefault="00F36E4E" w:rsidP="00F36E4E"/>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6662"/>
        <w:gridCol w:w="1560"/>
      </w:tblGrid>
      <w:tr w:rsidR="00A71672" w:rsidTr="00A71672">
        <w:trPr>
          <w:trHeight w:val="883"/>
          <w:jc w:val="center"/>
        </w:trPr>
        <w:tc>
          <w:tcPr>
            <w:tcW w:w="1384" w:type="dxa"/>
            <w:tcBorders>
              <w:top w:val="single" w:sz="4" w:space="0" w:color="auto"/>
              <w:left w:val="single" w:sz="4" w:space="0" w:color="auto"/>
              <w:bottom w:val="single" w:sz="4" w:space="0" w:color="auto"/>
              <w:right w:val="single" w:sz="4" w:space="0" w:color="auto"/>
            </w:tcBorders>
            <w:vAlign w:val="center"/>
          </w:tcPr>
          <w:p w:rsidR="00A71672" w:rsidRDefault="00A71672" w:rsidP="00A71672">
            <w:pPr>
              <w:jc w:val="center"/>
              <w:rPr>
                <w:rFonts w:ascii="Arial" w:hAnsi="Arial" w:cs="Arial"/>
                <w:b/>
              </w:rPr>
            </w:pPr>
            <w:r>
              <w:rPr>
                <w:rFonts w:ascii="Arial" w:hAnsi="Arial" w:cs="Arial"/>
              </w:rPr>
              <w:br w:type="page"/>
            </w:r>
            <w:r>
              <w:rPr>
                <w:rFonts w:ascii="Arial" w:hAnsi="Arial" w:cs="Arial"/>
                <w:b/>
              </w:rPr>
              <w:t>Subacute Area</w:t>
            </w:r>
          </w:p>
        </w:tc>
        <w:tc>
          <w:tcPr>
            <w:tcW w:w="6662" w:type="dxa"/>
            <w:tcBorders>
              <w:top w:val="single" w:sz="4" w:space="0" w:color="auto"/>
              <w:left w:val="single" w:sz="4" w:space="0" w:color="auto"/>
              <w:bottom w:val="single" w:sz="4" w:space="0" w:color="auto"/>
              <w:right w:val="single" w:sz="4" w:space="0" w:color="auto"/>
            </w:tcBorders>
            <w:vAlign w:val="center"/>
          </w:tcPr>
          <w:p w:rsidR="00A71672" w:rsidRDefault="00A71672" w:rsidP="00A71672">
            <w:pPr>
              <w:jc w:val="center"/>
              <w:rPr>
                <w:rFonts w:ascii="Arial" w:hAnsi="Arial" w:cs="Arial"/>
                <w:b/>
              </w:rPr>
            </w:pPr>
            <w:r>
              <w:rPr>
                <w:rFonts w:ascii="Arial" w:hAnsi="Arial" w:cs="Arial"/>
                <w:b/>
              </w:rPr>
              <w:t xml:space="preserve">High Level Summary </w:t>
            </w:r>
          </w:p>
        </w:tc>
        <w:tc>
          <w:tcPr>
            <w:tcW w:w="1560" w:type="dxa"/>
            <w:tcBorders>
              <w:top w:val="single" w:sz="4" w:space="0" w:color="auto"/>
              <w:left w:val="single" w:sz="4" w:space="0" w:color="auto"/>
              <w:bottom w:val="single" w:sz="4" w:space="0" w:color="auto"/>
              <w:right w:val="single" w:sz="4" w:space="0" w:color="auto"/>
            </w:tcBorders>
            <w:vAlign w:val="center"/>
          </w:tcPr>
          <w:p w:rsidR="00A71672" w:rsidRDefault="00A71672" w:rsidP="00A71672">
            <w:pPr>
              <w:jc w:val="center"/>
              <w:rPr>
                <w:rFonts w:ascii="Arial" w:hAnsi="Arial" w:cs="Arial"/>
                <w:b/>
              </w:rPr>
            </w:pPr>
            <w:r>
              <w:rPr>
                <w:rFonts w:ascii="Arial" w:hAnsi="Arial" w:cs="Arial"/>
                <w:b/>
              </w:rPr>
              <w:t>FY 2012/13</w:t>
            </w:r>
          </w:p>
          <w:p w:rsidR="00A71672" w:rsidRDefault="00A71672" w:rsidP="00A71672">
            <w:pPr>
              <w:jc w:val="center"/>
              <w:rPr>
                <w:rFonts w:ascii="Arial" w:hAnsi="Arial" w:cs="Arial"/>
                <w:b/>
              </w:rPr>
            </w:pPr>
            <w:r>
              <w:rPr>
                <w:rFonts w:ascii="Arial" w:hAnsi="Arial" w:cs="Arial"/>
                <w:b/>
              </w:rPr>
              <w:t>Funding Allocation</w:t>
            </w:r>
          </w:p>
        </w:tc>
      </w:tr>
      <w:tr w:rsidR="00A71672" w:rsidTr="00A71672">
        <w:trPr>
          <w:trHeight w:val="225"/>
          <w:jc w:val="center"/>
        </w:trPr>
        <w:tc>
          <w:tcPr>
            <w:tcW w:w="9606" w:type="dxa"/>
            <w:gridSpan w:val="3"/>
            <w:tcBorders>
              <w:top w:val="single" w:sz="4" w:space="0" w:color="auto"/>
              <w:left w:val="single" w:sz="4" w:space="0" w:color="auto"/>
              <w:bottom w:val="single" w:sz="4" w:space="0" w:color="auto"/>
              <w:right w:val="single" w:sz="4" w:space="0" w:color="auto"/>
            </w:tcBorders>
            <w:vAlign w:val="center"/>
          </w:tcPr>
          <w:p w:rsidR="00A71672" w:rsidRDefault="00A71672" w:rsidP="00A71672">
            <w:pPr>
              <w:rPr>
                <w:rFonts w:ascii="Arial" w:hAnsi="Arial" w:cs="Arial"/>
                <w:b/>
              </w:rPr>
            </w:pPr>
            <w:r w:rsidRPr="002C7132">
              <w:rPr>
                <w:rFonts w:ascii="Arial" w:hAnsi="Arial" w:cs="Arial"/>
                <w:b/>
              </w:rPr>
              <w:t>3. Palliative Care:</w:t>
            </w:r>
          </w:p>
        </w:tc>
      </w:tr>
      <w:tr w:rsidR="003B358E" w:rsidTr="00A71672">
        <w:trPr>
          <w:trHeight w:val="1564"/>
          <w:jc w:val="center"/>
        </w:trPr>
        <w:tc>
          <w:tcPr>
            <w:tcW w:w="1384" w:type="dxa"/>
          </w:tcPr>
          <w:p w:rsidR="003B358E" w:rsidRDefault="003B358E" w:rsidP="00A71672">
            <w:pPr>
              <w:rPr>
                <w:rFonts w:ascii="Arial" w:hAnsi="Arial" w:cs="Arial"/>
              </w:rPr>
            </w:pPr>
            <w:r>
              <w:rPr>
                <w:rFonts w:ascii="Arial" w:hAnsi="Arial" w:cs="Arial"/>
              </w:rPr>
              <w:t>WCHN</w:t>
            </w:r>
          </w:p>
        </w:tc>
        <w:tc>
          <w:tcPr>
            <w:tcW w:w="6662" w:type="dxa"/>
          </w:tcPr>
          <w:p w:rsidR="003B358E" w:rsidRDefault="003B358E" w:rsidP="003A1A07">
            <w:pPr>
              <w:rPr>
                <w:rFonts w:ascii="Arial" w:hAnsi="Arial" w:cs="Arial"/>
              </w:rPr>
            </w:pPr>
            <w:r>
              <w:rPr>
                <w:rFonts w:ascii="Arial" w:hAnsi="Arial" w:cs="Arial"/>
              </w:rPr>
              <w:t>Research Project assessing Home Medicines Reviews was completed. End of life Care (EOLC) network policy developed, Resuscitation and EOLC Plan for paediatrics redeveloped. Establishment of perinatal palliative care services.</w:t>
            </w:r>
          </w:p>
          <w:p w:rsidR="003B358E" w:rsidRDefault="003B358E" w:rsidP="003A1A07">
            <w:pPr>
              <w:rPr>
                <w:rFonts w:ascii="Arial" w:hAnsi="Arial" w:cs="Arial"/>
              </w:rPr>
            </w:pPr>
          </w:p>
          <w:p w:rsidR="003B358E" w:rsidRDefault="003B358E" w:rsidP="003A1A07">
            <w:pPr>
              <w:rPr>
                <w:rFonts w:ascii="Arial" w:hAnsi="Arial" w:cs="Arial"/>
              </w:rPr>
            </w:pPr>
            <w:r>
              <w:rPr>
                <w:rFonts w:ascii="Arial" w:hAnsi="Arial" w:cs="Arial"/>
              </w:rPr>
              <w:t>Commencement of liaison with South Australia Ambulance Service (SAAS) regarding response and management of paediatric clients with resuscitation limitations. Project to develop on line resources for bereaved families commenced.</w:t>
            </w:r>
          </w:p>
        </w:tc>
        <w:tc>
          <w:tcPr>
            <w:tcW w:w="1560" w:type="dxa"/>
          </w:tcPr>
          <w:p w:rsidR="003B358E" w:rsidRDefault="003B358E" w:rsidP="00A71672">
            <w:pPr>
              <w:rPr>
                <w:rFonts w:ascii="Arial" w:hAnsi="Arial" w:cs="Arial"/>
              </w:rPr>
            </w:pPr>
            <w:r>
              <w:rPr>
                <w:rFonts w:ascii="Arial" w:hAnsi="Arial" w:cs="Arial"/>
              </w:rPr>
              <w:t>$278,000</w:t>
            </w:r>
          </w:p>
        </w:tc>
      </w:tr>
      <w:tr w:rsidR="003B358E" w:rsidTr="00A71672">
        <w:trPr>
          <w:trHeight w:val="1564"/>
          <w:jc w:val="center"/>
        </w:trPr>
        <w:tc>
          <w:tcPr>
            <w:tcW w:w="1384" w:type="dxa"/>
          </w:tcPr>
          <w:p w:rsidR="003B358E" w:rsidRDefault="003B358E" w:rsidP="00A71672">
            <w:pPr>
              <w:rPr>
                <w:rFonts w:ascii="Arial" w:hAnsi="Arial" w:cs="Arial"/>
              </w:rPr>
            </w:pPr>
            <w:r>
              <w:rPr>
                <w:rFonts w:ascii="Arial" w:hAnsi="Arial" w:cs="Arial"/>
              </w:rPr>
              <w:t>CALHN</w:t>
            </w:r>
          </w:p>
        </w:tc>
        <w:tc>
          <w:tcPr>
            <w:tcW w:w="6662" w:type="dxa"/>
          </w:tcPr>
          <w:p w:rsidR="003B358E" w:rsidRPr="00C56A34" w:rsidRDefault="003B358E" w:rsidP="003A1A07">
            <w:pPr>
              <w:rPr>
                <w:rFonts w:ascii="Arial" w:hAnsi="Arial" w:cs="Arial"/>
              </w:rPr>
            </w:pPr>
            <w:r w:rsidRPr="00C56A34">
              <w:rPr>
                <w:rFonts w:ascii="Arial" w:hAnsi="Arial" w:cs="Arial"/>
              </w:rPr>
              <w:t xml:space="preserve">Central Adelaide Palliative Care Service (CAPCS) is now running on the single service multisite model, delivering services at the Royal Adelaide Hospital, Mary Potter Hospice, Philip Kennedy Centre, Queen Elizabeth Hospital and in the community.  </w:t>
            </w:r>
          </w:p>
          <w:p w:rsidR="003B358E" w:rsidRPr="00C56A34" w:rsidRDefault="003B358E" w:rsidP="003A1A07">
            <w:pPr>
              <w:rPr>
                <w:rFonts w:ascii="Arial" w:hAnsi="Arial" w:cs="Arial"/>
              </w:rPr>
            </w:pPr>
          </w:p>
          <w:p w:rsidR="003B358E" w:rsidRPr="00C56A34" w:rsidRDefault="003B358E" w:rsidP="003A1A07">
            <w:pPr>
              <w:rPr>
                <w:rFonts w:ascii="Arial" w:hAnsi="Arial" w:cs="Arial"/>
              </w:rPr>
            </w:pPr>
            <w:r w:rsidRPr="00C56A34">
              <w:rPr>
                <w:rFonts w:ascii="Arial" w:hAnsi="Arial" w:cs="Arial"/>
              </w:rPr>
              <w:t>As a part of developing as a Level 6 service, the main service and administrative base of the service is Queen Elizabeth hospital, where all of the community nurses are now based.  Limited service arrangements are in place with our Level 4 partners - Adelaide Hills, Port Lincoln, Port Augusta and Whyalla.</w:t>
            </w:r>
          </w:p>
          <w:p w:rsidR="003B358E" w:rsidRPr="00C56A34" w:rsidRDefault="003B358E" w:rsidP="003A1A07">
            <w:pPr>
              <w:rPr>
                <w:rFonts w:ascii="Arial" w:hAnsi="Arial" w:cs="Arial"/>
              </w:rPr>
            </w:pPr>
          </w:p>
          <w:p w:rsidR="003B358E" w:rsidRPr="00C56A34" w:rsidRDefault="003B358E" w:rsidP="003A1A07">
            <w:pPr>
              <w:rPr>
                <w:rFonts w:ascii="Arial" w:hAnsi="Arial" w:cs="Arial"/>
              </w:rPr>
            </w:pPr>
            <w:r w:rsidRPr="00C56A34">
              <w:rPr>
                <w:rFonts w:ascii="Arial" w:hAnsi="Arial" w:cs="Arial"/>
              </w:rPr>
              <w:t>The following strategies have been implemented:</w:t>
            </w:r>
          </w:p>
          <w:p w:rsidR="003B358E" w:rsidRPr="00C56A34" w:rsidRDefault="003B358E" w:rsidP="003A1A07">
            <w:pPr>
              <w:rPr>
                <w:rFonts w:ascii="Arial" w:hAnsi="Arial" w:cs="Arial"/>
              </w:rPr>
            </w:pPr>
          </w:p>
          <w:p w:rsidR="003B358E" w:rsidRPr="00C56A34" w:rsidRDefault="003B358E" w:rsidP="003A1A07">
            <w:pPr>
              <w:rPr>
                <w:rFonts w:ascii="Arial" w:hAnsi="Arial" w:cs="Arial"/>
              </w:rPr>
            </w:pPr>
            <w:r w:rsidRPr="00C56A34">
              <w:rPr>
                <w:rFonts w:ascii="Arial" w:hAnsi="Arial" w:cs="Arial"/>
              </w:rPr>
              <w:t>1. Workforce development to increase community based services.  This has been through the creation of positions for:</w:t>
            </w:r>
          </w:p>
          <w:p w:rsidR="003B358E" w:rsidRPr="00CE6117" w:rsidRDefault="003B358E" w:rsidP="003B358E">
            <w:pPr>
              <w:pStyle w:val="ListParagraph"/>
              <w:numPr>
                <w:ilvl w:val="0"/>
                <w:numId w:val="6"/>
              </w:numPr>
              <w:rPr>
                <w:rFonts w:ascii="Arial" w:hAnsi="Arial" w:cs="Arial"/>
              </w:rPr>
            </w:pPr>
            <w:r w:rsidRPr="00CE6117">
              <w:rPr>
                <w:rFonts w:ascii="Arial" w:hAnsi="Arial" w:cs="Arial"/>
              </w:rPr>
              <w:t>Advanced Practice Pharmacist</w:t>
            </w:r>
          </w:p>
          <w:p w:rsidR="003B358E" w:rsidRPr="00CE6117" w:rsidRDefault="003B358E" w:rsidP="003B358E">
            <w:pPr>
              <w:pStyle w:val="ListParagraph"/>
              <w:numPr>
                <w:ilvl w:val="0"/>
                <w:numId w:val="6"/>
              </w:numPr>
              <w:rPr>
                <w:rFonts w:ascii="Arial" w:hAnsi="Arial" w:cs="Arial"/>
              </w:rPr>
            </w:pPr>
            <w:r w:rsidRPr="00CE6117">
              <w:rPr>
                <w:rFonts w:ascii="Arial" w:hAnsi="Arial" w:cs="Arial"/>
              </w:rPr>
              <w:t>Advanced Practice Occupational Therapist</w:t>
            </w:r>
          </w:p>
          <w:p w:rsidR="003B358E" w:rsidRPr="00C56A34" w:rsidRDefault="003B358E" w:rsidP="003B358E">
            <w:pPr>
              <w:pStyle w:val="ListParagraph"/>
              <w:numPr>
                <w:ilvl w:val="0"/>
                <w:numId w:val="6"/>
              </w:numPr>
              <w:rPr>
                <w:rFonts w:ascii="Arial" w:hAnsi="Arial" w:cs="Arial"/>
              </w:rPr>
            </w:pPr>
            <w:r w:rsidRPr="00C56A34">
              <w:rPr>
                <w:rFonts w:ascii="Arial" w:hAnsi="Arial" w:cs="Arial"/>
              </w:rPr>
              <w:t>Advanced Practice Physiotherapist (currently vacant)</w:t>
            </w:r>
          </w:p>
          <w:p w:rsidR="003B358E" w:rsidRPr="00C56A34" w:rsidRDefault="003B358E" w:rsidP="003B358E">
            <w:pPr>
              <w:pStyle w:val="ListParagraph"/>
              <w:numPr>
                <w:ilvl w:val="0"/>
                <w:numId w:val="6"/>
              </w:numPr>
              <w:rPr>
                <w:rFonts w:ascii="Arial" w:hAnsi="Arial" w:cs="Arial"/>
              </w:rPr>
            </w:pPr>
            <w:r w:rsidRPr="00C56A34">
              <w:rPr>
                <w:rFonts w:ascii="Arial" w:hAnsi="Arial" w:cs="Arial"/>
              </w:rPr>
              <w:t>Psychologist</w:t>
            </w:r>
          </w:p>
          <w:p w:rsidR="003B358E" w:rsidRPr="00C56A34" w:rsidRDefault="003B358E" w:rsidP="003B358E">
            <w:pPr>
              <w:pStyle w:val="ListParagraph"/>
              <w:numPr>
                <w:ilvl w:val="0"/>
                <w:numId w:val="6"/>
              </w:numPr>
              <w:rPr>
                <w:rFonts w:ascii="Arial" w:hAnsi="Arial" w:cs="Arial"/>
              </w:rPr>
            </w:pPr>
            <w:r w:rsidRPr="00C56A34">
              <w:rPr>
                <w:rFonts w:ascii="Arial" w:hAnsi="Arial" w:cs="Arial"/>
              </w:rPr>
              <w:t>Nurse Practitioner Candidates (2 FTE).</w:t>
            </w:r>
          </w:p>
          <w:p w:rsidR="003B358E" w:rsidRPr="00C56A34" w:rsidRDefault="003B358E" w:rsidP="003B358E">
            <w:pPr>
              <w:pStyle w:val="ListParagraph"/>
              <w:numPr>
                <w:ilvl w:val="0"/>
                <w:numId w:val="6"/>
              </w:numPr>
              <w:rPr>
                <w:rFonts w:ascii="Arial" w:hAnsi="Arial" w:cs="Arial"/>
              </w:rPr>
            </w:pPr>
            <w:r w:rsidRPr="00C56A34">
              <w:rPr>
                <w:rFonts w:ascii="Arial" w:hAnsi="Arial" w:cs="Arial"/>
              </w:rPr>
              <w:t>Additional Social Worker positions (1.8FTE)</w:t>
            </w:r>
          </w:p>
          <w:p w:rsidR="003B358E" w:rsidRPr="00C56A34" w:rsidRDefault="003B358E" w:rsidP="003B358E">
            <w:pPr>
              <w:pStyle w:val="ListParagraph"/>
              <w:numPr>
                <w:ilvl w:val="0"/>
                <w:numId w:val="6"/>
              </w:numPr>
              <w:rPr>
                <w:rFonts w:ascii="Arial" w:hAnsi="Arial" w:cs="Arial"/>
              </w:rPr>
            </w:pPr>
            <w:r w:rsidRPr="00C56A34">
              <w:rPr>
                <w:rFonts w:ascii="Arial" w:hAnsi="Arial" w:cs="Arial"/>
              </w:rPr>
              <w:t>Community Registrar (0.5FTE).</w:t>
            </w:r>
          </w:p>
          <w:p w:rsidR="003B358E" w:rsidRPr="00C56A34" w:rsidRDefault="003B358E" w:rsidP="003A1A07">
            <w:pPr>
              <w:rPr>
                <w:rFonts w:ascii="Arial" w:hAnsi="Arial" w:cs="Arial"/>
              </w:rPr>
            </w:pPr>
            <w:r w:rsidRPr="00C56A34">
              <w:rPr>
                <w:rFonts w:ascii="Arial" w:hAnsi="Arial" w:cs="Arial"/>
              </w:rPr>
              <w:t>All of these positions provide services in the community, and provide an additional resource.</w:t>
            </w:r>
          </w:p>
          <w:p w:rsidR="003B358E" w:rsidRPr="00C56A34" w:rsidRDefault="003B358E" w:rsidP="003A1A07">
            <w:pPr>
              <w:rPr>
                <w:rFonts w:ascii="Arial" w:hAnsi="Arial" w:cs="Arial"/>
              </w:rPr>
            </w:pPr>
          </w:p>
          <w:p w:rsidR="003B358E" w:rsidRPr="00C56A34" w:rsidRDefault="003B358E" w:rsidP="003A1A07">
            <w:pPr>
              <w:rPr>
                <w:rFonts w:ascii="Arial" w:hAnsi="Arial" w:cs="Arial"/>
              </w:rPr>
            </w:pPr>
            <w:r w:rsidRPr="00C56A34">
              <w:rPr>
                <w:rFonts w:ascii="Arial" w:hAnsi="Arial" w:cs="Arial"/>
              </w:rPr>
              <w:t>2.   Infrastructure development to support community services.  The development of CAPCS as a regional service, and one with a stronger community base, has required some infrastructure support in the form of regional leadership roles, some administrative capacity and additional vehicles.</w:t>
            </w:r>
            <w:r>
              <w:rPr>
                <w:rFonts w:ascii="Arial" w:hAnsi="Arial" w:cs="Arial"/>
              </w:rPr>
              <w:br/>
            </w:r>
          </w:p>
          <w:p w:rsidR="003B358E" w:rsidRDefault="003B358E" w:rsidP="003A1A07">
            <w:pPr>
              <w:rPr>
                <w:rFonts w:ascii="Arial" w:hAnsi="Arial" w:cs="Arial"/>
              </w:rPr>
            </w:pPr>
            <w:r w:rsidRPr="00C56A34">
              <w:rPr>
                <w:rFonts w:ascii="Arial" w:hAnsi="Arial" w:cs="Arial"/>
              </w:rPr>
              <w:t>3.   Bringing together the RAH and TQEH services into one regional team, CAPCS, is assisting with the streamlining of clinical practice and protocols, e.g. assessment and referral.  CAPCS has developed a bed management strategy which will ensure that all patients who require care in a hospice/hospital setting have the best possible chance of being placed appropriately and in a timely way.  This is another strategy in reducing hospital stays, and developing community options.</w:t>
            </w:r>
          </w:p>
        </w:tc>
        <w:tc>
          <w:tcPr>
            <w:tcW w:w="1560" w:type="dxa"/>
          </w:tcPr>
          <w:p w:rsidR="003B358E" w:rsidRDefault="003B358E" w:rsidP="00A71672">
            <w:pPr>
              <w:rPr>
                <w:rFonts w:ascii="Arial" w:hAnsi="Arial" w:cs="Arial"/>
              </w:rPr>
            </w:pPr>
            <w:r>
              <w:rPr>
                <w:rFonts w:ascii="Arial" w:hAnsi="Arial" w:cs="Arial"/>
              </w:rPr>
              <w:t>$691,723</w:t>
            </w:r>
          </w:p>
        </w:tc>
      </w:tr>
      <w:tr w:rsidR="003B358E" w:rsidTr="00A71672">
        <w:trPr>
          <w:trHeight w:val="1564"/>
          <w:jc w:val="center"/>
        </w:trPr>
        <w:tc>
          <w:tcPr>
            <w:tcW w:w="1384" w:type="dxa"/>
          </w:tcPr>
          <w:p w:rsidR="003B358E" w:rsidRDefault="003B358E" w:rsidP="00A71672">
            <w:pPr>
              <w:rPr>
                <w:rFonts w:ascii="Arial" w:hAnsi="Arial" w:cs="Arial"/>
              </w:rPr>
            </w:pPr>
            <w:r>
              <w:rPr>
                <w:rFonts w:ascii="Arial" w:hAnsi="Arial" w:cs="Arial"/>
              </w:rPr>
              <w:t>NALHN</w:t>
            </w:r>
          </w:p>
        </w:tc>
        <w:tc>
          <w:tcPr>
            <w:tcW w:w="6662" w:type="dxa"/>
          </w:tcPr>
          <w:p w:rsidR="003B358E" w:rsidRPr="00620277" w:rsidRDefault="003B358E" w:rsidP="003A1A07">
            <w:pPr>
              <w:rPr>
                <w:rFonts w:ascii="Arial" w:hAnsi="Arial" w:cs="Arial"/>
              </w:rPr>
            </w:pPr>
            <w:r w:rsidRPr="00620277">
              <w:rPr>
                <w:rFonts w:ascii="Arial" w:hAnsi="Arial" w:cs="Arial"/>
              </w:rPr>
              <w:t>Service Man</w:t>
            </w:r>
            <w:r>
              <w:rPr>
                <w:rFonts w:ascii="Arial" w:hAnsi="Arial" w:cs="Arial"/>
              </w:rPr>
              <w:t>a</w:t>
            </w:r>
            <w:r w:rsidRPr="00620277">
              <w:rPr>
                <w:rFonts w:ascii="Arial" w:hAnsi="Arial" w:cs="Arial"/>
              </w:rPr>
              <w:t xml:space="preserve">ger appointed in September 2012 to enable the merging of Modbury and Lyell </w:t>
            </w:r>
            <w:proofErr w:type="spellStart"/>
            <w:r w:rsidRPr="00620277">
              <w:rPr>
                <w:rFonts w:ascii="Arial" w:hAnsi="Arial" w:cs="Arial"/>
              </w:rPr>
              <w:t>McEwin</w:t>
            </w:r>
            <w:proofErr w:type="spellEnd"/>
            <w:r w:rsidRPr="00620277">
              <w:rPr>
                <w:rFonts w:ascii="Arial" w:hAnsi="Arial" w:cs="Arial"/>
              </w:rPr>
              <w:t xml:space="preserve"> Community Services. </w:t>
            </w:r>
          </w:p>
          <w:p w:rsidR="003B358E" w:rsidRPr="00620277" w:rsidRDefault="003B358E" w:rsidP="003A1A07">
            <w:pPr>
              <w:rPr>
                <w:rFonts w:ascii="Arial" w:hAnsi="Arial" w:cs="Arial"/>
              </w:rPr>
            </w:pPr>
          </w:p>
          <w:p w:rsidR="003B358E" w:rsidRPr="00620277" w:rsidRDefault="003B358E" w:rsidP="003A1A07">
            <w:pPr>
              <w:rPr>
                <w:rFonts w:ascii="Arial" w:hAnsi="Arial" w:cs="Arial"/>
              </w:rPr>
            </w:pPr>
            <w:r w:rsidRPr="00620277">
              <w:rPr>
                <w:rFonts w:ascii="Arial" w:hAnsi="Arial" w:cs="Arial"/>
              </w:rPr>
              <w:t xml:space="preserve">Lyell </w:t>
            </w:r>
            <w:proofErr w:type="spellStart"/>
            <w:r w:rsidRPr="00620277">
              <w:rPr>
                <w:rFonts w:ascii="Arial" w:hAnsi="Arial" w:cs="Arial"/>
              </w:rPr>
              <w:t>McEwin</w:t>
            </w:r>
            <w:proofErr w:type="spellEnd"/>
            <w:r w:rsidRPr="00620277">
              <w:rPr>
                <w:rFonts w:ascii="Arial" w:hAnsi="Arial" w:cs="Arial"/>
              </w:rPr>
              <w:t xml:space="preserve"> Palliative Service relocated to Modbury in 2013 and now functioning as the Northern Adelaide Palliative Service.</w:t>
            </w:r>
          </w:p>
          <w:p w:rsidR="003B358E" w:rsidRPr="00620277" w:rsidRDefault="003B358E" w:rsidP="003A1A07">
            <w:pPr>
              <w:rPr>
                <w:rFonts w:ascii="Arial" w:hAnsi="Arial" w:cs="Arial"/>
              </w:rPr>
            </w:pPr>
          </w:p>
          <w:p w:rsidR="003B358E" w:rsidRPr="00620277" w:rsidRDefault="003B358E" w:rsidP="003A1A07">
            <w:pPr>
              <w:rPr>
                <w:rFonts w:ascii="Arial" w:hAnsi="Arial" w:cs="Arial"/>
              </w:rPr>
            </w:pPr>
            <w:r w:rsidRPr="00620277">
              <w:rPr>
                <w:rFonts w:ascii="Arial" w:hAnsi="Arial" w:cs="Arial"/>
              </w:rPr>
              <w:t>Psycho Social Lead appointed in December 2012.</w:t>
            </w:r>
          </w:p>
          <w:p w:rsidR="003B358E" w:rsidRPr="00620277" w:rsidRDefault="003B358E" w:rsidP="003A1A07">
            <w:pPr>
              <w:rPr>
                <w:rFonts w:ascii="Arial" w:hAnsi="Arial" w:cs="Arial"/>
              </w:rPr>
            </w:pPr>
          </w:p>
          <w:p w:rsidR="003B358E" w:rsidRPr="00620277" w:rsidRDefault="003B358E" w:rsidP="003A1A07">
            <w:pPr>
              <w:rPr>
                <w:rFonts w:ascii="Arial" w:hAnsi="Arial" w:cs="Arial"/>
              </w:rPr>
            </w:pPr>
            <w:r w:rsidRPr="00620277">
              <w:rPr>
                <w:rFonts w:ascii="Arial" w:hAnsi="Arial" w:cs="Arial"/>
              </w:rPr>
              <w:t>All recruited multi-disciplinary team members remain employed; in line with the Palliative care Services Plan.</w:t>
            </w:r>
          </w:p>
          <w:p w:rsidR="003B358E" w:rsidRPr="00620277" w:rsidRDefault="003B358E" w:rsidP="003A1A07">
            <w:pPr>
              <w:rPr>
                <w:rFonts w:ascii="Arial" w:hAnsi="Arial" w:cs="Arial"/>
              </w:rPr>
            </w:pPr>
          </w:p>
          <w:p w:rsidR="003B358E" w:rsidRPr="00620277" w:rsidRDefault="003B358E" w:rsidP="003A1A07">
            <w:pPr>
              <w:rPr>
                <w:rFonts w:ascii="Arial" w:hAnsi="Arial" w:cs="Arial"/>
              </w:rPr>
            </w:pPr>
            <w:r w:rsidRPr="00620277">
              <w:rPr>
                <w:rFonts w:ascii="Arial" w:hAnsi="Arial" w:cs="Arial"/>
              </w:rPr>
              <w:t>Nurse Practitioner Candidates are continuing with their studies with the completion of one candidate at the end of 2013.</w:t>
            </w:r>
          </w:p>
          <w:p w:rsidR="003B358E" w:rsidRPr="00620277" w:rsidRDefault="003B358E" w:rsidP="003A1A07">
            <w:pPr>
              <w:rPr>
                <w:rFonts w:ascii="Arial" w:hAnsi="Arial" w:cs="Arial"/>
              </w:rPr>
            </w:pPr>
          </w:p>
          <w:p w:rsidR="003B358E" w:rsidRPr="00620277" w:rsidRDefault="003B358E" w:rsidP="003A1A07">
            <w:pPr>
              <w:rPr>
                <w:rFonts w:ascii="Arial" w:hAnsi="Arial" w:cs="Arial"/>
              </w:rPr>
            </w:pPr>
            <w:r w:rsidRPr="00620277">
              <w:rPr>
                <w:rFonts w:ascii="Arial" w:hAnsi="Arial" w:cs="Arial"/>
              </w:rPr>
              <w:t xml:space="preserve">The development of a palliative care bereavement service model </w:t>
            </w:r>
            <w:r>
              <w:rPr>
                <w:rFonts w:ascii="Arial" w:hAnsi="Arial" w:cs="Arial"/>
              </w:rPr>
              <w:t>continues to be supported within NALHN</w:t>
            </w:r>
            <w:r w:rsidRPr="00620277">
              <w:rPr>
                <w:rFonts w:ascii="Arial" w:hAnsi="Arial" w:cs="Arial"/>
              </w:rPr>
              <w:t>.</w:t>
            </w:r>
          </w:p>
          <w:p w:rsidR="003B358E" w:rsidRPr="00620277" w:rsidRDefault="003B358E" w:rsidP="003A1A07">
            <w:pPr>
              <w:rPr>
                <w:rFonts w:ascii="Arial" w:hAnsi="Arial" w:cs="Arial"/>
              </w:rPr>
            </w:pPr>
          </w:p>
          <w:p w:rsidR="003B358E" w:rsidRPr="00620277" w:rsidRDefault="003B358E" w:rsidP="003A1A07">
            <w:pPr>
              <w:rPr>
                <w:rFonts w:ascii="Arial" w:hAnsi="Arial" w:cs="Arial"/>
              </w:rPr>
            </w:pPr>
            <w:r w:rsidRPr="00620277">
              <w:rPr>
                <w:rFonts w:ascii="Arial" w:hAnsi="Arial" w:cs="Arial"/>
              </w:rPr>
              <w:t xml:space="preserve">Hospice beds continue to be utilised across NALHN with a continued increase in inter hospital transfers between Lyell </w:t>
            </w:r>
            <w:proofErr w:type="spellStart"/>
            <w:r w:rsidRPr="00620277">
              <w:rPr>
                <w:rFonts w:ascii="Arial" w:hAnsi="Arial" w:cs="Arial"/>
              </w:rPr>
              <w:t>McEwin</w:t>
            </w:r>
            <w:proofErr w:type="spellEnd"/>
            <w:r w:rsidRPr="00620277">
              <w:rPr>
                <w:rFonts w:ascii="Arial" w:hAnsi="Arial" w:cs="Arial"/>
              </w:rPr>
              <w:t xml:space="preserve"> and Modbury Palliative Care Unit.</w:t>
            </w:r>
          </w:p>
          <w:p w:rsidR="003B358E" w:rsidRPr="00620277" w:rsidRDefault="003B358E" w:rsidP="003A1A07">
            <w:pPr>
              <w:rPr>
                <w:rFonts w:ascii="Arial" w:hAnsi="Arial" w:cs="Arial"/>
              </w:rPr>
            </w:pPr>
          </w:p>
          <w:p w:rsidR="003B358E" w:rsidRDefault="003B358E" w:rsidP="003A1A07">
            <w:pPr>
              <w:rPr>
                <w:rFonts w:ascii="Arial" w:hAnsi="Arial" w:cs="Arial"/>
              </w:rPr>
            </w:pPr>
            <w:r w:rsidRPr="00620277">
              <w:rPr>
                <w:rFonts w:ascii="Arial" w:hAnsi="Arial" w:cs="Arial"/>
              </w:rPr>
              <w:t xml:space="preserve">New governance structures established under </w:t>
            </w:r>
            <w:r>
              <w:rPr>
                <w:rFonts w:ascii="Arial" w:hAnsi="Arial" w:cs="Arial"/>
              </w:rPr>
              <w:t>a</w:t>
            </w:r>
            <w:r w:rsidRPr="00620277">
              <w:rPr>
                <w:rFonts w:ascii="Arial" w:hAnsi="Arial" w:cs="Arial"/>
              </w:rPr>
              <w:t xml:space="preserve"> dedicated LHN wide sub-acute division.  The Aged Care, Rehabilitation and Palliative Care Division will bring together all sub-acute areas and aim to improve ser</w:t>
            </w:r>
            <w:r>
              <w:rPr>
                <w:rFonts w:ascii="Arial" w:hAnsi="Arial" w:cs="Arial"/>
              </w:rPr>
              <w:t>vice delivery across the NALHN.</w:t>
            </w:r>
          </w:p>
        </w:tc>
        <w:tc>
          <w:tcPr>
            <w:tcW w:w="1560" w:type="dxa"/>
          </w:tcPr>
          <w:p w:rsidR="003B358E" w:rsidRDefault="003B358E" w:rsidP="00A71672">
            <w:r>
              <w:rPr>
                <w:rFonts w:ascii="Arial" w:hAnsi="Arial" w:cs="Arial"/>
              </w:rPr>
              <w:t>$</w:t>
            </w:r>
            <w:r w:rsidRPr="00620277">
              <w:rPr>
                <w:rFonts w:ascii="Arial" w:hAnsi="Arial" w:cs="Arial"/>
              </w:rPr>
              <w:t>691,723</w:t>
            </w:r>
          </w:p>
        </w:tc>
      </w:tr>
      <w:tr w:rsidR="003B358E" w:rsidTr="00A71672">
        <w:trPr>
          <w:trHeight w:val="274"/>
          <w:jc w:val="center"/>
        </w:trPr>
        <w:tc>
          <w:tcPr>
            <w:tcW w:w="1384" w:type="dxa"/>
          </w:tcPr>
          <w:p w:rsidR="003B358E" w:rsidRDefault="003B358E" w:rsidP="00A71672">
            <w:pPr>
              <w:rPr>
                <w:rFonts w:ascii="Arial" w:hAnsi="Arial" w:cs="Arial"/>
              </w:rPr>
            </w:pPr>
            <w:r>
              <w:rPr>
                <w:rFonts w:ascii="Arial" w:hAnsi="Arial" w:cs="Arial"/>
              </w:rPr>
              <w:t>SALHN</w:t>
            </w:r>
          </w:p>
          <w:p w:rsidR="003B358E" w:rsidRDefault="003B358E" w:rsidP="00A71672">
            <w:pPr>
              <w:rPr>
                <w:rFonts w:ascii="Arial" w:hAnsi="Arial" w:cs="Arial"/>
              </w:rPr>
            </w:pPr>
          </w:p>
        </w:tc>
        <w:tc>
          <w:tcPr>
            <w:tcW w:w="6662" w:type="dxa"/>
          </w:tcPr>
          <w:p w:rsidR="003B358E" w:rsidRPr="006943C0" w:rsidRDefault="003B358E" w:rsidP="003A1A07">
            <w:pPr>
              <w:rPr>
                <w:rFonts w:ascii="Arial" w:hAnsi="Arial" w:cs="Arial"/>
              </w:rPr>
            </w:pPr>
            <w:r w:rsidRPr="006943C0">
              <w:rPr>
                <w:rFonts w:ascii="Arial" w:hAnsi="Arial" w:cs="Arial"/>
              </w:rPr>
              <w:t>Services have continued to operate as they have for the previous year.  All positions appointed continue to provide ongoing support to community patients.</w:t>
            </w:r>
          </w:p>
          <w:p w:rsidR="003B358E" w:rsidRPr="006943C0" w:rsidRDefault="003B358E" w:rsidP="003A1A07">
            <w:pPr>
              <w:rPr>
                <w:rFonts w:ascii="Arial" w:hAnsi="Arial" w:cs="Arial"/>
              </w:rPr>
            </w:pPr>
          </w:p>
          <w:p w:rsidR="003B358E" w:rsidRDefault="003B358E" w:rsidP="003A1A07">
            <w:pPr>
              <w:rPr>
                <w:rFonts w:ascii="Arial" w:hAnsi="Arial" w:cs="Arial"/>
              </w:rPr>
            </w:pPr>
            <w:r w:rsidRPr="006943C0">
              <w:rPr>
                <w:rFonts w:ascii="Arial" w:hAnsi="Arial" w:cs="Arial"/>
              </w:rPr>
              <w:t>Outreach servic</w:t>
            </w:r>
            <w:r>
              <w:rPr>
                <w:rFonts w:ascii="Arial" w:hAnsi="Arial" w:cs="Arial"/>
              </w:rPr>
              <w:t>es increased by 39% in the 2012/</w:t>
            </w:r>
            <w:r w:rsidRPr="006943C0">
              <w:rPr>
                <w:rFonts w:ascii="Arial" w:hAnsi="Arial" w:cs="Arial"/>
              </w:rPr>
              <w:t>13 financial</w:t>
            </w:r>
            <w:r>
              <w:rPr>
                <w:rFonts w:ascii="Arial" w:hAnsi="Arial" w:cs="Arial"/>
              </w:rPr>
              <w:t xml:space="preserve"> year </w:t>
            </w:r>
            <w:r w:rsidRPr="006943C0">
              <w:rPr>
                <w:rFonts w:ascii="Arial" w:hAnsi="Arial" w:cs="Arial"/>
              </w:rPr>
              <w:t>from the previous financial year, some of this is due to increased activity; however there has also been a concerted effort by the service to impress upon staff to record all activity.</w:t>
            </w:r>
          </w:p>
          <w:p w:rsidR="003B358E" w:rsidRPr="006943C0" w:rsidRDefault="003B358E" w:rsidP="003A1A07">
            <w:pPr>
              <w:rPr>
                <w:rFonts w:ascii="Arial" w:hAnsi="Arial" w:cs="Arial"/>
              </w:rPr>
            </w:pPr>
          </w:p>
          <w:p w:rsidR="003B358E" w:rsidRDefault="003B358E" w:rsidP="003A1A07">
            <w:pPr>
              <w:rPr>
                <w:rFonts w:ascii="Arial" w:hAnsi="Arial" w:cs="Arial"/>
              </w:rPr>
            </w:pPr>
            <w:r w:rsidRPr="006943C0">
              <w:rPr>
                <w:rFonts w:ascii="Arial" w:hAnsi="Arial" w:cs="Arial"/>
              </w:rPr>
              <w:t>The percentage of patients that have been contacted within 48 hours from referral has increased from previous year. 51% are now contacted within 48 hours compared to 23% in 2011-12.</w:t>
            </w:r>
          </w:p>
        </w:tc>
        <w:tc>
          <w:tcPr>
            <w:tcW w:w="1560" w:type="dxa"/>
          </w:tcPr>
          <w:p w:rsidR="003B358E" w:rsidRDefault="003B358E" w:rsidP="00A71672">
            <w:r w:rsidRPr="006943C0">
              <w:rPr>
                <w:rFonts w:ascii="Arial" w:hAnsi="Arial" w:cs="Arial"/>
              </w:rPr>
              <w:t>$</w:t>
            </w:r>
            <w:r>
              <w:rPr>
                <w:rFonts w:ascii="Arial" w:hAnsi="Arial" w:cs="Arial"/>
              </w:rPr>
              <w:t>686,445</w:t>
            </w:r>
          </w:p>
        </w:tc>
      </w:tr>
      <w:tr w:rsidR="003B358E" w:rsidTr="00A71672">
        <w:trPr>
          <w:trHeight w:val="410"/>
          <w:jc w:val="center"/>
        </w:trPr>
        <w:tc>
          <w:tcPr>
            <w:tcW w:w="1384" w:type="dxa"/>
          </w:tcPr>
          <w:p w:rsidR="003B358E" w:rsidRDefault="003B358E" w:rsidP="00A71672">
            <w:pPr>
              <w:rPr>
                <w:rFonts w:ascii="Arial" w:hAnsi="Arial" w:cs="Arial"/>
              </w:rPr>
            </w:pPr>
            <w:r>
              <w:rPr>
                <w:rFonts w:ascii="Arial" w:hAnsi="Arial" w:cs="Arial"/>
              </w:rPr>
              <w:t>CHSALHN</w:t>
            </w:r>
          </w:p>
          <w:p w:rsidR="003B358E" w:rsidRDefault="003B358E" w:rsidP="00A71672">
            <w:pPr>
              <w:rPr>
                <w:rFonts w:ascii="Arial" w:hAnsi="Arial" w:cs="Arial"/>
              </w:rPr>
            </w:pPr>
          </w:p>
        </w:tc>
        <w:tc>
          <w:tcPr>
            <w:tcW w:w="6662" w:type="dxa"/>
          </w:tcPr>
          <w:p w:rsidR="003B358E" w:rsidRDefault="003B358E" w:rsidP="003A1A07">
            <w:pPr>
              <w:rPr>
                <w:rFonts w:ascii="Arial" w:hAnsi="Arial" w:cs="Arial"/>
              </w:rPr>
            </w:pPr>
            <w:r w:rsidRPr="004379F8">
              <w:rPr>
                <w:rFonts w:ascii="Arial" w:hAnsi="Arial" w:cs="Arial"/>
              </w:rPr>
              <w:t>Continued provision of at-home palliative care through End of Life Care Packages as well as continuing to provide services by multi-disciplinary teams that work in admitted and non-admitted settings.</w:t>
            </w:r>
          </w:p>
        </w:tc>
        <w:tc>
          <w:tcPr>
            <w:tcW w:w="1560" w:type="dxa"/>
          </w:tcPr>
          <w:p w:rsidR="003B358E" w:rsidRDefault="003B358E" w:rsidP="00A71672">
            <w:pPr>
              <w:rPr>
                <w:rFonts w:ascii="Arial" w:hAnsi="Arial" w:cs="Arial"/>
              </w:rPr>
            </w:pPr>
            <w:r w:rsidRPr="004379F8">
              <w:rPr>
                <w:rFonts w:ascii="Arial" w:hAnsi="Arial" w:cs="Arial"/>
              </w:rPr>
              <w:t>$1,000,000</w:t>
            </w:r>
          </w:p>
        </w:tc>
      </w:tr>
    </w:tbl>
    <w:p w:rsidR="00A71672" w:rsidRDefault="00A71672" w:rsidP="00F36E4E"/>
    <w:tbl>
      <w:tblPr>
        <w:tblpPr w:leftFromText="180" w:rightFromText="180" w:vertAnchor="text" w:horzAnchor="margin" w:tblpXSpec="center" w:tblpY="12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
        <w:gridCol w:w="6628"/>
        <w:gridCol w:w="34"/>
        <w:gridCol w:w="1559"/>
      </w:tblGrid>
      <w:tr w:rsidR="00A71672" w:rsidTr="00A71672">
        <w:trPr>
          <w:trHeight w:val="126"/>
        </w:trPr>
        <w:tc>
          <w:tcPr>
            <w:tcW w:w="1384" w:type="dxa"/>
            <w:vAlign w:val="center"/>
          </w:tcPr>
          <w:p w:rsidR="00A71672" w:rsidRDefault="00A71672" w:rsidP="00A71672">
            <w:pPr>
              <w:jc w:val="center"/>
              <w:rPr>
                <w:rFonts w:ascii="Arial" w:hAnsi="Arial" w:cs="Arial"/>
                <w:b/>
              </w:rPr>
            </w:pPr>
            <w:r>
              <w:rPr>
                <w:rFonts w:ascii="Arial" w:hAnsi="Arial" w:cs="Arial"/>
              </w:rPr>
              <w:br w:type="page"/>
            </w:r>
            <w:r>
              <w:rPr>
                <w:rFonts w:ascii="Arial" w:hAnsi="Arial" w:cs="Arial"/>
                <w:b/>
              </w:rPr>
              <w:t>Subacute Area</w:t>
            </w:r>
          </w:p>
        </w:tc>
        <w:tc>
          <w:tcPr>
            <w:tcW w:w="6662" w:type="dxa"/>
            <w:gridSpan w:val="2"/>
            <w:vAlign w:val="center"/>
          </w:tcPr>
          <w:p w:rsidR="00A71672" w:rsidRDefault="00A71672" w:rsidP="00A71672">
            <w:pPr>
              <w:jc w:val="center"/>
              <w:rPr>
                <w:rFonts w:ascii="Arial" w:hAnsi="Arial" w:cs="Arial"/>
                <w:b/>
              </w:rPr>
            </w:pPr>
            <w:r>
              <w:rPr>
                <w:rFonts w:ascii="Arial" w:hAnsi="Arial" w:cs="Arial"/>
                <w:b/>
              </w:rPr>
              <w:t xml:space="preserve">High Level Summary </w:t>
            </w:r>
          </w:p>
        </w:tc>
        <w:tc>
          <w:tcPr>
            <w:tcW w:w="1593" w:type="dxa"/>
            <w:gridSpan w:val="2"/>
            <w:vAlign w:val="center"/>
          </w:tcPr>
          <w:p w:rsidR="00A71672" w:rsidRDefault="00A71672" w:rsidP="00A71672">
            <w:pPr>
              <w:jc w:val="center"/>
              <w:rPr>
                <w:rFonts w:ascii="Arial" w:hAnsi="Arial" w:cs="Arial"/>
                <w:b/>
              </w:rPr>
            </w:pPr>
            <w:r>
              <w:rPr>
                <w:rFonts w:ascii="Arial" w:hAnsi="Arial" w:cs="Arial"/>
                <w:b/>
              </w:rPr>
              <w:t>FY 2012/13</w:t>
            </w:r>
          </w:p>
          <w:p w:rsidR="00A71672" w:rsidRDefault="00A71672" w:rsidP="00A71672">
            <w:pPr>
              <w:jc w:val="center"/>
              <w:rPr>
                <w:rFonts w:ascii="Arial" w:hAnsi="Arial" w:cs="Arial"/>
                <w:b/>
              </w:rPr>
            </w:pPr>
            <w:r>
              <w:rPr>
                <w:rFonts w:ascii="Arial" w:hAnsi="Arial" w:cs="Arial"/>
                <w:b/>
              </w:rPr>
              <w:t>Funding Allocation</w:t>
            </w:r>
          </w:p>
        </w:tc>
      </w:tr>
      <w:tr w:rsidR="00A71672" w:rsidTr="00A71672">
        <w:trPr>
          <w:trHeight w:val="126"/>
        </w:trPr>
        <w:tc>
          <w:tcPr>
            <w:tcW w:w="9639" w:type="dxa"/>
            <w:gridSpan w:val="5"/>
          </w:tcPr>
          <w:p w:rsidR="00A71672" w:rsidRDefault="00A71672" w:rsidP="00A71672">
            <w:pPr>
              <w:rPr>
                <w:rFonts w:ascii="Arial" w:hAnsi="Arial" w:cs="Arial"/>
                <w:b/>
              </w:rPr>
            </w:pPr>
            <w:r w:rsidRPr="002C7132">
              <w:rPr>
                <w:rFonts w:ascii="Arial" w:hAnsi="Arial" w:cs="Arial"/>
                <w:b/>
              </w:rPr>
              <w:t>4. Psychogeriatric Care:</w:t>
            </w:r>
          </w:p>
        </w:tc>
      </w:tr>
      <w:tr w:rsidR="003B358E" w:rsidTr="00A71672">
        <w:trPr>
          <w:trHeight w:val="711"/>
        </w:trPr>
        <w:tc>
          <w:tcPr>
            <w:tcW w:w="1418" w:type="dxa"/>
            <w:gridSpan w:val="2"/>
          </w:tcPr>
          <w:p w:rsidR="003B358E" w:rsidRDefault="003B358E" w:rsidP="00A71672">
            <w:pPr>
              <w:rPr>
                <w:rFonts w:ascii="Arial" w:hAnsi="Arial" w:cs="Arial"/>
              </w:rPr>
            </w:pPr>
            <w:r>
              <w:rPr>
                <w:rFonts w:ascii="Arial" w:hAnsi="Arial" w:cs="Arial"/>
              </w:rPr>
              <w:t>CHSA</w:t>
            </w:r>
            <w:r w:rsidRPr="002C7132">
              <w:rPr>
                <w:rFonts w:ascii="Arial" w:hAnsi="Arial" w:cs="Arial"/>
              </w:rPr>
              <w:t>LHN</w:t>
            </w:r>
          </w:p>
        </w:tc>
        <w:tc>
          <w:tcPr>
            <w:tcW w:w="6662" w:type="dxa"/>
            <w:gridSpan w:val="2"/>
          </w:tcPr>
          <w:p w:rsidR="003B358E" w:rsidRPr="004379F8" w:rsidRDefault="003B358E" w:rsidP="003A1A07">
            <w:pPr>
              <w:rPr>
                <w:rFonts w:ascii="Arial" w:hAnsi="Arial" w:cs="Arial"/>
              </w:rPr>
            </w:pPr>
            <w:r w:rsidRPr="004379F8">
              <w:rPr>
                <w:rFonts w:ascii="Arial" w:hAnsi="Arial" w:cs="Arial"/>
              </w:rPr>
              <w:t>All mental health teams have had full staffing establishm</w:t>
            </w:r>
            <w:r>
              <w:rPr>
                <w:rFonts w:ascii="Arial" w:hAnsi="Arial" w:cs="Arial"/>
              </w:rPr>
              <w:t>ent throughout most of 2012/13.</w:t>
            </w:r>
            <w:r>
              <w:rPr>
                <w:rFonts w:ascii="Arial" w:hAnsi="Arial" w:cs="Arial"/>
              </w:rPr>
              <w:br/>
            </w:r>
          </w:p>
          <w:p w:rsidR="003B358E" w:rsidRPr="004379F8" w:rsidRDefault="003B358E" w:rsidP="003A1A07">
            <w:pPr>
              <w:rPr>
                <w:rFonts w:ascii="Arial" w:hAnsi="Arial" w:cs="Arial"/>
              </w:rPr>
            </w:pPr>
            <w:r w:rsidRPr="004379F8">
              <w:rPr>
                <w:rFonts w:ascii="Arial" w:hAnsi="Arial" w:cs="Arial"/>
              </w:rPr>
              <w:t>In addition to the support provided from mental health teams, support through visiting psycho-geriatrician services and specialist services through Digital Tele-health Network continued to be provided within country South Australia (SA).</w:t>
            </w:r>
          </w:p>
          <w:p w:rsidR="003B358E" w:rsidRPr="004379F8" w:rsidRDefault="003B358E" w:rsidP="003A1A07">
            <w:pPr>
              <w:rPr>
                <w:rFonts w:ascii="Arial" w:hAnsi="Arial" w:cs="Arial"/>
              </w:rPr>
            </w:pPr>
          </w:p>
          <w:p w:rsidR="003B358E" w:rsidRPr="004379F8" w:rsidRDefault="003B358E" w:rsidP="003A1A07">
            <w:pPr>
              <w:rPr>
                <w:rFonts w:ascii="Arial" w:hAnsi="Arial" w:cs="Arial"/>
              </w:rPr>
            </w:pPr>
            <w:r w:rsidRPr="004379F8">
              <w:rPr>
                <w:rFonts w:ascii="Arial" w:hAnsi="Arial" w:cs="Arial"/>
              </w:rPr>
              <w:t>An evaluation of the older person mental health service was undertaken by Flinders University, which concluded at the first half of 2013.In summary, the service was viewed to have met previously unmet needs and viewed as a positive adjunct to service delivery for older people with mental health issues living in rural S</w:t>
            </w:r>
            <w:r>
              <w:rPr>
                <w:rFonts w:ascii="Arial" w:hAnsi="Arial" w:cs="Arial"/>
              </w:rPr>
              <w:t xml:space="preserve">outh </w:t>
            </w:r>
            <w:r w:rsidRPr="004379F8">
              <w:rPr>
                <w:rFonts w:ascii="Arial" w:hAnsi="Arial" w:cs="Arial"/>
              </w:rPr>
              <w:t>A</w:t>
            </w:r>
            <w:r>
              <w:rPr>
                <w:rFonts w:ascii="Arial" w:hAnsi="Arial" w:cs="Arial"/>
              </w:rPr>
              <w:t>ustralia</w:t>
            </w:r>
            <w:r w:rsidRPr="004379F8">
              <w:rPr>
                <w:rFonts w:ascii="Arial" w:hAnsi="Arial" w:cs="Arial"/>
              </w:rPr>
              <w:t>.</w:t>
            </w:r>
          </w:p>
          <w:p w:rsidR="003B358E" w:rsidRPr="004379F8" w:rsidRDefault="003B358E" w:rsidP="003A1A07">
            <w:pPr>
              <w:rPr>
                <w:rFonts w:ascii="Arial" w:hAnsi="Arial" w:cs="Arial"/>
              </w:rPr>
            </w:pPr>
          </w:p>
          <w:p w:rsidR="003B358E" w:rsidRDefault="003B358E" w:rsidP="003A1A07">
            <w:pPr>
              <w:rPr>
                <w:rFonts w:ascii="Arial" w:hAnsi="Arial" w:cs="Arial"/>
              </w:rPr>
            </w:pPr>
            <w:r w:rsidRPr="004379F8">
              <w:rPr>
                <w:rFonts w:ascii="Arial" w:hAnsi="Arial" w:cs="Arial"/>
              </w:rPr>
              <w:t>In 2012/13, a set of online training modules were developed, these will be launched at the later part 2013. Hosting platform is being investigated.</w:t>
            </w:r>
          </w:p>
        </w:tc>
        <w:tc>
          <w:tcPr>
            <w:tcW w:w="1559" w:type="dxa"/>
          </w:tcPr>
          <w:p w:rsidR="003B358E" w:rsidRDefault="003B358E" w:rsidP="00A71672">
            <w:pPr>
              <w:rPr>
                <w:rFonts w:ascii="Arial" w:hAnsi="Arial" w:cs="Arial"/>
              </w:rPr>
            </w:pPr>
            <w:r w:rsidRPr="004379F8">
              <w:rPr>
                <w:rFonts w:ascii="Arial" w:hAnsi="Arial" w:cs="Arial"/>
              </w:rPr>
              <w:t>$800,000</w:t>
            </w:r>
          </w:p>
        </w:tc>
      </w:tr>
    </w:tbl>
    <w:p w:rsidR="00A71672" w:rsidRDefault="00A71672" w:rsidP="00F36E4E"/>
    <w:p w:rsidR="00A71672" w:rsidRDefault="00A71672" w:rsidP="00F36E4E"/>
    <w:p w:rsidR="00A71672" w:rsidRDefault="00A71672" w:rsidP="00F36E4E"/>
    <w:p w:rsidR="00A71672" w:rsidRDefault="00A71672" w:rsidP="00F36E4E"/>
    <w:p w:rsidR="00A71672" w:rsidRDefault="00A71672" w:rsidP="00F36E4E"/>
    <w:p w:rsidR="00F36E4E" w:rsidRDefault="00F36E4E" w:rsidP="00F36E4E"/>
    <w:p w:rsidR="00F36E4E" w:rsidRDefault="00F36E4E" w:rsidP="00F36E4E"/>
    <w:p w:rsidR="00F36E4E" w:rsidRDefault="00F36E4E" w:rsidP="00F36E4E"/>
    <w:p w:rsidR="00F36E4E" w:rsidRDefault="00F36E4E" w:rsidP="00F36E4E"/>
    <w:p w:rsidR="00F36E4E" w:rsidRDefault="00F36E4E" w:rsidP="00F36E4E"/>
    <w:p w:rsidR="00F36E4E" w:rsidRDefault="00F36E4E" w:rsidP="00F36E4E"/>
    <w:p w:rsidR="00F36E4E" w:rsidRDefault="00F36E4E" w:rsidP="00F36E4E">
      <w:pPr>
        <w:ind w:right="423"/>
        <w:rPr>
          <w:rFonts w:ascii="Arial" w:hAnsi="Arial" w:cs="Arial"/>
          <w:b/>
          <w:sz w:val="22"/>
          <w:szCs w:val="22"/>
        </w:rPr>
      </w:pPr>
      <w:r>
        <w:rPr>
          <w:rFonts w:ascii="Arial" w:hAnsi="Arial" w:cs="Arial"/>
          <w:b/>
          <w:sz w:val="22"/>
          <w:szCs w:val="22"/>
        </w:rPr>
        <w:br w:type="page"/>
      </w:r>
    </w:p>
    <w:p w:rsidR="003B358E" w:rsidRDefault="003B358E" w:rsidP="003B358E">
      <w:pPr>
        <w:ind w:right="423"/>
        <w:rPr>
          <w:rFonts w:ascii="Arial" w:hAnsi="Arial" w:cs="Arial"/>
        </w:rPr>
      </w:pPr>
      <w:r>
        <w:rPr>
          <w:rFonts w:ascii="Arial" w:hAnsi="Arial" w:cs="Arial"/>
          <w:b/>
        </w:rPr>
        <w:t>Subacute Care Annual Service Activity and Growth Report</w:t>
      </w:r>
      <w:r>
        <w:rPr>
          <w:rFonts w:ascii="Arial" w:hAnsi="Arial" w:cs="Arial"/>
        </w:rPr>
        <w:t>:</w:t>
      </w:r>
    </w:p>
    <w:p w:rsidR="003B358E" w:rsidRDefault="003B358E" w:rsidP="003B358E">
      <w:pPr>
        <w:ind w:right="423"/>
        <w:rPr>
          <w:rFonts w:ascii="Arial" w:hAnsi="Arial" w:cs="Arial"/>
        </w:rPr>
      </w:pPr>
    </w:p>
    <w:p w:rsidR="003B358E" w:rsidRDefault="003B358E" w:rsidP="003B358E">
      <w:pPr>
        <w:autoSpaceDE w:val="0"/>
        <w:autoSpaceDN w:val="0"/>
        <w:adjustRightInd w:val="0"/>
        <w:rPr>
          <w:rFonts w:ascii="Arial" w:hAnsi="Arial" w:cs="Arial"/>
        </w:rPr>
      </w:pPr>
      <w:r>
        <w:rPr>
          <w:rFonts w:ascii="Arial" w:hAnsi="Arial" w:cs="Arial"/>
        </w:rPr>
        <w:t>The COAG Subacute report template uses methodology that measures growth in bed days.  As stated on previous occasions SA Health is concerned that this measure will not reveal growth in patient throughput, because of SA Health's commitment to ongoing decreases in ALOS. That is, as ALOS decreases and patient throughput increases, the actual growth in activity may not be apparent by measuring bed days.</w:t>
      </w:r>
    </w:p>
    <w:p w:rsidR="003B358E" w:rsidRDefault="003B358E" w:rsidP="003B358E">
      <w:pPr>
        <w:autoSpaceDE w:val="0"/>
        <w:autoSpaceDN w:val="0"/>
        <w:adjustRightInd w:val="0"/>
        <w:rPr>
          <w:rFonts w:ascii="Arial" w:hAnsi="Arial" w:cs="Arial"/>
        </w:rPr>
      </w:pPr>
    </w:p>
    <w:p w:rsidR="003B358E" w:rsidRDefault="003B358E" w:rsidP="003B358E">
      <w:pPr>
        <w:autoSpaceDE w:val="0"/>
        <w:autoSpaceDN w:val="0"/>
        <w:adjustRightInd w:val="0"/>
        <w:rPr>
          <w:rFonts w:ascii="Arial" w:hAnsi="Arial" w:cs="Arial"/>
        </w:rPr>
      </w:pPr>
      <w:r>
        <w:rPr>
          <w:rFonts w:ascii="Arial" w:hAnsi="Arial" w:cs="Arial"/>
        </w:rPr>
        <w:t xml:space="preserve">SA Health is undertaking a number of reforms that will result in a decreasing ALOS. SA Health seeks to operate services at full capacity over seven (7) days, so that patients receive therapy and can be admitted, discharged and transferred every day of the week. SA Health seeks to provide more intensive services in fewer days of therapy so as to prepare the patient to receive ongoing therapy from a community based provider, with services provided mostly in the client's home. </w:t>
      </w:r>
    </w:p>
    <w:p w:rsidR="003B358E" w:rsidRDefault="003B358E" w:rsidP="003B358E">
      <w:pPr>
        <w:autoSpaceDE w:val="0"/>
        <w:autoSpaceDN w:val="0"/>
        <w:adjustRightInd w:val="0"/>
        <w:rPr>
          <w:rFonts w:ascii="Arial" w:hAnsi="Arial" w:cs="Arial"/>
        </w:rPr>
      </w:pPr>
    </w:p>
    <w:p w:rsidR="003B358E" w:rsidRDefault="003B358E" w:rsidP="003B358E">
      <w:pPr>
        <w:autoSpaceDE w:val="0"/>
        <w:autoSpaceDN w:val="0"/>
        <w:adjustRightInd w:val="0"/>
        <w:rPr>
          <w:rFonts w:ascii="Arial" w:hAnsi="Arial" w:cs="Arial"/>
        </w:rPr>
      </w:pPr>
      <w:r>
        <w:rPr>
          <w:rFonts w:ascii="Arial" w:hAnsi="Arial" w:cs="Arial"/>
        </w:rPr>
        <w:t>In order to measure growth appropriately, in the context of reform, SA Health has agreed with the Australian Government on a method for measuring growth in Rehabilitation, GEM and Palliative Care services. SA Health will use the reference year (2007/08) ALOS in the formula to calculate bed days in each of the years 2009/10, 2010/11, 2011/12 and 2012/13 (Table A). It is expected that ALOS will continue to decline over the forthcoming years. By using the reference year ALOS, the increasing bed days SA Health expects to see will reflect growth in patient separations.</w:t>
      </w:r>
    </w:p>
    <w:p w:rsidR="003B358E" w:rsidRDefault="003B358E" w:rsidP="003B358E">
      <w:pPr>
        <w:autoSpaceDE w:val="0"/>
        <w:autoSpaceDN w:val="0"/>
        <w:adjustRightInd w:val="0"/>
        <w:rPr>
          <w:rFonts w:ascii="Arial" w:hAnsi="Arial" w:cs="Arial"/>
        </w:rPr>
      </w:pPr>
    </w:p>
    <w:p w:rsidR="003B358E" w:rsidRDefault="003B358E" w:rsidP="003B358E">
      <w:pPr>
        <w:autoSpaceDE w:val="0"/>
        <w:autoSpaceDN w:val="0"/>
        <w:adjustRightInd w:val="0"/>
        <w:rPr>
          <w:rFonts w:ascii="Arial" w:hAnsi="Arial" w:cs="Arial"/>
        </w:rPr>
      </w:pPr>
      <w:r>
        <w:rPr>
          <w:rFonts w:ascii="Arial" w:hAnsi="Arial" w:cs="Arial"/>
        </w:rPr>
        <w:t>In order to measure growth appropriately, in the context of reform, SA Health has agreed with the Australian Government on a method for measuring growth in Psychogeriatric Care. SA Health will use the benchmarked LOS of 25 days in the formula to calculate bed days in each of the years 2009/10, 2010/11, 2011/12 and 2012/13 (Table A). It is expected that LOS will continue to decline over the forthcoming years. By using the benchmarked LOS, the increasing bed days SA Health expects to see will reflect growth in patient separations.</w:t>
      </w:r>
    </w:p>
    <w:p w:rsidR="003B358E" w:rsidRDefault="003B358E" w:rsidP="003B358E">
      <w:pPr>
        <w:autoSpaceDE w:val="0"/>
        <w:autoSpaceDN w:val="0"/>
        <w:adjustRightInd w:val="0"/>
        <w:rPr>
          <w:rFonts w:ascii="Arial" w:hAnsi="Arial" w:cs="Arial"/>
        </w:rPr>
      </w:pPr>
    </w:p>
    <w:p w:rsidR="00F36E4E" w:rsidRDefault="003B358E" w:rsidP="003B358E">
      <w:pPr>
        <w:autoSpaceDE w:val="0"/>
        <w:autoSpaceDN w:val="0"/>
        <w:adjustRightInd w:val="0"/>
        <w:jc w:val="both"/>
        <w:rPr>
          <w:rFonts w:ascii="Arial" w:hAnsi="Arial" w:cs="Arial"/>
        </w:rPr>
      </w:pPr>
      <w:r>
        <w:rPr>
          <w:rFonts w:ascii="Arial" w:hAnsi="Arial" w:cs="Arial"/>
        </w:rPr>
        <w:t>It should be noted that reports C16a and b Admitted Beds days per 1,000 population and non-admitted occasions of service per 1,000 population clearly show the effect of SA reforms which have focussed on increasing ambulatory services to enable more people to receive care at home.  The outcome for Psychogeriatric services reflects the transition of some of these patients from State run institutional long stay accommodation to community based NGO operated (state funded) accommodation.</w:t>
      </w:r>
    </w:p>
    <w:p w:rsidR="00F36E4E" w:rsidRDefault="00F36E4E" w:rsidP="00F36E4E">
      <w:pPr>
        <w:autoSpaceDE w:val="0"/>
        <w:autoSpaceDN w:val="0"/>
        <w:adjustRightInd w:val="0"/>
        <w:rPr>
          <w:rFonts w:ascii="Arial" w:hAnsi="Arial" w:cs="Arial"/>
          <w:b/>
        </w:rPr>
      </w:pPr>
    </w:p>
    <w:p w:rsidR="00F36E4E" w:rsidRDefault="00F36E4E" w:rsidP="00F36E4E">
      <w:pPr>
        <w:autoSpaceDE w:val="0"/>
        <w:autoSpaceDN w:val="0"/>
        <w:adjustRightInd w:val="0"/>
        <w:rPr>
          <w:rFonts w:ascii="Arial" w:hAnsi="Arial" w:cs="Arial"/>
          <w:b/>
        </w:rPr>
      </w:pPr>
      <w:r>
        <w:rPr>
          <w:rFonts w:ascii="Arial" w:hAnsi="Arial" w:cs="Arial"/>
          <w:b/>
        </w:rPr>
        <w:t>Table A:</w:t>
      </w:r>
    </w:p>
    <w:p w:rsidR="00F36E4E" w:rsidRDefault="00F36E4E" w:rsidP="00F36E4E">
      <w:pPr>
        <w:autoSpaceDE w:val="0"/>
        <w:autoSpaceDN w:val="0"/>
        <w:adjustRightInd w:val="0"/>
        <w:rPr>
          <w:rFonts w:ascii="Century Gothic" w:hAnsi="Century Gothic" w:cs="Century Gothic"/>
          <w:color w:val="000080"/>
        </w:rPr>
      </w:pP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140"/>
      </w:tblGrid>
      <w:tr w:rsidR="00F36E4E" w:rsidTr="007632BD">
        <w:tc>
          <w:tcPr>
            <w:tcW w:w="3780" w:type="dxa"/>
          </w:tcPr>
          <w:p w:rsidR="00F36E4E" w:rsidRDefault="00F36E4E" w:rsidP="007632BD">
            <w:pPr>
              <w:autoSpaceDE w:val="0"/>
              <w:autoSpaceDN w:val="0"/>
              <w:adjustRightInd w:val="0"/>
              <w:ind w:right="72"/>
              <w:rPr>
                <w:rFonts w:ascii="Arial" w:hAnsi="Arial" w:cs="Arial"/>
                <w:b/>
                <w:bCs/>
              </w:rPr>
            </w:pPr>
            <w:r>
              <w:rPr>
                <w:rFonts w:ascii="Arial" w:hAnsi="Arial" w:cs="Arial"/>
                <w:b/>
                <w:bCs/>
              </w:rPr>
              <w:t>Episode of Care Type (admitted)</w:t>
            </w:r>
          </w:p>
        </w:tc>
        <w:tc>
          <w:tcPr>
            <w:tcW w:w="4140" w:type="dxa"/>
          </w:tcPr>
          <w:p w:rsidR="00F36E4E" w:rsidRDefault="00F36E4E" w:rsidP="007632BD">
            <w:pPr>
              <w:autoSpaceDE w:val="0"/>
              <w:autoSpaceDN w:val="0"/>
              <w:adjustRightInd w:val="0"/>
              <w:ind w:right="565"/>
              <w:rPr>
                <w:rFonts w:ascii="Arial" w:hAnsi="Arial" w:cs="Arial"/>
                <w:b/>
                <w:bCs/>
              </w:rPr>
            </w:pPr>
            <w:r>
              <w:rPr>
                <w:rFonts w:ascii="Arial" w:hAnsi="Arial" w:cs="Arial"/>
                <w:b/>
                <w:bCs/>
              </w:rPr>
              <w:t>Methodology</w:t>
            </w:r>
          </w:p>
        </w:tc>
      </w:tr>
      <w:tr w:rsidR="00F36E4E" w:rsidTr="007632BD">
        <w:tc>
          <w:tcPr>
            <w:tcW w:w="3780" w:type="dxa"/>
          </w:tcPr>
          <w:p w:rsidR="00F36E4E" w:rsidRDefault="00F36E4E" w:rsidP="007632BD">
            <w:pPr>
              <w:autoSpaceDE w:val="0"/>
              <w:autoSpaceDN w:val="0"/>
              <w:adjustRightInd w:val="0"/>
              <w:ind w:right="252"/>
              <w:rPr>
                <w:rFonts w:ascii="Arial" w:hAnsi="Arial" w:cs="Arial"/>
              </w:rPr>
            </w:pPr>
            <w:r>
              <w:rPr>
                <w:rFonts w:ascii="Arial" w:hAnsi="Arial" w:cs="Arial"/>
              </w:rPr>
              <w:t>Rehabilitation</w:t>
            </w:r>
          </w:p>
        </w:tc>
        <w:tc>
          <w:tcPr>
            <w:tcW w:w="4140" w:type="dxa"/>
          </w:tcPr>
          <w:p w:rsidR="00F36E4E" w:rsidRDefault="00F36E4E" w:rsidP="007632BD">
            <w:pPr>
              <w:autoSpaceDE w:val="0"/>
              <w:autoSpaceDN w:val="0"/>
              <w:adjustRightInd w:val="0"/>
              <w:ind w:right="72"/>
              <w:rPr>
                <w:rFonts w:ascii="Arial" w:hAnsi="Arial" w:cs="Arial"/>
              </w:rPr>
            </w:pPr>
            <w:r>
              <w:rPr>
                <w:rFonts w:ascii="Arial" w:hAnsi="Arial" w:cs="Arial"/>
              </w:rPr>
              <w:t xml:space="preserve">Separations x reference year ALOS </w:t>
            </w:r>
          </w:p>
        </w:tc>
      </w:tr>
      <w:tr w:rsidR="00F36E4E" w:rsidTr="007632BD">
        <w:tc>
          <w:tcPr>
            <w:tcW w:w="3780" w:type="dxa"/>
          </w:tcPr>
          <w:p w:rsidR="00F36E4E" w:rsidRDefault="00F36E4E" w:rsidP="007632BD">
            <w:pPr>
              <w:autoSpaceDE w:val="0"/>
              <w:autoSpaceDN w:val="0"/>
              <w:adjustRightInd w:val="0"/>
              <w:ind w:right="565"/>
              <w:rPr>
                <w:rFonts w:ascii="Arial" w:hAnsi="Arial" w:cs="Arial"/>
              </w:rPr>
            </w:pPr>
            <w:r>
              <w:rPr>
                <w:rFonts w:ascii="Arial" w:hAnsi="Arial" w:cs="Arial"/>
              </w:rPr>
              <w:t>GEM</w:t>
            </w:r>
          </w:p>
        </w:tc>
        <w:tc>
          <w:tcPr>
            <w:tcW w:w="4140" w:type="dxa"/>
          </w:tcPr>
          <w:p w:rsidR="00F36E4E" w:rsidRDefault="00F36E4E" w:rsidP="007632BD">
            <w:pPr>
              <w:autoSpaceDE w:val="0"/>
              <w:autoSpaceDN w:val="0"/>
              <w:adjustRightInd w:val="0"/>
              <w:ind w:right="72"/>
              <w:rPr>
                <w:rFonts w:ascii="Arial" w:hAnsi="Arial" w:cs="Arial"/>
              </w:rPr>
            </w:pPr>
            <w:r>
              <w:rPr>
                <w:rFonts w:ascii="Arial" w:hAnsi="Arial" w:cs="Arial"/>
              </w:rPr>
              <w:t>Separations x reference year ALOS</w:t>
            </w:r>
          </w:p>
        </w:tc>
      </w:tr>
      <w:tr w:rsidR="00F36E4E" w:rsidTr="007632BD">
        <w:tc>
          <w:tcPr>
            <w:tcW w:w="3780" w:type="dxa"/>
          </w:tcPr>
          <w:p w:rsidR="00F36E4E" w:rsidRDefault="00F36E4E" w:rsidP="007632BD">
            <w:pPr>
              <w:autoSpaceDE w:val="0"/>
              <w:autoSpaceDN w:val="0"/>
              <w:adjustRightInd w:val="0"/>
              <w:ind w:right="565"/>
              <w:rPr>
                <w:rFonts w:ascii="Arial" w:hAnsi="Arial" w:cs="Arial"/>
              </w:rPr>
            </w:pPr>
            <w:r>
              <w:rPr>
                <w:rFonts w:ascii="Arial" w:hAnsi="Arial" w:cs="Arial"/>
              </w:rPr>
              <w:t>Palliative Care</w:t>
            </w:r>
          </w:p>
        </w:tc>
        <w:tc>
          <w:tcPr>
            <w:tcW w:w="4140" w:type="dxa"/>
          </w:tcPr>
          <w:p w:rsidR="00F36E4E" w:rsidRDefault="00F36E4E" w:rsidP="007632BD">
            <w:pPr>
              <w:autoSpaceDE w:val="0"/>
              <w:autoSpaceDN w:val="0"/>
              <w:adjustRightInd w:val="0"/>
              <w:ind w:right="72"/>
              <w:rPr>
                <w:rFonts w:ascii="Arial" w:hAnsi="Arial" w:cs="Arial"/>
              </w:rPr>
            </w:pPr>
            <w:r>
              <w:rPr>
                <w:rFonts w:ascii="Arial" w:hAnsi="Arial" w:cs="Arial"/>
              </w:rPr>
              <w:t>Separations x reference year ALOS</w:t>
            </w:r>
          </w:p>
        </w:tc>
      </w:tr>
      <w:tr w:rsidR="00F36E4E" w:rsidTr="007632BD">
        <w:tc>
          <w:tcPr>
            <w:tcW w:w="3780" w:type="dxa"/>
          </w:tcPr>
          <w:p w:rsidR="00F36E4E" w:rsidRDefault="00F36E4E" w:rsidP="007632BD">
            <w:pPr>
              <w:autoSpaceDE w:val="0"/>
              <w:autoSpaceDN w:val="0"/>
              <w:adjustRightInd w:val="0"/>
              <w:ind w:right="565"/>
              <w:rPr>
                <w:rFonts w:ascii="Arial" w:hAnsi="Arial" w:cs="Arial"/>
              </w:rPr>
            </w:pPr>
            <w:r>
              <w:rPr>
                <w:rFonts w:ascii="Arial" w:hAnsi="Arial" w:cs="Arial"/>
              </w:rPr>
              <w:t>Psychogeriatric</w:t>
            </w:r>
          </w:p>
        </w:tc>
        <w:tc>
          <w:tcPr>
            <w:tcW w:w="4140" w:type="dxa"/>
          </w:tcPr>
          <w:p w:rsidR="00F36E4E" w:rsidRDefault="00F36E4E" w:rsidP="007632BD">
            <w:pPr>
              <w:autoSpaceDE w:val="0"/>
              <w:autoSpaceDN w:val="0"/>
              <w:adjustRightInd w:val="0"/>
              <w:ind w:right="565"/>
              <w:rPr>
                <w:rFonts w:ascii="Arial" w:hAnsi="Arial" w:cs="Arial"/>
              </w:rPr>
            </w:pPr>
            <w:r>
              <w:rPr>
                <w:rFonts w:ascii="Arial" w:hAnsi="Arial" w:cs="Arial"/>
              </w:rPr>
              <w:t>Separations x benchmark LOS 25</w:t>
            </w:r>
          </w:p>
        </w:tc>
      </w:tr>
    </w:tbl>
    <w:p w:rsidR="00F36E4E" w:rsidRDefault="00F36E4E" w:rsidP="00F36E4E">
      <w:pPr>
        <w:ind w:right="251"/>
        <w:rPr>
          <w:rFonts w:ascii="Arial" w:hAnsi="Arial" w:cs="Arial"/>
          <w:b/>
        </w:rPr>
      </w:pPr>
    </w:p>
    <w:p w:rsidR="00F36E4E" w:rsidRDefault="00F36E4E" w:rsidP="00446208">
      <w:pPr>
        <w:ind w:right="251"/>
        <w:rPr>
          <w:rFonts w:ascii="Arial" w:hAnsi="Arial" w:cs="Arial"/>
          <w:b/>
        </w:rPr>
      </w:pPr>
      <w:r>
        <w:rPr>
          <w:rFonts w:ascii="Arial" w:hAnsi="Arial" w:cs="Arial"/>
          <w:b/>
        </w:rPr>
        <w:t>Table 1: Separations and Occasions of Service by Episo</w:t>
      </w:r>
      <w:r w:rsidR="00D41912">
        <w:rPr>
          <w:rFonts w:ascii="Arial" w:hAnsi="Arial" w:cs="Arial"/>
          <w:b/>
        </w:rPr>
        <w:t xml:space="preserve">de of Care Type for </w:t>
      </w:r>
      <w:r w:rsidR="00D41912">
        <w:rPr>
          <w:rFonts w:ascii="Arial" w:hAnsi="Arial" w:cs="Arial"/>
          <w:b/>
        </w:rPr>
        <w:tab/>
        <w:t xml:space="preserve">    FY 2012</w:t>
      </w:r>
      <w:r w:rsidR="00446208">
        <w:rPr>
          <w:rFonts w:ascii="Arial" w:hAnsi="Arial" w:cs="Arial"/>
          <w:b/>
        </w:rPr>
        <w:t>/</w:t>
      </w:r>
      <w:r w:rsidR="00D41912">
        <w:rPr>
          <w:rFonts w:ascii="Arial" w:hAnsi="Arial" w:cs="Arial"/>
          <w:b/>
        </w:rPr>
        <w:t>13</w:t>
      </w:r>
      <w:r>
        <w:rPr>
          <w:rFonts w:ascii="Arial" w:hAnsi="Arial" w:cs="Arial"/>
          <w:b/>
        </w:rPr>
        <w:t xml:space="preserve"> </w:t>
      </w:r>
      <w:r w:rsidR="002C7132">
        <w:rPr>
          <w:rFonts w:ascii="Arial" w:hAnsi="Arial" w:cs="Arial"/>
          <w:sz w:val="20"/>
          <w:szCs w:val="20"/>
        </w:rPr>
        <w:t>(</w:t>
      </w:r>
      <w:r>
        <w:rPr>
          <w:rFonts w:ascii="Arial" w:hAnsi="Arial" w:cs="Arial"/>
          <w:sz w:val="20"/>
          <w:szCs w:val="20"/>
        </w:rPr>
        <w:t>Separations are calculated using the methodology in Table A).</w:t>
      </w:r>
    </w:p>
    <w:p w:rsidR="00F36E4E" w:rsidRDefault="00F36E4E" w:rsidP="00F36E4E">
      <w:pPr>
        <w:ind w:right="251"/>
        <w:rPr>
          <w:rFonts w:ascii="Arial" w:hAnsi="Arial" w:cs="Arial"/>
          <w:b/>
          <w:sz w:val="22"/>
          <w:szCs w:val="22"/>
        </w:rPr>
      </w:pPr>
    </w:p>
    <w:tbl>
      <w:tblPr>
        <w:tblW w:w="16834" w:type="dxa"/>
        <w:tblInd w:w="108" w:type="dxa"/>
        <w:tblLook w:val="0000" w:firstRow="0" w:lastRow="0" w:firstColumn="0" w:lastColumn="0" w:noHBand="0" w:noVBand="0"/>
      </w:tblPr>
      <w:tblGrid>
        <w:gridCol w:w="316"/>
        <w:gridCol w:w="3496"/>
        <w:gridCol w:w="1428"/>
        <w:gridCol w:w="1026"/>
        <w:gridCol w:w="1000"/>
        <w:gridCol w:w="1052"/>
        <w:gridCol w:w="1016"/>
        <w:gridCol w:w="1176"/>
        <w:gridCol w:w="1176"/>
        <w:gridCol w:w="4064"/>
        <w:gridCol w:w="271"/>
        <w:gridCol w:w="271"/>
        <w:gridCol w:w="271"/>
        <w:gridCol w:w="271"/>
      </w:tblGrid>
      <w:tr w:rsidR="00F36E4E" w:rsidTr="007632BD">
        <w:trPr>
          <w:trHeight w:val="330"/>
        </w:trPr>
        <w:tc>
          <w:tcPr>
            <w:tcW w:w="31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3496" w:type="dxa"/>
            <w:tcBorders>
              <w:top w:val="nil"/>
              <w:left w:val="nil"/>
              <w:bottom w:val="nil"/>
              <w:right w:val="nil"/>
            </w:tcBorders>
            <w:shd w:val="clear" w:color="auto" w:fill="FFFFFF"/>
            <w:noWrap/>
            <w:vAlign w:val="center"/>
          </w:tcPr>
          <w:p w:rsidR="00F36E4E" w:rsidRDefault="00F36E4E" w:rsidP="007632BD">
            <w:pPr>
              <w:rPr>
                <w:rFonts w:ascii="Arial" w:hAnsi="Arial" w:cs="Arial"/>
                <w:color w:val="000000"/>
                <w:sz w:val="20"/>
                <w:szCs w:val="20"/>
              </w:rPr>
            </w:pPr>
            <w:r>
              <w:rPr>
                <w:rFonts w:ascii="Arial" w:hAnsi="Arial" w:cs="Arial"/>
                <w:color w:val="000000"/>
                <w:sz w:val="20"/>
                <w:szCs w:val="20"/>
              </w:rPr>
              <w:t>State/Territory:</w:t>
            </w:r>
          </w:p>
        </w:tc>
        <w:tc>
          <w:tcPr>
            <w:tcW w:w="5522" w:type="dxa"/>
            <w:gridSpan w:val="5"/>
            <w:tcBorders>
              <w:top w:val="nil"/>
              <w:left w:val="nil"/>
              <w:bottom w:val="nil"/>
              <w:right w:val="nil"/>
            </w:tcBorders>
            <w:shd w:val="clear" w:color="auto" w:fill="FFFFFF"/>
            <w:noWrap/>
            <w:vAlign w:val="center"/>
          </w:tcPr>
          <w:p w:rsidR="00F36E4E" w:rsidRDefault="00F36E4E" w:rsidP="007632BD">
            <w:pPr>
              <w:jc w:val="center"/>
              <w:rPr>
                <w:rFonts w:ascii="Arial" w:hAnsi="Arial" w:cs="Arial"/>
                <w:b/>
                <w:bCs/>
                <w:i/>
                <w:iCs/>
                <w:sz w:val="20"/>
                <w:szCs w:val="20"/>
              </w:rPr>
            </w:pPr>
            <w:r>
              <w:rPr>
                <w:rFonts w:ascii="Arial" w:hAnsi="Arial" w:cs="Arial"/>
                <w:b/>
                <w:bCs/>
                <w:i/>
                <w:iCs/>
                <w:sz w:val="20"/>
                <w:szCs w:val="20"/>
              </w:rPr>
              <w:t>South Australia</w:t>
            </w:r>
          </w:p>
        </w:tc>
        <w:tc>
          <w:tcPr>
            <w:tcW w:w="117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F36E4E" w:rsidRDefault="00F36E4E" w:rsidP="007632BD">
            <w:pPr>
              <w:rPr>
                <w:rFonts w:ascii="Arial" w:hAnsi="Arial" w:cs="Arial"/>
                <w:color w:val="000000"/>
                <w:sz w:val="20"/>
                <w:szCs w:val="20"/>
              </w:rPr>
            </w:pPr>
            <w:r>
              <w:rPr>
                <w:rFonts w:ascii="Arial" w:hAnsi="Arial" w:cs="Arial"/>
                <w:color w:val="000000"/>
                <w:sz w:val="20"/>
                <w:szCs w:val="20"/>
              </w:rPr>
              <w:t> </w:t>
            </w:r>
          </w:p>
        </w:tc>
        <w:tc>
          <w:tcPr>
            <w:tcW w:w="5148" w:type="dxa"/>
            <w:gridSpan w:val="5"/>
            <w:tcBorders>
              <w:top w:val="nil"/>
              <w:left w:val="nil"/>
              <w:bottom w:val="nil"/>
              <w:right w:val="nil"/>
            </w:tcBorders>
            <w:shd w:val="clear" w:color="auto" w:fill="FFFFFF"/>
            <w:noWrap/>
            <w:vAlign w:val="center"/>
          </w:tcPr>
          <w:p w:rsidR="00F36E4E" w:rsidRDefault="00F36E4E" w:rsidP="007632BD">
            <w:pPr>
              <w:jc w:val="center"/>
              <w:rPr>
                <w:rFonts w:ascii="Arial" w:hAnsi="Arial" w:cs="Arial"/>
                <w:b/>
                <w:bCs/>
                <w:i/>
                <w:iCs/>
                <w:sz w:val="20"/>
                <w:szCs w:val="20"/>
              </w:rPr>
            </w:pPr>
            <w:r>
              <w:rPr>
                <w:rFonts w:ascii="Arial" w:hAnsi="Arial" w:cs="Arial"/>
                <w:b/>
                <w:bCs/>
                <w:i/>
                <w:iCs/>
                <w:sz w:val="20"/>
                <w:szCs w:val="20"/>
              </w:rPr>
              <w:t> </w:t>
            </w:r>
          </w:p>
        </w:tc>
      </w:tr>
      <w:tr w:rsidR="00F36E4E" w:rsidTr="007632BD">
        <w:trPr>
          <w:trHeight w:val="330"/>
        </w:trPr>
        <w:tc>
          <w:tcPr>
            <w:tcW w:w="31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3496" w:type="dxa"/>
            <w:tcBorders>
              <w:top w:val="nil"/>
              <w:left w:val="nil"/>
              <w:bottom w:val="nil"/>
              <w:right w:val="nil"/>
            </w:tcBorders>
            <w:shd w:val="clear" w:color="auto" w:fill="FFFFFF"/>
            <w:noWrap/>
            <w:vAlign w:val="center"/>
          </w:tcPr>
          <w:p w:rsidR="00F36E4E" w:rsidRDefault="00F36E4E" w:rsidP="007632BD">
            <w:pPr>
              <w:rPr>
                <w:rFonts w:ascii="Arial" w:hAnsi="Arial" w:cs="Arial"/>
                <w:color w:val="000000"/>
                <w:sz w:val="20"/>
                <w:szCs w:val="20"/>
              </w:rPr>
            </w:pPr>
            <w:r>
              <w:rPr>
                <w:rFonts w:ascii="Arial" w:hAnsi="Arial" w:cs="Arial"/>
                <w:color w:val="000000"/>
                <w:sz w:val="20"/>
                <w:szCs w:val="20"/>
              </w:rPr>
              <w:t>Period:</w:t>
            </w:r>
          </w:p>
        </w:tc>
        <w:tc>
          <w:tcPr>
            <w:tcW w:w="5522" w:type="dxa"/>
            <w:gridSpan w:val="5"/>
            <w:tcBorders>
              <w:top w:val="nil"/>
              <w:left w:val="nil"/>
              <w:bottom w:val="nil"/>
              <w:right w:val="nil"/>
            </w:tcBorders>
            <w:shd w:val="clear" w:color="auto" w:fill="FFFFFF"/>
            <w:noWrap/>
            <w:vAlign w:val="center"/>
          </w:tcPr>
          <w:p w:rsidR="00F36E4E" w:rsidRDefault="00D41912" w:rsidP="00446208">
            <w:pPr>
              <w:jc w:val="center"/>
              <w:rPr>
                <w:rFonts w:ascii="Arial" w:hAnsi="Arial" w:cs="Arial"/>
                <w:sz w:val="20"/>
                <w:szCs w:val="20"/>
              </w:rPr>
            </w:pPr>
            <w:r>
              <w:rPr>
                <w:rFonts w:ascii="Arial" w:hAnsi="Arial" w:cs="Arial"/>
                <w:sz w:val="20"/>
                <w:szCs w:val="20"/>
              </w:rPr>
              <w:t>2012</w:t>
            </w:r>
            <w:r w:rsidR="00446208">
              <w:rPr>
                <w:rFonts w:ascii="Arial" w:hAnsi="Arial" w:cs="Arial"/>
                <w:sz w:val="20"/>
                <w:szCs w:val="20"/>
              </w:rPr>
              <w:t>/1</w:t>
            </w:r>
            <w:r>
              <w:rPr>
                <w:rFonts w:ascii="Arial" w:hAnsi="Arial" w:cs="Arial"/>
                <w:sz w:val="20"/>
                <w:szCs w:val="20"/>
              </w:rPr>
              <w:t>3</w:t>
            </w:r>
          </w:p>
        </w:tc>
        <w:tc>
          <w:tcPr>
            <w:tcW w:w="117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r>
      <w:tr w:rsidR="00F36E4E" w:rsidTr="007632BD">
        <w:trPr>
          <w:trHeight w:val="720"/>
        </w:trPr>
        <w:tc>
          <w:tcPr>
            <w:tcW w:w="31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3496" w:type="dxa"/>
            <w:tcBorders>
              <w:top w:val="nil"/>
              <w:left w:val="nil"/>
              <w:bottom w:val="nil"/>
              <w:right w:val="nil"/>
            </w:tcBorders>
            <w:shd w:val="clear" w:color="auto" w:fill="FFFFFF"/>
            <w:vAlign w:val="center"/>
          </w:tcPr>
          <w:p w:rsidR="00F36E4E" w:rsidRDefault="00F36E4E" w:rsidP="007632BD">
            <w:pPr>
              <w:rPr>
                <w:rFonts w:ascii="Arial" w:hAnsi="Arial" w:cs="Arial"/>
                <w:color w:val="000000"/>
                <w:sz w:val="20"/>
                <w:szCs w:val="20"/>
              </w:rPr>
            </w:pPr>
            <w:r>
              <w:rPr>
                <w:rFonts w:ascii="Arial" w:hAnsi="Arial" w:cs="Arial"/>
                <w:color w:val="000000"/>
                <w:sz w:val="20"/>
                <w:szCs w:val="20"/>
              </w:rPr>
              <w:t> </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rsidR="00F36E4E" w:rsidRDefault="00F36E4E" w:rsidP="007632BD">
            <w:pPr>
              <w:jc w:val="center"/>
              <w:rPr>
                <w:rFonts w:ascii="Arial" w:hAnsi="Arial" w:cs="Arial"/>
                <w:color w:val="000000"/>
                <w:sz w:val="20"/>
                <w:szCs w:val="20"/>
              </w:rPr>
            </w:pPr>
            <w:r>
              <w:rPr>
                <w:rFonts w:ascii="Arial" w:hAnsi="Arial" w:cs="Arial"/>
                <w:color w:val="000000"/>
                <w:sz w:val="20"/>
                <w:szCs w:val="20"/>
              </w:rPr>
              <w:t>Rehabilitation</w:t>
            </w:r>
          </w:p>
        </w:tc>
        <w:tc>
          <w:tcPr>
            <w:tcW w:w="1026" w:type="dxa"/>
            <w:tcBorders>
              <w:top w:val="single" w:sz="4" w:space="0" w:color="auto"/>
              <w:left w:val="nil"/>
              <w:bottom w:val="single" w:sz="4" w:space="0" w:color="auto"/>
              <w:right w:val="single" w:sz="4" w:space="0" w:color="auto"/>
            </w:tcBorders>
            <w:shd w:val="clear" w:color="auto" w:fill="FFFFFF"/>
            <w:vAlign w:val="center"/>
          </w:tcPr>
          <w:p w:rsidR="00F36E4E" w:rsidRDefault="00F36E4E" w:rsidP="007632BD">
            <w:pPr>
              <w:jc w:val="center"/>
              <w:rPr>
                <w:rFonts w:ascii="Arial" w:hAnsi="Arial" w:cs="Arial"/>
                <w:color w:val="000000"/>
                <w:sz w:val="20"/>
                <w:szCs w:val="20"/>
              </w:rPr>
            </w:pPr>
            <w:r>
              <w:rPr>
                <w:rFonts w:ascii="Arial" w:hAnsi="Arial" w:cs="Arial"/>
                <w:color w:val="000000"/>
                <w:sz w:val="20"/>
                <w:szCs w:val="20"/>
              </w:rPr>
              <w:t>Palliative</w:t>
            </w:r>
          </w:p>
        </w:tc>
        <w:tc>
          <w:tcPr>
            <w:tcW w:w="1000" w:type="dxa"/>
            <w:tcBorders>
              <w:top w:val="single" w:sz="4" w:space="0" w:color="auto"/>
              <w:left w:val="nil"/>
              <w:bottom w:val="single" w:sz="4" w:space="0" w:color="auto"/>
              <w:right w:val="single" w:sz="4" w:space="0" w:color="auto"/>
            </w:tcBorders>
            <w:shd w:val="clear" w:color="auto" w:fill="FFFFFF"/>
            <w:vAlign w:val="center"/>
          </w:tcPr>
          <w:p w:rsidR="00F36E4E" w:rsidRDefault="00F36E4E" w:rsidP="007632BD">
            <w:pPr>
              <w:jc w:val="center"/>
              <w:rPr>
                <w:rFonts w:ascii="Arial" w:hAnsi="Arial" w:cs="Arial"/>
                <w:color w:val="000000"/>
                <w:sz w:val="20"/>
                <w:szCs w:val="20"/>
              </w:rPr>
            </w:pPr>
            <w:r>
              <w:rPr>
                <w:rFonts w:ascii="Arial" w:hAnsi="Arial" w:cs="Arial"/>
                <w:color w:val="000000"/>
                <w:sz w:val="20"/>
                <w:szCs w:val="20"/>
              </w:rPr>
              <w:t>GEM</w:t>
            </w:r>
          </w:p>
        </w:tc>
        <w:tc>
          <w:tcPr>
            <w:tcW w:w="1052" w:type="dxa"/>
            <w:tcBorders>
              <w:top w:val="single" w:sz="4" w:space="0" w:color="auto"/>
              <w:left w:val="nil"/>
              <w:bottom w:val="single" w:sz="4" w:space="0" w:color="auto"/>
              <w:right w:val="single" w:sz="4" w:space="0" w:color="auto"/>
            </w:tcBorders>
            <w:shd w:val="clear" w:color="auto" w:fill="FFFFFF"/>
            <w:vAlign w:val="center"/>
          </w:tcPr>
          <w:p w:rsidR="00F36E4E" w:rsidRDefault="00F36E4E" w:rsidP="007632BD">
            <w:pPr>
              <w:jc w:val="center"/>
              <w:rPr>
                <w:rFonts w:ascii="Arial" w:hAnsi="Arial" w:cs="Arial"/>
                <w:color w:val="000000"/>
                <w:sz w:val="20"/>
                <w:szCs w:val="20"/>
              </w:rPr>
            </w:pPr>
            <w:r>
              <w:rPr>
                <w:rFonts w:ascii="Arial" w:hAnsi="Arial" w:cs="Arial"/>
                <w:color w:val="000000"/>
                <w:sz w:val="20"/>
                <w:szCs w:val="20"/>
              </w:rPr>
              <w:t>Psycho-geriatric</w:t>
            </w:r>
          </w:p>
        </w:tc>
        <w:tc>
          <w:tcPr>
            <w:tcW w:w="1016" w:type="dxa"/>
            <w:tcBorders>
              <w:top w:val="single" w:sz="4" w:space="0" w:color="auto"/>
              <w:left w:val="nil"/>
              <w:bottom w:val="single" w:sz="4" w:space="0" w:color="auto"/>
              <w:right w:val="single" w:sz="4" w:space="0" w:color="auto"/>
            </w:tcBorders>
            <w:shd w:val="clear" w:color="auto" w:fill="FFFFFF"/>
            <w:vAlign w:val="center"/>
          </w:tcPr>
          <w:p w:rsidR="00F36E4E" w:rsidRDefault="00F36E4E" w:rsidP="007632BD">
            <w:pPr>
              <w:jc w:val="center"/>
              <w:rPr>
                <w:rFonts w:ascii="Arial" w:hAnsi="Arial" w:cs="Arial"/>
                <w:color w:val="000000"/>
                <w:sz w:val="20"/>
                <w:szCs w:val="20"/>
              </w:rPr>
            </w:pPr>
            <w:r>
              <w:rPr>
                <w:rFonts w:ascii="Arial" w:hAnsi="Arial" w:cs="Arial"/>
                <w:color w:val="000000"/>
                <w:sz w:val="20"/>
                <w:szCs w:val="20"/>
              </w:rPr>
              <w:t>Totals</w:t>
            </w:r>
          </w:p>
        </w:tc>
        <w:tc>
          <w:tcPr>
            <w:tcW w:w="117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r>
      <w:tr w:rsidR="00F36E4E" w:rsidTr="00A35A45">
        <w:trPr>
          <w:trHeight w:val="420"/>
        </w:trPr>
        <w:tc>
          <w:tcPr>
            <w:tcW w:w="316"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3496" w:type="dxa"/>
            <w:tcBorders>
              <w:top w:val="nil"/>
              <w:left w:val="nil"/>
              <w:bottom w:val="single" w:sz="4" w:space="0" w:color="auto"/>
              <w:right w:val="nil"/>
            </w:tcBorders>
            <w:shd w:val="clear" w:color="auto" w:fill="FFFFFF"/>
            <w:noWrap/>
            <w:vAlign w:val="center"/>
          </w:tcPr>
          <w:p w:rsidR="00F36E4E" w:rsidRDefault="00F36E4E" w:rsidP="007632BD">
            <w:pPr>
              <w:rPr>
                <w:rFonts w:ascii="Arial" w:hAnsi="Arial" w:cs="Arial"/>
                <w:b/>
                <w:bCs/>
                <w:color w:val="000000"/>
              </w:rPr>
            </w:pPr>
            <w:r>
              <w:rPr>
                <w:rFonts w:ascii="Arial" w:hAnsi="Arial" w:cs="Arial"/>
                <w:b/>
                <w:bCs/>
                <w:color w:val="000000"/>
              </w:rPr>
              <w:t>Separations (patients)</w:t>
            </w:r>
          </w:p>
        </w:tc>
        <w:tc>
          <w:tcPr>
            <w:tcW w:w="5522" w:type="dxa"/>
            <w:gridSpan w:val="5"/>
            <w:tcBorders>
              <w:top w:val="nil"/>
              <w:left w:val="nil"/>
              <w:bottom w:val="single" w:sz="4" w:space="0" w:color="auto"/>
              <w:right w:val="nil"/>
            </w:tcBorders>
            <w:noWrap/>
            <w:vAlign w:val="center"/>
          </w:tcPr>
          <w:p w:rsidR="00F36E4E" w:rsidRDefault="00F36E4E" w:rsidP="007632BD">
            <w:pPr>
              <w:jc w:val="center"/>
              <w:rPr>
                <w:rFonts w:ascii="Arial" w:hAnsi="Arial" w:cs="Arial"/>
                <w:b/>
                <w:bCs/>
                <w:i/>
                <w:iCs/>
              </w:rPr>
            </w:pPr>
            <w:r>
              <w:rPr>
                <w:rFonts w:ascii="Arial" w:hAnsi="Arial" w:cs="Arial"/>
                <w:b/>
                <w:bCs/>
                <w:i/>
                <w:iCs/>
              </w:rPr>
              <w:t>Admitted</w:t>
            </w:r>
          </w:p>
        </w:tc>
        <w:tc>
          <w:tcPr>
            <w:tcW w:w="1176"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1176"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4064"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nil"/>
            </w:tcBorders>
            <w:noWrap/>
            <w:vAlign w:val="center"/>
          </w:tcPr>
          <w:p w:rsidR="003B358E" w:rsidRDefault="003B358E" w:rsidP="007632BD">
            <w:pPr>
              <w:rPr>
                <w:rFonts w:ascii="Arial" w:hAnsi="Arial" w:cs="Arial"/>
                <w:color w:val="000000"/>
                <w:sz w:val="20"/>
                <w:szCs w:val="20"/>
              </w:rPr>
            </w:pPr>
            <w:r>
              <w:rPr>
                <w:rFonts w:ascii="Arial" w:hAnsi="Arial" w:cs="Arial"/>
                <w:color w:val="000000"/>
                <w:sz w:val="20"/>
                <w:szCs w:val="20"/>
              </w:rPr>
              <w:t>Hospital based</w:t>
            </w:r>
          </w:p>
        </w:tc>
        <w:tc>
          <w:tcPr>
            <w:tcW w:w="14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3,369 </w:t>
            </w:r>
          </w:p>
        </w:tc>
        <w:tc>
          <w:tcPr>
            <w:tcW w:w="1026"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1,524 </w:t>
            </w:r>
          </w:p>
        </w:tc>
        <w:tc>
          <w:tcPr>
            <w:tcW w:w="1000"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1,481 </w:t>
            </w:r>
          </w:p>
        </w:tc>
        <w:tc>
          <w:tcPr>
            <w:tcW w:w="1052"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310 </w:t>
            </w: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6,684</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nil"/>
            </w:tcBorders>
            <w:noWrap/>
            <w:vAlign w:val="center"/>
          </w:tcPr>
          <w:p w:rsidR="003B358E" w:rsidRDefault="003B358E" w:rsidP="007632BD">
            <w:pPr>
              <w:rPr>
                <w:rFonts w:ascii="Arial" w:hAnsi="Arial" w:cs="Arial"/>
                <w:color w:val="000000"/>
                <w:sz w:val="20"/>
                <w:szCs w:val="20"/>
              </w:rPr>
            </w:pPr>
            <w:r>
              <w:rPr>
                <w:rFonts w:ascii="Arial" w:hAnsi="Arial" w:cs="Arial"/>
                <w:color w:val="000000"/>
                <w:sz w:val="20"/>
                <w:szCs w:val="20"/>
              </w:rPr>
              <w:t>Hospital-in-the-Home (HITH)</w:t>
            </w:r>
          </w:p>
        </w:tc>
        <w:tc>
          <w:tcPr>
            <w:tcW w:w="14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566 </w:t>
            </w:r>
          </w:p>
        </w:tc>
        <w:tc>
          <w:tcPr>
            <w:tcW w:w="1026"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0 </w:t>
            </w:r>
          </w:p>
        </w:tc>
        <w:tc>
          <w:tcPr>
            <w:tcW w:w="1000"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0 </w:t>
            </w:r>
          </w:p>
        </w:tc>
        <w:tc>
          <w:tcPr>
            <w:tcW w:w="1052"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0 </w:t>
            </w: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566</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nil"/>
            </w:tcBorders>
            <w:vAlign w:val="center"/>
          </w:tcPr>
          <w:p w:rsidR="003B358E" w:rsidRDefault="003B358E" w:rsidP="007632BD">
            <w:pPr>
              <w:rPr>
                <w:rFonts w:ascii="Arial" w:hAnsi="Arial" w:cs="Arial"/>
                <w:color w:val="000000"/>
                <w:sz w:val="20"/>
                <w:szCs w:val="20"/>
              </w:rPr>
            </w:pPr>
            <w:r>
              <w:rPr>
                <w:rFonts w:ascii="Arial" w:hAnsi="Arial" w:cs="Arial"/>
                <w:color w:val="000000"/>
                <w:sz w:val="20"/>
                <w:szCs w:val="20"/>
              </w:rPr>
              <w:t>Combined hospital based and                                                                                                                                                                                                                                                                                                                                                                                                                         HITH</w:t>
            </w:r>
          </w:p>
        </w:tc>
        <w:tc>
          <w:tcPr>
            <w:tcW w:w="14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6,313 </w:t>
            </w:r>
          </w:p>
        </w:tc>
        <w:tc>
          <w:tcPr>
            <w:tcW w:w="1026"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0 </w:t>
            </w:r>
          </w:p>
        </w:tc>
        <w:tc>
          <w:tcPr>
            <w:tcW w:w="1000"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0 </w:t>
            </w:r>
          </w:p>
        </w:tc>
        <w:tc>
          <w:tcPr>
            <w:tcW w:w="1052"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0 </w:t>
            </w: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6,313</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nil"/>
            </w:tcBorders>
            <w:noWrap/>
            <w:vAlign w:val="center"/>
          </w:tcPr>
          <w:p w:rsidR="003B358E" w:rsidRDefault="003B358E" w:rsidP="007632BD">
            <w:pPr>
              <w:rPr>
                <w:rFonts w:ascii="Arial" w:hAnsi="Arial" w:cs="Arial"/>
                <w:color w:val="000000"/>
                <w:sz w:val="20"/>
                <w:szCs w:val="20"/>
              </w:rPr>
            </w:pPr>
            <w:r>
              <w:rPr>
                <w:rFonts w:ascii="Arial" w:hAnsi="Arial" w:cs="Arial"/>
                <w:color w:val="000000"/>
                <w:sz w:val="20"/>
                <w:szCs w:val="20"/>
              </w:rPr>
              <w:t>Other (public-funded private beds)</w:t>
            </w:r>
          </w:p>
        </w:tc>
        <w:tc>
          <w:tcPr>
            <w:tcW w:w="14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0 </w:t>
            </w:r>
          </w:p>
        </w:tc>
        <w:tc>
          <w:tcPr>
            <w:tcW w:w="1026"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127 </w:t>
            </w:r>
          </w:p>
        </w:tc>
        <w:tc>
          <w:tcPr>
            <w:tcW w:w="1000"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0 </w:t>
            </w:r>
          </w:p>
        </w:tc>
        <w:tc>
          <w:tcPr>
            <w:tcW w:w="1052"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 xml:space="preserve">0 </w:t>
            </w: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127</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nil"/>
            </w:tcBorders>
            <w:noWrap/>
            <w:vAlign w:val="center"/>
          </w:tcPr>
          <w:p w:rsidR="003B358E" w:rsidRDefault="003B358E" w:rsidP="007632BD">
            <w:pPr>
              <w:jc w:val="right"/>
              <w:rPr>
                <w:rFonts w:ascii="Arial" w:hAnsi="Arial" w:cs="Arial"/>
                <w:i/>
                <w:iCs/>
                <w:color w:val="000000"/>
                <w:sz w:val="20"/>
                <w:szCs w:val="20"/>
              </w:rPr>
            </w:pPr>
            <w:r>
              <w:rPr>
                <w:rFonts w:ascii="Arial" w:hAnsi="Arial" w:cs="Arial"/>
                <w:i/>
                <w:iCs/>
                <w:color w:val="000000"/>
                <w:sz w:val="20"/>
                <w:szCs w:val="20"/>
              </w:rPr>
              <w:t>Total admitted separations</w:t>
            </w:r>
          </w:p>
        </w:tc>
        <w:tc>
          <w:tcPr>
            <w:tcW w:w="1428" w:type="dxa"/>
            <w:tcBorders>
              <w:top w:val="single" w:sz="4" w:space="0" w:color="auto"/>
              <w:left w:val="single" w:sz="4" w:space="0" w:color="auto"/>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10,248</w:t>
            </w:r>
          </w:p>
        </w:tc>
        <w:tc>
          <w:tcPr>
            <w:tcW w:w="1026" w:type="dxa"/>
            <w:tcBorders>
              <w:top w:val="single" w:sz="4" w:space="0" w:color="auto"/>
              <w:left w:val="nil"/>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1,651</w:t>
            </w:r>
          </w:p>
        </w:tc>
        <w:tc>
          <w:tcPr>
            <w:tcW w:w="1000" w:type="dxa"/>
            <w:tcBorders>
              <w:top w:val="single" w:sz="4" w:space="0" w:color="auto"/>
              <w:left w:val="nil"/>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1,481</w:t>
            </w:r>
          </w:p>
        </w:tc>
        <w:tc>
          <w:tcPr>
            <w:tcW w:w="1052" w:type="dxa"/>
            <w:tcBorders>
              <w:top w:val="single" w:sz="4" w:space="0" w:color="auto"/>
              <w:left w:val="nil"/>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310</w:t>
            </w: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13,690</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nil"/>
            </w:tcBorders>
            <w:noWrap/>
            <w:vAlign w:val="center"/>
          </w:tcPr>
          <w:p w:rsidR="003B358E" w:rsidRDefault="003B358E" w:rsidP="007632BD">
            <w:pPr>
              <w:rPr>
                <w:rFonts w:ascii="Arial" w:hAnsi="Arial" w:cs="Arial"/>
                <w:color w:val="000000"/>
                <w:sz w:val="20"/>
                <w:szCs w:val="20"/>
              </w:rPr>
            </w:pPr>
            <w:r>
              <w:rPr>
                <w:rFonts w:ascii="Arial" w:hAnsi="Arial" w:cs="Arial"/>
                <w:color w:val="000000"/>
                <w:sz w:val="20"/>
                <w:szCs w:val="20"/>
              </w:rPr>
              <w:t>Benchmark Average Length of Stay</w:t>
            </w:r>
          </w:p>
        </w:tc>
        <w:tc>
          <w:tcPr>
            <w:tcW w:w="1428" w:type="dxa"/>
            <w:tcBorders>
              <w:top w:val="single" w:sz="4" w:space="0" w:color="auto"/>
              <w:left w:val="single" w:sz="4" w:space="0" w:color="auto"/>
              <w:bottom w:val="single" w:sz="4" w:space="0" w:color="auto"/>
              <w:right w:val="single" w:sz="4" w:space="0" w:color="auto"/>
            </w:tcBorders>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13.3</w:t>
            </w:r>
          </w:p>
        </w:tc>
        <w:tc>
          <w:tcPr>
            <w:tcW w:w="1026" w:type="dxa"/>
            <w:tcBorders>
              <w:top w:val="single" w:sz="4" w:space="0" w:color="auto"/>
              <w:left w:val="nil"/>
              <w:bottom w:val="single" w:sz="4" w:space="0" w:color="auto"/>
              <w:right w:val="single" w:sz="4" w:space="0" w:color="auto"/>
            </w:tcBorders>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15.3</w:t>
            </w:r>
          </w:p>
        </w:tc>
        <w:tc>
          <w:tcPr>
            <w:tcW w:w="1000" w:type="dxa"/>
            <w:tcBorders>
              <w:top w:val="single" w:sz="4" w:space="0" w:color="auto"/>
              <w:left w:val="nil"/>
              <w:bottom w:val="single" w:sz="4" w:space="0" w:color="auto"/>
              <w:right w:val="single" w:sz="4" w:space="0" w:color="auto"/>
            </w:tcBorders>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10.1</w:t>
            </w:r>
          </w:p>
        </w:tc>
        <w:tc>
          <w:tcPr>
            <w:tcW w:w="1052" w:type="dxa"/>
            <w:tcBorders>
              <w:top w:val="single" w:sz="4" w:space="0" w:color="auto"/>
              <w:left w:val="nil"/>
              <w:bottom w:val="single" w:sz="4" w:space="0" w:color="auto"/>
              <w:right w:val="single" w:sz="4" w:space="0" w:color="auto"/>
            </w:tcBorders>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25.0</w:t>
            </w:r>
          </w:p>
        </w:tc>
        <w:tc>
          <w:tcPr>
            <w:tcW w:w="1016" w:type="dxa"/>
            <w:tcBorders>
              <w:top w:val="single" w:sz="4" w:space="0" w:color="auto"/>
              <w:left w:val="nil"/>
              <w:bottom w:val="single" w:sz="4" w:space="0" w:color="auto"/>
              <w:right w:val="single" w:sz="4" w:space="0" w:color="auto"/>
            </w:tcBorders>
            <w:shd w:val="clear" w:color="auto" w:fill="FFFFFF"/>
            <w:noWrap/>
            <w:vAlign w:val="center"/>
          </w:tcPr>
          <w:p w:rsidR="003B358E" w:rsidRPr="00D6159E" w:rsidRDefault="003B358E" w:rsidP="003A1A07">
            <w:pPr>
              <w:jc w:val="right"/>
              <w:rPr>
                <w:rFonts w:ascii="Arial" w:hAnsi="Arial" w:cs="Arial"/>
                <w:sz w:val="20"/>
                <w:szCs w:val="20"/>
              </w:rPr>
            </w:pP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nil"/>
            </w:tcBorders>
            <w:noWrap/>
            <w:vAlign w:val="center"/>
          </w:tcPr>
          <w:p w:rsidR="003B358E" w:rsidRDefault="003B358E" w:rsidP="007632BD">
            <w:pPr>
              <w:jc w:val="right"/>
              <w:rPr>
                <w:rFonts w:ascii="Arial" w:hAnsi="Arial" w:cs="Arial"/>
                <w:i/>
                <w:iCs/>
                <w:color w:val="000000"/>
                <w:sz w:val="20"/>
                <w:szCs w:val="20"/>
              </w:rPr>
            </w:pPr>
            <w:r>
              <w:rPr>
                <w:rFonts w:ascii="Arial" w:hAnsi="Arial" w:cs="Arial"/>
                <w:i/>
                <w:iCs/>
                <w:color w:val="000000"/>
                <w:sz w:val="20"/>
                <w:szCs w:val="20"/>
              </w:rPr>
              <w:t>Total Bed Day Equivalents</w:t>
            </w:r>
          </w:p>
        </w:tc>
        <w:tc>
          <w:tcPr>
            <w:tcW w:w="1428" w:type="dxa"/>
            <w:tcBorders>
              <w:top w:val="single" w:sz="4" w:space="0" w:color="auto"/>
              <w:left w:val="single" w:sz="4" w:space="0" w:color="auto"/>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136,317</w:t>
            </w:r>
          </w:p>
        </w:tc>
        <w:tc>
          <w:tcPr>
            <w:tcW w:w="1026" w:type="dxa"/>
            <w:tcBorders>
              <w:top w:val="single" w:sz="4" w:space="0" w:color="auto"/>
              <w:left w:val="nil"/>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25,237</w:t>
            </w:r>
          </w:p>
        </w:tc>
        <w:tc>
          <w:tcPr>
            <w:tcW w:w="1000" w:type="dxa"/>
            <w:tcBorders>
              <w:top w:val="single" w:sz="4" w:space="0" w:color="auto"/>
              <w:left w:val="nil"/>
              <w:bottom w:val="single" w:sz="4" w:space="0" w:color="auto"/>
              <w:right w:val="nil"/>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14,965</w:t>
            </w:r>
          </w:p>
        </w:tc>
        <w:tc>
          <w:tcPr>
            <w:tcW w:w="1052" w:type="dxa"/>
            <w:tcBorders>
              <w:top w:val="single" w:sz="4" w:space="0" w:color="auto"/>
              <w:left w:val="single" w:sz="4" w:space="0" w:color="auto"/>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57,673</w:t>
            </w: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3B358E" w:rsidRPr="00D6159E" w:rsidRDefault="003B358E" w:rsidP="003A1A07">
            <w:pPr>
              <w:jc w:val="right"/>
              <w:rPr>
                <w:rFonts w:ascii="Arial" w:hAnsi="Arial" w:cs="Arial"/>
                <w:sz w:val="20"/>
                <w:szCs w:val="20"/>
              </w:rPr>
            </w:pPr>
            <w:r w:rsidRPr="00D6159E">
              <w:rPr>
                <w:rFonts w:ascii="Arial" w:hAnsi="Arial" w:cs="Arial"/>
                <w:sz w:val="20"/>
                <w:szCs w:val="20"/>
              </w:rPr>
              <w:t>234,191</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F36E4E" w:rsidTr="00A35A45">
        <w:trPr>
          <w:trHeight w:val="420"/>
        </w:trPr>
        <w:tc>
          <w:tcPr>
            <w:tcW w:w="316"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3496" w:type="dxa"/>
            <w:tcBorders>
              <w:top w:val="nil"/>
              <w:left w:val="nil"/>
              <w:bottom w:val="single" w:sz="4" w:space="0" w:color="auto"/>
              <w:right w:val="nil"/>
            </w:tcBorders>
            <w:noWrap/>
            <w:vAlign w:val="center"/>
          </w:tcPr>
          <w:p w:rsidR="00F36E4E" w:rsidRDefault="00F36E4E" w:rsidP="007632BD">
            <w:pPr>
              <w:rPr>
                <w:rFonts w:ascii="Arial" w:hAnsi="Arial" w:cs="Arial"/>
                <w:b/>
                <w:bCs/>
                <w:color w:val="000000"/>
              </w:rPr>
            </w:pPr>
            <w:r>
              <w:rPr>
                <w:rFonts w:ascii="Arial" w:hAnsi="Arial" w:cs="Arial"/>
                <w:b/>
                <w:bCs/>
                <w:color w:val="000000"/>
              </w:rPr>
              <w:t>Occasions of Service (volumes)</w:t>
            </w:r>
          </w:p>
        </w:tc>
        <w:tc>
          <w:tcPr>
            <w:tcW w:w="5522" w:type="dxa"/>
            <w:gridSpan w:val="5"/>
            <w:tcBorders>
              <w:top w:val="nil"/>
              <w:left w:val="nil"/>
              <w:bottom w:val="single" w:sz="4" w:space="0" w:color="auto"/>
              <w:right w:val="nil"/>
            </w:tcBorders>
            <w:noWrap/>
            <w:vAlign w:val="center"/>
          </w:tcPr>
          <w:p w:rsidR="00F36E4E" w:rsidRDefault="00F36E4E" w:rsidP="007632BD">
            <w:pPr>
              <w:jc w:val="center"/>
              <w:rPr>
                <w:rFonts w:ascii="Arial" w:hAnsi="Arial" w:cs="Arial"/>
                <w:b/>
                <w:bCs/>
                <w:i/>
                <w:iCs/>
                <w:color w:val="000000"/>
              </w:rPr>
            </w:pPr>
            <w:r>
              <w:rPr>
                <w:rFonts w:ascii="Arial" w:hAnsi="Arial" w:cs="Arial"/>
                <w:b/>
                <w:bCs/>
                <w:i/>
                <w:iCs/>
                <w:color w:val="000000"/>
              </w:rPr>
              <w:t>Non-admitted</w:t>
            </w:r>
          </w:p>
        </w:tc>
        <w:tc>
          <w:tcPr>
            <w:tcW w:w="1176"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1176"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4064"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rPr>
            </w:pPr>
            <w:r>
              <w:rPr>
                <w:rFonts w:ascii="Calibri" w:hAnsi="Calibri"/>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single" w:sz="4" w:space="0" w:color="auto"/>
            </w:tcBorders>
            <w:noWrap/>
            <w:vAlign w:val="center"/>
          </w:tcPr>
          <w:p w:rsidR="003B358E" w:rsidRDefault="003B358E" w:rsidP="007632BD">
            <w:pPr>
              <w:rPr>
                <w:rFonts w:ascii="Arial" w:hAnsi="Arial" w:cs="Arial"/>
                <w:color w:val="000000"/>
                <w:sz w:val="20"/>
                <w:szCs w:val="20"/>
              </w:rPr>
            </w:pPr>
            <w:r>
              <w:rPr>
                <w:rFonts w:ascii="Arial" w:hAnsi="Arial" w:cs="Arial"/>
                <w:color w:val="000000"/>
                <w:sz w:val="20"/>
                <w:szCs w:val="20"/>
              </w:rPr>
              <w:t>Centre based</w:t>
            </w:r>
          </w:p>
        </w:tc>
        <w:tc>
          <w:tcPr>
            <w:tcW w:w="1428"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1,137 </w:t>
            </w:r>
          </w:p>
        </w:tc>
        <w:tc>
          <w:tcPr>
            <w:tcW w:w="1026"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42,077 </w:t>
            </w:r>
          </w:p>
        </w:tc>
        <w:tc>
          <w:tcPr>
            <w:tcW w:w="1000"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21,526 </w:t>
            </w:r>
          </w:p>
        </w:tc>
        <w:tc>
          <w:tcPr>
            <w:tcW w:w="1052"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9,143 </w:t>
            </w: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73,883</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single" w:sz="4" w:space="0" w:color="auto"/>
            </w:tcBorders>
            <w:noWrap/>
            <w:vAlign w:val="center"/>
          </w:tcPr>
          <w:p w:rsidR="003B358E" w:rsidRDefault="003B358E" w:rsidP="007632BD">
            <w:pPr>
              <w:rPr>
                <w:rFonts w:ascii="Arial" w:hAnsi="Arial" w:cs="Arial"/>
                <w:color w:val="000000"/>
                <w:sz w:val="20"/>
                <w:szCs w:val="20"/>
              </w:rPr>
            </w:pPr>
            <w:r>
              <w:rPr>
                <w:rFonts w:ascii="Arial" w:hAnsi="Arial" w:cs="Arial"/>
                <w:color w:val="000000"/>
                <w:sz w:val="20"/>
                <w:szCs w:val="20"/>
              </w:rPr>
              <w:t>Home based</w:t>
            </w:r>
          </w:p>
        </w:tc>
        <w:tc>
          <w:tcPr>
            <w:tcW w:w="1428"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19,231 </w:t>
            </w:r>
          </w:p>
        </w:tc>
        <w:tc>
          <w:tcPr>
            <w:tcW w:w="1026"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2,473 </w:t>
            </w:r>
          </w:p>
        </w:tc>
        <w:tc>
          <w:tcPr>
            <w:tcW w:w="1000"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9,781 </w:t>
            </w:r>
          </w:p>
        </w:tc>
        <w:tc>
          <w:tcPr>
            <w:tcW w:w="1052"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0 </w:t>
            </w: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31,485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single" w:sz="4" w:space="0" w:color="auto"/>
            </w:tcBorders>
            <w:vAlign w:val="center"/>
          </w:tcPr>
          <w:p w:rsidR="003B358E" w:rsidRDefault="003B358E" w:rsidP="007632BD">
            <w:pPr>
              <w:rPr>
                <w:rFonts w:ascii="Arial" w:hAnsi="Arial" w:cs="Arial"/>
                <w:color w:val="000000"/>
                <w:sz w:val="20"/>
                <w:szCs w:val="20"/>
              </w:rPr>
            </w:pPr>
            <w:r>
              <w:rPr>
                <w:rFonts w:ascii="Arial" w:hAnsi="Arial" w:cs="Arial"/>
                <w:color w:val="000000"/>
                <w:sz w:val="20"/>
                <w:szCs w:val="20"/>
              </w:rPr>
              <w:t>Combined centre and home based</w:t>
            </w:r>
          </w:p>
        </w:tc>
        <w:tc>
          <w:tcPr>
            <w:tcW w:w="1428" w:type="dxa"/>
            <w:tcBorders>
              <w:top w:val="single" w:sz="4" w:space="0" w:color="auto"/>
              <w:left w:val="nil"/>
              <w:bottom w:val="single" w:sz="4" w:space="0" w:color="auto"/>
              <w:right w:val="nil"/>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20,149 </w:t>
            </w:r>
          </w:p>
        </w:tc>
        <w:tc>
          <w:tcPr>
            <w:tcW w:w="10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0 </w:t>
            </w:r>
          </w:p>
        </w:tc>
        <w:tc>
          <w:tcPr>
            <w:tcW w:w="1000"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0 </w:t>
            </w:r>
          </w:p>
        </w:tc>
        <w:tc>
          <w:tcPr>
            <w:tcW w:w="1052"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 xml:space="preserve">0 </w:t>
            </w: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20,149</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single" w:sz="4" w:space="0" w:color="auto"/>
            </w:tcBorders>
            <w:noWrap/>
            <w:vAlign w:val="center"/>
          </w:tcPr>
          <w:p w:rsidR="003B358E" w:rsidRDefault="003B358E" w:rsidP="007632BD">
            <w:pPr>
              <w:rPr>
                <w:rFonts w:ascii="Arial" w:hAnsi="Arial" w:cs="Arial"/>
                <w:color w:val="000000"/>
                <w:sz w:val="20"/>
                <w:szCs w:val="20"/>
              </w:rPr>
            </w:pPr>
            <w:r>
              <w:rPr>
                <w:rFonts w:ascii="Arial" w:hAnsi="Arial" w:cs="Arial"/>
                <w:color w:val="000000"/>
                <w:sz w:val="20"/>
                <w:szCs w:val="20"/>
              </w:rPr>
              <w:t>Other (please specify)</w:t>
            </w:r>
          </w:p>
        </w:tc>
        <w:tc>
          <w:tcPr>
            <w:tcW w:w="1428"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p>
        </w:tc>
        <w:tc>
          <w:tcPr>
            <w:tcW w:w="1026"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p>
        </w:tc>
        <w:tc>
          <w:tcPr>
            <w:tcW w:w="1000"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p>
        </w:tc>
        <w:tc>
          <w:tcPr>
            <w:tcW w:w="1052" w:type="dxa"/>
            <w:tcBorders>
              <w:top w:val="single" w:sz="4" w:space="0" w:color="auto"/>
              <w:left w:val="nil"/>
              <w:bottom w:val="single" w:sz="4" w:space="0" w:color="auto"/>
              <w:right w:val="single" w:sz="4" w:space="0" w:color="auto"/>
            </w:tcBorders>
            <w:shd w:val="clear" w:color="auto" w:fill="FFFFFF"/>
            <w:noWrap/>
            <w:vAlign w:val="center"/>
          </w:tcPr>
          <w:p w:rsidR="003B358E" w:rsidRPr="00B23D23" w:rsidRDefault="003B358E" w:rsidP="003A1A07">
            <w:pPr>
              <w:jc w:val="right"/>
              <w:rPr>
                <w:rFonts w:ascii="Arial" w:hAnsi="Arial" w:cs="Arial"/>
                <w:sz w:val="20"/>
                <w:szCs w:val="20"/>
              </w:rPr>
            </w:pP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0</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3B358E" w:rsidTr="00A35A45">
        <w:trPr>
          <w:trHeight w:val="420"/>
        </w:trPr>
        <w:tc>
          <w:tcPr>
            <w:tcW w:w="31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single" w:sz="4" w:space="0" w:color="auto"/>
            </w:tcBorders>
            <w:noWrap/>
            <w:vAlign w:val="center"/>
          </w:tcPr>
          <w:p w:rsidR="003B358E" w:rsidRDefault="003B358E" w:rsidP="007632BD">
            <w:pPr>
              <w:jc w:val="right"/>
              <w:rPr>
                <w:rFonts w:ascii="Arial" w:hAnsi="Arial" w:cs="Arial"/>
                <w:i/>
                <w:iCs/>
                <w:color w:val="000000"/>
                <w:sz w:val="20"/>
                <w:szCs w:val="20"/>
              </w:rPr>
            </w:pPr>
            <w:r>
              <w:rPr>
                <w:rFonts w:ascii="Arial" w:hAnsi="Arial" w:cs="Arial"/>
                <w:i/>
                <w:iCs/>
                <w:color w:val="000000"/>
                <w:sz w:val="20"/>
                <w:szCs w:val="20"/>
              </w:rPr>
              <w:t>Total occasions of service</w:t>
            </w:r>
          </w:p>
        </w:tc>
        <w:tc>
          <w:tcPr>
            <w:tcW w:w="1428" w:type="dxa"/>
            <w:tcBorders>
              <w:top w:val="single" w:sz="4" w:space="0" w:color="auto"/>
              <w:left w:val="nil"/>
              <w:bottom w:val="single" w:sz="4" w:space="0" w:color="auto"/>
              <w:right w:val="single" w:sz="4" w:space="0" w:color="auto"/>
            </w:tcBorders>
            <w:shd w:val="clear" w:color="auto" w:fill="CCCC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40,517</w:t>
            </w:r>
          </w:p>
        </w:tc>
        <w:tc>
          <w:tcPr>
            <w:tcW w:w="1026" w:type="dxa"/>
            <w:tcBorders>
              <w:top w:val="single" w:sz="4" w:space="0" w:color="auto"/>
              <w:left w:val="nil"/>
              <w:bottom w:val="single" w:sz="4" w:space="0" w:color="auto"/>
              <w:right w:val="single" w:sz="4" w:space="0" w:color="auto"/>
            </w:tcBorders>
            <w:shd w:val="clear" w:color="auto" w:fill="CCCC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44,550</w:t>
            </w:r>
          </w:p>
        </w:tc>
        <w:tc>
          <w:tcPr>
            <w:tcW w:w="1000" w:type="dxa"/>
            <w:tcBorders>
              <w:top w:val="single" w:sz="4" w:space="0" w:color="auto"/>
              <w:left w:val="nil"/>
              <w:bottom w:val="single" w:sz="4" w:space="0" w:color="auto"/>
              <w:right w:val="single" w:sz="4" w:space="0" w:color="auto"/>
            </w:tcBorders>
            <w:shd w:val="clear" w:color="auto" w:fill="CCCC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31,307</w:t>
            </w:r>
          </w:p>
        </w:tc>
        <w:tc>
          <w:tcPr>
            <w:tcW w:w="1052" w:type="dxa"/>
            <w:tcBorders>
              <w:top w:val="single" w:sz="4" w:space="0" w:color="auto"/>
              <w:left w:val="nil"/>
              <w:bottom w:val="single" w:sz="4" w:space="0" w:color="auto"/>
              <w:right w:val="single" w:sz="4" w:space="0" w:color="auto"/>
            </w:tcBorders>
            <w:shd w:val="clear" w:color="auto" w:fill="CCCC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9,143</w:t>
            </w: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3B358E" w:rsidRPr="00B23D23" w:rsidRDefault="003B358E" w:rsidP="003A1A07">
            <w:pPr>
              <w:jc w:val="right"/>
              <w:rPr>
                <w:rFonts w:ascii="Arial" w:hAnsi="Arial" w:cs="Arial"/>
                <w:sz w:val="20"/>
                <w:szCs w:val="20"/>
              </w:rPr>
            </w:pPr>
            <w:r w:rsidRPr="00B23D23">
              <w:rPr>
                <w:rFonts w:ascii="Arial" w:hAnsi="Arial" w:cs="Arial"/>
                <w:sz w:val="20"/>
                <w:szCs w:val="20"/>
              </w:rPr>
              <w:t>125,517</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3B358E" w:rsidRDefault="003B358E" w:rsidP="007632BD">
            <w:pPr>
              <w:rPr>
                <w:rFonts w:ascii="Calibri" w:hAnsi="Calibri"/>
                <w:sz w:val="22"/>
                <w:szCs w:val="22"/>
              </w:rPr>
            </w:pPr>
            <w:r>
              <w:rPr>
                <w:rFonts w:ascii="Calibri" w:hAnsi="Calibri"/>
                <w:sz w:val="22"/>
                <w:szCs w:val="22"/>
              </w:rPr>
              <w:t> </w:t>
            </w:r>
          </w:p>
        </w:tc>
      </w:tr>
      <w:tr w:rsidR="00A35A45" w:rsidTr="00A35A45">
        <w:trPr>
          <w:trHeight w:val="420"/>
        </w:trPr>
        <w:tc>
          <w:tcPr>
            <w:tcW w:w="316" w:type="dxa"/>
            <w:tcBorders>
              <w:top w:val="nil"/>
              <w:left w:val="nil"/>
              <w:bottom w:val="nil"/>
              <w:right w:val="nil"/>
            </w:tcBorders>
            <w:shd w:val="clear" w:color="auto" w:fill="FFFFFF"/>
            <w:noWrap/>
            <w:vAlign w:val="center"/>
          </w:tcPr>
          <w:p w:rsidR="00A35A45" w:rsidRDefault="00A35A45" w:rsidP="007632BD">
            <w:pPr>
              <w:rPr>
                <w:rFonts w:ascii="Calibri" w:hAnsi="Calibri"/>
                <w:sz w:val="22"/>
                <w:szCs w:val="22"/>
              </w:rPr>
            </w:pPr>
            <w:r>
              <w:rPr>
                <w:rFonts w:ascii="Calibri" w:hAnsi="Calibri"/>
                <w:sz w:val="22"/>
                <w:szCs w:val="22"/>
              </w:rPr>
              <w:t> </w:t>
            </w:r>
          </w:p>
        </w:tc>
        <w:tc>
          <w:tcPr>
            <w:tcW w:w="3496" w:type="dxa"/>
            <w:tcBorders>
              <w:top w:val="single" w:sz="4" w:space="0" w:color="auto"/>
              <w:left w:val="single" w:sz="4" w:space="0" w:color="auto"/>
              <w:bottom w:val="single" w:sz="4" w:space="0" w:color="auto"/>
              <w:right w:val="nil"/>
            </w:tcBorders>
            <w:noWrap/>
            <w:vAlign w:val="center"/>
          </w:tcPr>
          <w:p w:rsidR="00A35A45" w:rsidRDefault="00A35A45" w:rsidP="007632BD">
            <w:pPr>
              <w:jc w:val="right"/>
              <w:rPr>
                <w:rFonts w:ascii="Arial" w:hAnsi="Arial" w:cs="Arial"/>
                <w:i/>
                <w:iCs/>
                <w:color w:val="000000"/>
                <w:sz w:val="20"/>
                <w:szCs w:val="20"/>
              </w:rPr>
            </w:pPr>
            <w:r>
              <w:rPr>
                <w:rFonts w:ascii="Arial" w:hAnsi="Arial" w:cs="Arial"/>
                <w:i/>
                <w:iCs/>
                <w:color w:val="000000"/>
                <w:sz w:val="20"/>
                <w:szCs w:val="20"/>
              </w:rPr>
              <w:t>Weighted Bed Day Equivalents</w:t>
            </w:r>
          </w:p>
        </w:tc>
        <w:tc>
          <w:tcPr>
            <w:tcW w:w="1428" w:type="dxa"/>
            <w:tcBorders>
              <w:top w:val="single" w:sz="4" w:space="0" w:color="auto"/>
              <w:left w:val="single" w:sz="4" w:space="0" w:color="auto"/>
              <w:bottom w:val="single" w:sz="4" w:space="0" w:color="auto"/>
              <w:right w:val="nil"/>
            </w:tcBorders>
            <w:shd w:val="clear" w:color="auto" w:fill="CCCCFF"/>
            <w:noWrap/>
            <w:vAlign w:val="center"/>
          </w:tcPr>
          <w:p w:rsidR="00A35A45" w:rsidRPr="005058B2" w:rsidRDefault="00A35A45" w:rsidP="007632BD">
            <w:pPr>
              <w:jc w:val="right"/>
              <w:rPr>
                <w:rFonts w:ascii="Arial" w:hAnsi="Arial" w:cs="Arial"/>
                <w:sz w:val="20"/>
                <w:szCs w:val="20"/>
              </w:rPr>
            </w:pPr>
          </w:p>
        </w:tc>
        <w:tc>
          <w:tcPr>
            <w:tcW w:w="1026" w:type="dxa"/>
            <w:tcBorders>
              <w:top w:val="single" w:sz="4" w:space="0" w:color="auto"/>
              <w:left w:val="nil"/>
              <w:bottom w:val="single" w:sz="4" w:space="0" w:color="auto"/>
              <w:right w:val="nil"/>
            </w:tcBorders>
            <w:shd w:val="clear" w:color="auto" w:fill="CCCCFF"/>
            <w:noWrap/>
            <w:vAlign w:val="center"/>
          </w:tcPr>
          <w:p w:rsidR="00A35A45" w:rsidRPr="005058B2" w:rsidRDefault="00A35A45" w:rsidP="007632BD">
            <w:pPr>
              <w:jc w:val="right"/>
              <w:rPr>
                <w:rFonts w:ascii="Arial" w:hAnsi="Arial" w:cs="Arial"/>
                <w:sz w:val="20"/>
                <w:szCs w:val="20"/>
              </w:rPr>
            </w:pPr>
          </w:p>
        </w:tc>
        <w:tc>
          <w:tcPr>
            <w:tcW w:w="1000" w:type="dxa"/>
            <w:tcBorders>
              <w:top w:val="single" w:sz="4" w:space="0" w:color="auto"/>
              <w:left w:val="nil"/>
              <w:bottom w:val="single" w:sz="4" w:space="0" w:color="auto"/>
              <w:right w:val="nil"/>
            </w:tcBorders>
            <w:shd w:val="clear" w:color="auto" w:fill="CCCCFF"/>
            <w:noWrap/>
            <w:vAlign w:val="center"/>
          </w:tcPr>
          <w:p w:rsidR="00A35A45" w:rsidRPr="005058B2" w:rsidRDefault="00A35A45" w:rsidP="007632BD">
            <w:pPr>
              <w:jc w:val="right"/>
              <w:rPr>
                <w:rFonts w:ascii="Arial" w:hAnsi="Arial" w:cs="Arial"/>
                <w:sz w:val="20"/>
                <w:szCs w:val="20"/>
              </w:rPr>
            </w:pPr>
          </w:p>
        </w:tc>
        <w:tc>
          <w:tcPr>
            <w:tcW w:w="1052" w:type="dxa"/>
            <w:tcBorders>
              <w:top w:val="single" w:sz="4" w:space="0" w:color="auto"/>
              <w:left w:val="nil"/>
              <w:bottom w:val="single" w:sz="4" w:space="0" w:color="auto"/>
              <w:right w:val="nil"/>
            </w:tcBorders>
            <w:shd w:val="clear" w:color="auto" w:fill="CCCCFF"/>
            <w:noWrap/>
            <w:vAlign w:val="center"/>
          </w:tcPr>
          <w:p w:rsidR="00A35A45" w:rsidRPr="005058B2" w:rsidRDefault="00A35A45" w:rsidP="007632BD">
            <w:pPr>
              <w:jc w:val="right"/>
              <w:rPr>
                <w:rFonts w:ascii="Arial" w:hAnsi="Arial" w:cs="Arial"/>
                <w:sz w:val="20"/>
                <w:szCs w:val="20"/>
              </w:rPr>
            </w:pPr>
          </w:p>
        </w:tc>
        <w:tc>
          <w:tcPr>
            <w:tcW w:w="1016" w:type="dxa"/>
            <w:tcBorders>
              <w:top w:val="single" w:sz="4" w:space="0" w:color="auto"/>
              <w:left w:val="nil"/>
              <w:bottom w:val="single" w:sz="4" w:space="0" w:color="auto"/>
              <w:right w:val="single" w:sz="4" w:space="0" w:color="auto"/>
            </w:tcBorders>
            <w:shd w:val="clear" w:color="auto" w:fill="CCCCFF"/>
            <w:noWrap/>
            <w:vAlign w:val="center"/>
          </w:tcPr>
          <w:p w:rsidR="00A35A45" w:rsidRPr="005058B2" w:rsidRDefault="003B358E" w:rsidP="007632BD">
            <w:pPr>
              <w:jc w:val="right"/>
              <w:rPr>
                <w:rFonts w:ascii="Arial" w:hAnsi="Arial" w:cs="Arial"/>
                <w:sz w:val="20"/>
                <w:szCs w:val="20"/>
              </w:rPr>
            </w:pPr>
            <w:r w:rsidRPr="00B23D23">
              <w:rPr>
                <w:rFonts w:ascii="Arial" w:hAnsi="Arial" w:cs="Arial"/>
                <w:sz w:val="20"/>
                <w:szCs w:val="20"/>
              </w:rPr>
              <w:t>62,759</w:t>
            </w:r>
          </w:p>
        </w:tc>
        <w:tc>
          <w:tcPr>
            <w:tcW w:w="1176" w:type="dxa"/>
            <w:tcBorders>
              <w:top w:val="nil"/>
              <w:left w:val="nil"/>
              <w:bottom w:val="nil"/>
              <w:right w:val="nil"/>
            </w:tcBorders>
            <w:shd w:val="clear" w:color="auto" w:fill="FFFFFF"/>
            <w:noWrap/>
            <w:vAlign w:val="center"/>
          </w:tcPr>
          <w:p w:rsidR="00A35A45" w:rsidRDefault="00A35A45"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A35A45" w:rsidRDefault="00A35A45"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A35A45" w:rsidRDefault="00A35A45"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A35A45" w:rsidRDefault="00A35A45"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A35A45" w:rsidRDefault="00A35A45"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A35A45" w:rsidRDefault="00A35A45"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A35A45" w:rsidRDefault="00A35A45" w:rsidP="007632BD">
            <w:pPr>
              <w:rPr>
                <w:rFonts w:ascii="Calibri" w:hAnsi="Calibri"/>
                <w:sz w:val="22"/>
                <w:szCs w:val="22"/>
              </w:rPr>
            </w:pPr>
            <w:r>
              <w:rPr>
                <w:rFonts w:ascii="Calibri" w:hAnsi="Calibri"/>
                <w:sz w:val="22"/>
                <w:szCs w:val="22"/>
              </w:rPr>
              <w:t> </w:t>
            </w:r>
          </w:p>
        </w:tc>
      </w:tr>
      <w:tr w:rsidR="00F36E4E" w:rsidTr="007632BD">
        <w:trPr>
          <w:trHeight w:val="315"/>
        </w:trPr>
        <w:tc>
          <w:tcPr>
            <w:tcW w:w="31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3496" w:type="dxa"/>
            <w:tcBorders>
              <w:top w:val="nil"/>
              <w:left w:val="nil"/>
              <w:bottom w:val="nil"/>
              <w:right w:val="nil"/>
            </w:tcBorders>
            <w:shd w:val="clear" w:color="auto" w:fill="FFFFFF"/>
            <w:noWrap/>
            <w:vAlign w:val="center"/>
          </w:tcPr>
          <w:p w:rsidR="00F36E4E" w:rsidRDefault="00F36E4E" w:rsidP="007632BD">
            <w:pPr>
              <w:rPr>
                <w:rFonts w:ascii="Calibri" w:hAnsi="Calibri"/>
                <w:sz w:val="16"/>
                <w:szCs w:val="16"/>
              </w:rPr>
            </w:pPr>
            <w:r>
              <w:rPr>
                <w:rFonts w:ascii="Calibri" w:hAnsi="Calibri"/>
                <w:sz w:val="22"/>
                <w:szCs w:val="22"/>
              </w:rPr>
              <w:t> </w:t>
            </w:r>
          </w:p>
        </w:tc>
        <w:tc>
          <w:tcPr>
            <w:tcW w:w="1428"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102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1000"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1052"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101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1176"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4064"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c>
          <w:tcPr>
            <w:tcW w:w="271" w:type="dxa"/>
            <w:tcBorders>
              <w:top w:val="nil"/>
              <w:left w:val="nil"/>
              <w:bottom w:val="nil"/>
              <w:right w:val="nil"/>
            </w:tcBorders>
            <w:shd w:val="clear" w:color="auto" w:fill="FFFFFF"/>
            <w:noWrap/>
            <w:vAlign w:val="center"/>
          </w:tcPr>
          <w:p w:rsidR="00F36E4E" w:rsidRDefault="00F36E4E" w:rsidP="007632BD">
            <w:pPr>
              <w:rPr>
                <w:rFonts w:ascii="Calibri" w:hAnsi="Calibri"/>
                <w:sz w:val="22"/>
                <w:szCs w:val="22"/>
              </w:rPr>
            </w:pPr>
            <w:r>
              <w:rPr>
                <w:rFonts w:ascii="Calibri" w:hAnsi="Calibri"/>
                <w:sz w:val="22"/>
                <w:szCs w:val="22"/>
              </w:rPr>
              <w:t> </w:t>
            </w:r>
          </w:p>
        </w:tc>
      </w:tr>
    </w:tbl>
    <w:p w:rsidR="00F36E4E" w:rsidRDefault="00F36E4E" w:rsidP="00A35A45">
      <w:pPr>
        <w:ind w:left="993" w:right="565" w:hanging="993"/>
        <w:rPr>
          <w:rFonts w:ascii="Arial" w:hAnsi="Arial" w:cs="Arial"/>
        </w:rPr>
      </w:pPr>
      <w:r>
        <w:rPr>
          <w:rFonts w:ascii="Arial" w:hAnsi="Arial" w:cs="Arial"/>
          <w:b/>
        </w:rPr>
        <w:t>Table 2:</w:t>
      </w:r>
      <w:r w:rsidR="00A35A45">
        <w:rPr>
          <w:rFonts w:ascii="Arial" w:hAnsi="Arial" w:cs="Arial"/>
          <w:b/>
        </w:rPr>
        <w:tab/>
      </w:r>
      <w:r w:rsidR="00D41912">
        <w:rPr>
          <w:rFonts w:ascii="Arial" w:hAnsi="Arial" w:cs="Arial"/>
          <w:b/>
        </w:rPr>
        <w:t>Growth percentages for FY 2012/13</w:t>
      </w:r>
      <w:r>
        <w:rPr>
          <w:rFonts w:ascii="Arial" w:hAnsi="Arial" w:cs="Arial"/>
          <w:b/>
        </w:rPr>
        <w:t xml:space="preserve"> </w:t>
      </w:r>
      <w:r>
        <w:rPr>
          <w:rFonts w:ascii="Arial" w:hAnsi="Arial" w:cs="Arial"/>
          <w:sz w:val="20"/>
          <w:szCs w:val="20"/>
        </w:rPr>
        <w:t>(In this table all four care types are totalled to one separations figure and growth is measured as a total for the State).</w:t>
      </w:r>
    </w:p>
    <w:tbl>
      <w:tblPr>
        <w:tblW w:w="8760" w:type="dxa"/>
        <w:tblInd w:w="108" w:type="dxa"/>
        <w:tblLook w:val="0000" w:firstRow="0" w:lastRow="0" w:firstColumn="0" w:lastColumn="0" w:noHBand="0" w:noVBand="0"/>
      </w:tblPr>
      <w:tblGrid>
        <w:gridCol w:w="416"/>
        <w:gridCol w:w="3376"/>
        <w:gridCol w:w="1656"/>
        <w:gridCol w:w="1656"/>
        <w:gridCol w:w="1656"/>
      </w:tblGrid>
      <w:tr w:rsidR="00F36E4E" w:rsidTr="007632BD">
        <w:trPr>
          <w:trHeight w:val="300"/>
        </w:trPr>
        <w:tc>
          <w:tcPr>
            <w:tcW w:w="416" w:type="dxa"/>
            <w:tcBorders>
              <w:top w:val="nil"/>
              <w:left w:val="nil"/>
              <w:bottom w:val="nil"/>
              <w:right w:val="nil"/>
            </w:tcBorders>
            <w:shd w:val="clear" w:color="auto" w:fill="FFFFFF"/>
            <w:noWrap/>
            <w:vAlign w:val="bottom"/>
          </w:tcPr>
          <w:p w:rsidR="00F36E4E" w:rsidRDefault="00F36E4E" w:rsidP="007632BD">
            <w:pPr>
              <w:rPr>
                <w:rFonts w:ascii="Calibri" w:hAnsi="Calibri"/>
                <w:sz w:val="22"/>
                <w:szCs w:val="22"/>
              </w:rPr>
            </w:pPr>
            <w:r>
              <w:rPr>
                <w:rFonts w:ascii="Calibri" w:hAnsi="Calibri"/>
                <w:sz w:val="22"/>
                <w:szCs w:val="22"/>
              </w:rPr>
              <w:t> </w:t>
            </w:r>
          </w:p>
        </w:tc>
        <w:tc>
          <w:tcPr>
            <w:tcW w:w="3376" w:type="dxa"/>
            <w:tcBorders>
              <w:top w:val="nil"/>
              <w:left w:val="nil"/>
              <w:bottom w:val="nil"/>
              <w:right w:val="nil"/>
            </w:tcBorders>
            <w:shd w:val="clear" w:color="auto" w:fill="FFFFFF"/>
            <w:noWrap/>
            <w:vAlign w:val="bottom"/>
          </w:tcPr>
          <w:p w:rsidR="00F36E4E" w:rsidRDefault="00F36E4E" w:rsidP="007632BD">
            <w:pPr>
              <w:rPr>
                <w:rFonts w:ascii="Calibri" w:hAnsi="Calibri"/>
                <w:sz w:val="22"/>
                <w:szCs w:val="22"/>
              </w:rPr>
            </w:pPr>
            <w:r>
              <w:rPr>
                <w:rFonts w:ascii="Calibri" w:hAnsi="Calibri"/>
                <w:sz w:val="22"/>
                <w:szCs w:val="22"/>
              </w:rPr>
              <w:t xml:space="preserve">                               </w:t>
            </w:r>
          </w:p>
        </w:tc>
        <w:tc>
          <w:tcPr>
            <w:tcW w:w="1656" w:type="dxa"/>
            <w:tcBorders>
              <w:top w:val="nil"/>
              <w:left w:val="nil"/>
              <w:bottom w:val="nil"/>
              <w:right w:val="nil"/>
            </w:tcBorders>
            <w:shd w:val="clear" w:color="auto" w:fill="FFFFFF"/>
            <w:noWrap/>
            <w:vAlign w:val="bottom"/>
          </w:tcPr>
          <w:p w:rsidR="00F36E4E" w:rsidRDefault="00F36E4E" w:rsidP="007632BD">
            <w:pPr>
              <w:rPr>
                <w:rFonts w:ascii="Calibri" w:hAnsi="Calibri"/>
                <w:sz w:val="22"/>
                <w:szCs w:val="22"/>
              </w:rPr>
            </w:pPr>
            <w:r>
              <w:rPr>
                <w:rFonts w:ascii="Calibri" w:hAnsi="Calibri"/>
                <w:sz w:val="22"/>
                <w:szCs w:val="22"/>
              </w:rPr>
              <w:t> </w:t>
            </w:r>
          </w:p>
        </w:tc>
        <w:tc>
          <w:tcPr>
            <w:tcW w:w="1656" w:type="dxa"/>
            <w:tcBorders>
              <w:top w:val="nil"/>
              <w:left w:val="nil"/>
              <w:bottom w:val="nil"/>
              <w:right w:val="nil"/>
            </w:tcBorders>
            <w:shd w:val="clear" w:color="auto" w:fill="FFFFFF"/>
            <w:noWrap/>
            <w:vAlign w:val="bottom"/>
          </w:tcPr>
          <w:p w:rsidR="00F36E4E" w:rsidRDefault="00F36E4E" w:rsidP="007632BD">
            <w:pPr>
              <w:rPr>
                <w:rFonts w:ascii="Calibri" w:hAnsi="Calibri"/>
                <w:sz w:val="22"/>
                <w:szCs w:val="22"/>
              </w:rPr>
            </w:pPr>
            <w:r>
              <w:rPr>
                <w:rFonts w:ascii="Calibri" w:hAnsi="Calibri"/>
                <w:sz w:val="22"/>
                <w:szCs w:val="22"/>
              </w:rPr>
              <w:t> </w:t>
            </w:r>
          </w:p>
        </w:tc>
        <w:tc>
          <w:tcPr>
            <w:tcW w:w="1656" w:type="dxa"/>
            <w:tcBorders>
              <w:top w:val="nil"/>
              <w:left w:val="nil"/>
              <w:bottom w:val="nil"/>
              <w:right w:val="nil"/>
            </w:tcBorders>
            <w:shd w:val="clear" w:color="auto" w:fill="FFFFFF"/>
            <w:noWrap/>
            <w:vAlign w:val="bottom"/>
          </w:tcPr>
          <w:p w:rsidR="00F36E4E" w:rsidRDefault="00F36E4E" w:rsidP="007632BD">
            <w:pPr>
              <w:rPr>
                <w:rFonts w:ascii="Calibri" w:hAnsi="Calibri"/>
                <w:sz w:val="22"/>
                <w:szCs w:val="22"/>
              </w:rPr>
            </w:pPr>
            <w:r>
              <w:rPr>
                <w:rFonts w:ascii="Calibri" w:hAnsi="Calibri"/>
                <w:sz w:val="22"/>
                <w:szCs w:val="22"/>
              </w:rPr>
              <w:t> </w:t>
            </w:r>
          </w:p>
        </w:tc>
      </w:tr>
      <w:tr w:rsidR="00F36E4E" w:rsidTr="007632BD">
        <w:trPr>
          <w:trHeight w:val="300"/>
        </w:trPr>
        <w:tc>
          <w:tcPr>
            <w:tcW w:w="416" w:type="dxa"/>
            <w:tcBorders>
              <w:top w:val="nil"/>
              <w:left w:val="nil"/>
              <w:bottom w:val="nil"/>
              <w:right w:val="nil"/>
            </w:tcBorders>
            <w:shd w:val="clear" w:color="auto" w:fill="FFFFFF"/>
            <w:noWrap/>
            <w:vAlign w:val="bottom"/>
          </w:tcPr>
          <w:p w:rsidR="00F36E4E" w:rsidRDefault="00F36E4E" w:rsidP="007632BD">
            <w:pPr>
              <w:rPr>
                <w:rFonts w:ascii="Calibri" w:hAnsi="Calibri"/>
                <w:sz w:val="22"/>
                <w:szCs w:val="22"/>
              </w:rPr>
            </w:pPr>
            <w:r>
              <w:rPr>
                <w:rFonts w:ascii="Calibri" w:hAnsi="Calibri"/>
                <w:sz w:val="22"/>
                <w:szCs w:val="22"/>
              </w:rPr>
              <w:t> </w:t>
            </w:r>
          </w:p>
        </w:tc>
        <w:tc>
          <w:tcPr>
            <w:tcW w:w="3376" w:type="dxa"/>
            <w:tcBorders>
              <w:top w:val="nil"/>
              <w:left w:val="nil"/>
              <w:bottom w:val="nil"/>
              <w:right w:val="nil"/>
            </w:tcBorders>
            <w:shd w:val="clear" w:color="auto" w:fill="FFFFFF"/>
            <w:noWrap/>
            <w:vAlign w:val="bottom"/>
          </w:tcPr>
          <w:p w:rsidR="00F36E4E" w:rsidRDefault="00F36E4E" w:rsidP="007632BD">
            <w:pPr>
              <w:rPr>
                <w:rFonts w:ascii="Arial" w:hAnsi="Arial" w:cs="Arial"/>
                <w:sz w:val="20"/>
                <w:szCs w:val="20"/>
              </w:rPr>
            </w:pPr>
            <w:r>
              <w:rPr>
                <w:rFonts w:ascii="Arial" w:hAnsi="Arial" w:cs="Arial"/>
                <w:sz w:val="20"/>
                <w:szCs w:val="20"/>
              </w:rPr>
              <w:t> </w:t>
            </w:r>
          </w:p>
        </w:tc>
        <w:tc>
          <w:tcPr>
            <w:tcW w:w="4968" w:type="dxa"/>
            <w:gridSpan w:val="3"/>
            <w:tcBorders>
              <w:top w:val="nil"/>
              <w:left w:val="nil"/>
              <w:bottom w:val="nil"/>
              <w:right w:val="nil"/>
            </w:tcBorders>
            <w:shd w:val="clear" w:color="auto" w:fill="FFFFFF"/>
            <w:noWrap/>
            <w:vAlign w:val="bottom"/>
          </w:tcPr>
          <w:p w:rsidR="00F36E4E" w:rsidRDefault="00F36E4E" w:rsidP="00A35A45">
            <w:pPr>
              <w:spacing w:after="120"/>
              <w:jc w:val="center"/>
              <w:rPr>
                <w:rFonts w:ascii="Arial" w:hAnsi="Arial" w:cs="Arial"/>
                <w:b/>
                <w:bCs/>
                <w:sz w:val="20"/>
                <w:szCs w:val="20"/>
              </w:rPr>
            </w:pPr>
            <w:r>
              <w:rPr>
                <w:rFonts w:ascii="Arial" w:hAnsi="Arial" w:cs="Arial"/>
                <w:b/>
                <w:bCs/>
                <w:sz w:val="20"/>
                <w:szCs w:val="20"/>
              </w:rPr>
              <w:t>Table 2: Growth percentages (201</w:t>
            </w:r>
            <w:r w:rsidR="00A35A45">
              <w:rPr>
                <w:rFonts w:ascii="Arial" w:hAnsi="Arial" w:cs="Arial"/>
                <w:b/>
                <w:bCs/>
                <w:sz w:val="20"/>
                <w:szCs w:val="20"/>
              </w:rPr>
              <w:t>2</w:t>
            </w:r>
            <w:r>
              <w:rPr>
                <w:rFonts w:ascii="Arial" w:hAnsi="Arial" w:cs="Arial"/>
                <w:bCs/>
                <w:sz w:val="20"/>
                <w:szCs w:val="20"/>
              </w:rPr>
              <w:t>/</w:t>
            </w:r>
            <w:r>
              <w:rPr>
                <w:rFonts w:ascii="Arial" w:hAnsi="Arial" w:cs="Arial"/>
                <w:b/>
                <w:bCs/>
                <w:sz w:val="20"/>
                <w:szCs w:val="20"/>
              </w:rPr>
              <w:t>1</w:t>
            </w:r>
            <w:r w:rsidR="00A35A45">
              <w:rPr>
                <w:rFonts w:ascii="Arial" w:hAnsi="Arial" w:cs="Arial"/>
                <w:b/>
                <w:bCs/>
                <w:sz w:val="20"/>
                <w:szCs w:val="20"/>
              </w:rPr>
              <w:t>3</w:t>
            </w:r>
            <w:r>
              <w:rPr>
                <w:rFonts w:ascii="Arial" w:hAnsi="Arial" w:cs="Arial"/>
                <w:b/>
                <w:bCs/>
                <w:sz w:val="20"/>
                <w:szCs w:val="20"/>
              </w:rPr>
              <w:t>)</w:t>
            </w:r>
          </w:p>
        </w:tc>
      </w:tr>
      <w:tr w:rsidR="00F36E4E" w:rsidTr="007632BD">
        <w:trPr>
          <w:cantSplit/>
          <w:trHeight w:val="510"/>
        </w:trPr>
        <w:tc>
          <w:tcPr>
            <w:tcW w:w="416" w:type="dxa"/>
            <w:tcBorders>
              <w:top w:val="nil"/>
              <w:left w:val="nil"/>
              <w:bottom w:val="nil"/>
              <w:right w:val="nil"/>
            </w:tcBorders>
            <w:shd w:val="clear" w:color="auto" w:fill="FFFFFF"/>
            <w:noWrap/>
            <w:vAlign w:val="bottom"/>
          </w:tcPr>
          <w:p w:rsidR="00F36E4E" w:rsidRDefault="00F36E4E" w:rsidP="007632BD">
            <w:pPr>
              <w:rPr>
                <w:rFonts w:ascii="Calibri" w:hAnsi="Calibri"/>
                <w:sz w:val="22"/>
                <w:szCs w:val="22"/>
              </w:rPr>
            </w:pPr>
            <w:r>
              <w:rPr>
                <w:rFonts w:ascii="Calibri" w:hAnsi="Calibri"/>
                <w:sz w:val="22"/>
                <w:szCs w:val="22"/>
              </w:rPr>
              <w:t> </w:t>
            </w:r>
          </w:p>
        </w:tc>
        <w:tc>
          <w:tcPr>
            <w:tcW w:w="3376" w:type="dxa"/>
            <w:vMerge w:val="restart"/>
            <w:tcBorders>
              <w:top w:val="nil"/>
              <w:left w:val="nil"/>
              <w:bottom w:val="nil"/>
              <w:right w:val="nil"/>
            </w:tcBorders>
            <w:shd w:val="clear" w:color="auto" w:fill="FFFFFF"/>
            <w:noWrap/>
            <w:vAlign w:val="bottom"/>
          </w:tcPr>
          <w:p w:rsidR="00F36E4E" w:rsidRPr="00446208" w:rsidRDefault="00F36E4E" w:rsidP="00A35A45">
            <w:pPr>
              <w:rPr>
                <w:rFonts w:ascii="Arial" w:hAnsi="Arial" w:cs="Arial"/>
                <w:b/>
                <w:bCs/>
                <w:sz w:val="20"/>
                <w:szCs w:val="20"/>
              </w:rPr>
            </w:pPr>
            <w:r w:rsidRPr="00446208">
              <w:rPr>
                <w:rFonts w:ascii="Arial" w:hAnsi="Arial" w:cs="Arial"/>
                <w:b/>
                <w:bCs/>
                <w:sz w:val="20"/>
                <w:szCs w:val="20"/>
              </w:rPr>
              <w:t>Growth percentages (20</w:t>
            </w:r>
            <w:r w:rsidR="00A35A45" w:rsidRPr="00446208">
              <w:rPr>
                <w:rFonts w:ascii="Arial" w:hAnsi="Arial" w:cs="Arial"/>
                <w:b/>
                <w:bCs/>
                <w:sz w:val="20"/>
                <w:szCs w:val="20"/>
              </w:rPr>
              <w:t>11</w:t>
            </w:r>
            <w:r w:rsidRPr="00446208">
              <w:rPr>
                <w:rFonts w:ascii="Arial" w:hAnsi="Arial" w:cs="Arial"/>
                <w:b/>
                <w:bCs/>
                <w:sz w:val="20"/>
                <w:szCs w:val="20"/>
              </w:rPr>
              <w:t>-1</w:t>
            </w:r>
            <w:r w:rsidR="00A35A45" w:rsidRPr="00446208">
              <w:rPr>
                <w:rFonts w:ascii="Arial" w:hAnsi="Arial" w:cs="Arial"/>
                <w:b/>
                <w:bCs/>
                <w:sz w:val="20"/>
                <w:szCs w:val="20"/>
              </w:rPr>
              <w:t>2</w:t>
            </w:r>
            <w:r w:rsidRPr="00446208">
              <w:rPr>
                <w:rFonts w:ascii="Arial" w:hAnsi="Arial" w:cs="Arial"/>
                <w:b/>
                <w:bCs/>
                <w:sz w:val="20"/>
                <w:szCs w:val="20"/>
              </w:rPr>
              <w:t>)</w:t>
            </w:r>
          </w:p>
        </w:tc>
        <w:tc>
          <w:tcPr>
            <w:tcW w:w="1656" w:type="dxa"/>
            <w:vMerge w:val="restart"/>
            <w:tcBorders>
              <w:top w:val="single" w:sz="4" w:space="0" w:color="auto"/>
              <w:left w:val="single" w:sz="4" w:space="0" w:color="auto"/>
              <w:bottom w:val="nil"/>
              <w:right w:val="single" w:sz="4" w:space="0" w:color="auto"/>
            </w:tcBorders>
            <w:shd w:val="clear" w:color="auto" w:fill="FFFFFF"/>
            <w:vAlign w:val="center"/>
          </w:tcPr>
          <w:p w:rsidR="00F36E4E" w:rsidRDefault="00F36E4E" w:rsidP="007632BD">
            <w:pPr>
              <w:jc w:val="center"/>
              <w:rPr>
                <w:rFonts w:ascii="Arial" w:hAnsi="Arial" w:cs="Arial"/>
                <w:sz w:val="20"/>
                <w:szCs w:val="20"/>
              </w:rPr>
            </w:pPr>
            <w:r>
              <w:rPr>
                <w:rFonts w:ascii="Arial" w:hAnsi="Arial" w:cs="Arial"/>
                <w:sz w:val="20"/>
                <w:szCs w:val="20"/>
              </w:rPr>
              <w:t>Separations  (BDEs)</w:t>
            </w:r>
          </w:p>
        </w:tc>
        <w:tc>
          <w:tcPr>
            <w:tcW w:w="1656" w:type="dxa"/>
            <w:tcBorders>
              <w:top w:val="single" w:sz="4" w:space="0" w:color="auto"/>
              <w:left w:val="nil"/>
              <w:bottom w:val="nil"/>
              <w:right w:val="single" w:sz="4" w:space="0" w:color="auto"/>
            </w:tcBorders>
            <w:shd w:val="clear" w:color="auto" w:fill="FFFFFF"/>
            <w:vAlign w:val="center"/>
          </w:tcPr>
          <w:p w:rsidR="00F36E4E" w:rsidRDefault="00F36E4E" w:rsidP="007632BD">
            <w:pPr>
              <w:jc w:val="center"/>
              <w:rPr>
                <w:rFonts w:ascii="Arial" w:hAnsi="Arial" w:cs="Arial"/>
                <w:sz w:val="20"/>
                <w:szCs w:val="20"/>
              </w:rPr>
            </w:pPr>
            <w:r>
              <w:rPr>
                <w:rFonts w:ascii="Arial" w:hAnsi="Arial" w:cs="Arial"/>
                <w:sz w:val="20"/>
                <w:szCs w:val="20"/>
              </w:rPr>
              <w:t>Occasions of Service (WBDEs)</w:t>
            </w:r>
          </w:p>
        </w:tc>
        <w:tc>
          <w:tcPr>
            <w:tcW w:w="1656" w:type="dxa"/>
            <w:vMerge w:val="restart"/>
            <w:tcBorders>
              <w:top w:val="single" w:sz="4" w:space="0" w:color="auto"/>
              <w:left w:val="nil"/>
              <w:bottom w:val="nil"/>
              <w:right w:val="single" w:sz="4" w:space="0" w:color="auto"/>
            </w:tcBorders>
            <w:shd w:val="clear" w:color="auto" w:fill="FFFFFF"/>
            <w:vAlign w:val="center"/>
          </w:tcPr>
          <w:p w:rsidR="00F36E4E" w:rsidRDefault="00F36E4E" w:rsidP="007632BD">
            <w:pPr>
              <w:jc w:val="center"/>
              <w:rPr>
                <w:rFonts w:ascii="Arial" w:hAnsi="Arial" w:cs="Arial"/>
                <w:sz w:val="20"/>
                <w:szCs w:val="20"/>
              </w:rPr>
            </w:pPr>
            <w:r>
              <w:rPr>
                <w:rFonts w:ascii="Arial" w:hAnsi="Arial" w:cs="Arial"/>
                <w:sz w:val="20"/>
                <w:szCs w:val="20"/>
              </w:rPr>
              <w:t>Total BDEs</w:t>
            </w:r>
          </w:p>
        </w:tc>
      </w:tr>
      <w:tr w:rsidR="00F36E4E" w:rsidTr="007632BD">
        <w:trPr>
          <w:cantSplit/>
          <w:trHeight w:val="300"/>
        </w:trPr>
        <w:tc>
          <w:tcPr>
            <w:tcW w:w="416" w:type="dxa"/>
            <w:tcBorders>
              <w:top w:val="nil"/>
              <w:left w:val="nil"/>
              <w:bottom w:val="nil"/>
              <w:right w:val="nil"/>
            </w:tcBorders>
            <w:shd w:val="clear" w:color="auto" w:fill="FFFFFF"/>
            <w:noWrap/>
            <w:vAlign w:val="bottom"/>
          </w:tcPr>
          <w:p w:rsidR="00F36E4E" w:rsidRDefault="00F36E4E" w:rsidP="007632BD">
            <w:pPr>
              <w:rPr>
                <w:rFonts w:ascii="Calibri" w:hAnsi="Calibri"/>
                <w:sz w:val="22"/>
                <w:szCs w:val="22"/>
              </w:rPr>
            </w:pPr>
            <w:r>
              <w:rPr>
                <w:rFonts w:ascii="Calibri" w:hAnsi="Calibri"/>
                <w:sz w:val="22"/>
                <w:szCs w:val="22"/>
              </w:rPr>
              <w:t> </w:t>
            </w:r>
          </w:p>
        </w:tc>
        <w:tc>
          <w:tcPr>
            <w:tcW w:w="3376" w:type="dxa"/>
            <w:vMerge/>
            <w:tcBorders>
              <w:top w:val="nil"/>
              <w:left w:val="nil"/>
              <w:bottom w:val="nil"/>
              <w:right w:val="nil"/>
            </w:tcBorders>
            <w:vAlign w:val="center"/>
          </w:tcPr>
          <w:p w:rsidR="00F36E4E" w:rsidRPr="00446208" w:rsidRDefault="00F36E4E" w:rsidP="007632BD">
            <w:pPr>
              <w:rPr>
                <w:rFonts w:ascii="Arial" w:hAnsi="Arial" w:cs="Arial"/>
                <w:b/>
                <w:bCs/>
                <w:sz w:val="20"/>
                <w:szCs w:val="20"/>
              </w:rPr>
            </w:pPr>
          </w:p>
        </w:tc>
        <w:tc>
          <w:tcPr>
            <w:tcW w:w="1656" w:type="dxa"/>
            <w:vMerge/>
            <w:tcBorders>
              <w:top w:val="single" w:sz="4" w:space="0" w:color="auto"/>
              <w:left w:val="single" w:sz="4" w:space="0" w:color="auto"/>
              <w:bottom w:val="nil"/>
              <w:right w:val="single" w:sz="4" w:space="0" w:color="auto"/>
            </w:tcBorders>
            <w:vAlign w:val="center"/>
          </w:tcPr>
          <w:p w:rsidR="00F36E4E" w:rsidRDefault="00F36E4E" w:rsidP="007632BD">
            <w:pPr>
              <w:rPr>
                <w:rFonts w:ascii="Arial" w:hAnsi="Arial" w:cs="Arial"/>
                <w:sz w:val="20"/>
                <w:szCs w:val="20"/>
              </w:rPr>
            </w:pPr>
          </w:p>
        </w:tc>
        <w:tc>
          <w:tcPr>
            <w:tcW w:w="1656" w:type="dxa"/>
            <w:tcBorders>
              <w:top w:val="nil"/>
              <w:left w:val="nil"/>
              <w:bottom w:val="nil"/>
              <w:right w:val="single" w:sz="4" w:space="0" w:color="auto"/>
            </w:tcBorders>
            <w:shd w:val="clear" w:color="auto" w:fill="FFFFFF"/>
            <w:vAlign w:val="center"/>
          </w:tcPr>
          <w:p w:rsidR="00F36E4E" w:rsidRDefault="00F36E4E" w:rsidP="007632BD">
            <w:pPr>
              <w:jc w:val="center"/>
              <w:rPr>
                <w:rFonts w:ascii="Arial" w:hAnsi="Arial" w:cs="Arial"/>
                <w:sz w:val="20"/>
                <w:szCs w:val="20"/>
              </w:rPr>
            </w:pPr>
            <w:r>
              <w:rPr>
                <w:rFonts w:ascii="Arial" w:hAnsi="Arial" w:cs="Arial"/>
                <w:sz w:val="20"/>
                <w:szCs w:val="20"/>
              </w:rPr>
              <w:t>Ratio 2:1</w:t>
            </w:r>
          </w:p>
        </w:tc>
        <w:tc>
          <w:tcPr>
            <w:tcW w:w="1656" w:type="dxa"/>
            <w:vMerge/>
            <w:tcBorders>
              <w:top w:val="single" w:sz="4" w:space="0" w:color="auto"/>
              <w:left w:val="nil"/>
              <w:bottom w:val="nil"/>
              <w:right w:val="single" w:sz="4" w:space="0" w:color="auto"/>
            </w:tcBorders>
            <w:vAlign w:val="center"/>
          </w:tcPr>
          <w:p w:rsidR="00F36E4E" w:rsidRDefault="00F36E4E" w:rsidP="007632BD">
            <w:pPr>
              <w:rPr>
                <w:rFonts w:ascii="Arial" w:hAnsi="Arial" w:cs="Arial"/>
                <w:sz w:val="20"/>
                <w:szCs w:val="20"/>
              </w:rPr>
            </w:pPr>
          </w:p>
        </w:tc>
      </w:tr>
      <w:tr w:rsidR="003B358E" w:rsidTr="007632BD">
        <w:trPr>
          <w:trHeight w:val="300"/>
        </w:trPr>
        <w:tc>
          <w:tcPr>
            <w:tcW w:w="416" w:type="dxa"/>
            <w:tcBorders>
              <w:top w:val="nil"/>
              <w:left w:val="nil"/>
              <w:bottom w:val="nil"/>
              <w:right w:val="nil"/>
            </w:tcBorders>
            <w:shd w:val="clear" w:color="auto" w:fill="FFFFFF"/>
            <w:noWrap/>
            <w:vAlign w:val="bottom"/>
          </w:tcPr>
          <w:p w:rsidR="003B358E" w:rsidRDefault="003B358E" w:rsidP="007632BD">
            <w:pPr>
              <w:rPr>
                <w:rFonts w:ascii="Calibri" w:hAnsi="Calibri"/>
                <w:sz w:val="22"/>
                <w:szCs w:val="22"/>
              </w:rPr>
            </w:pPr>
            <w:r>
              <w:rPr>
                <w:rFonts w:ascii="Calibri" w:hAnsi="Calibri"/>
                <w:sz w:val="22"/>
                <w:szCs w:val="22"/>
              </w:rPr>
              <w:t> </w:t>
            </w:r>
          </w:p>
        </w:tc>
        <w:tc>
          <w:tcPr>
            <w:tcW w:w="3376" w:type="dxa"/>
            <w:tcBorders>
              <w:top w:val="single" w:sz="4" w:space="0" w:color="auto"/>
              <w:left w:val="single" w:sz="4" w:space="0" w:color="auto"/>
              <w:bottom w:val="single" w:sz="4" w:space="0" w:color="808080"/>
              <w:right w:val="nil"/>
            </w:tcBorders>
            <w:shd w:val="clear" w:color="auto" w:fill="FFFFFF"/>
            <w:noWrap/>
            <w:vAlign w:val="bottom"/>
          </w:tcPr>
          <w:p w:rsidR="003B358E" w:rsidRPr="00446208" w:rsidRDefault="003B358E" w:rsidP="007632BD">
            <w:pPr>
              <w:jc w:val="right"/>
              <w:rPr>
                <w:rFonts w:ascii="Arial" w:hAnsi="Arial" w:cs="Arial"/>
                <w:sz w:val="20"/>
                <w:szCs w:val="20"/>
              </w:rPr>
            </w:pPr>
            <w:r w:rsidRPr="00446208">
              <w:rPr>
                <w:rFonts w:ascii="Arial" w:hAnsi="Arial" w:cs="Arial"/>
                <w:sz w:val="20"/>
                <w:szCs w:val="20"/>
              </w:rPr>
              <w:t>Baseline 2007-08</w:t>
            </w:r>
          </w:p>
        </w:tc>
        <w:tc>
          <w:tcPr>
            <w:tcW w:w="1656" w:type="dxa"/>
            <w:tcBorders>
              <w:top w:val="single" w:sz="4" w:space="0" w:color="auto"/>
              <w:left w:val="single" w:sz="4" w:space="0" w:color="auto"/>
              <w:bottom w:val="single" w:sz="4" w:space="0" w:color="808080"/>
              <w:right w:val="single" w:sz="4" w:space="0" w:color="auto"/>
            </w:tcBorders>
            <w:shd w:val="clear" w:color="auto" w:fill="FFFFFF"/>
            <w:noWrap/>
            <w:vAlign w:val="center"/>
          </w:tcPr>
          <w:p w:rsidR="003B358E" w:rsidRPr="001B724D" w:rsidRDefault="003B358E" w:rsidP="003A1A07">
            <w:pPr>
              <w:jc w:val="right"/>
              <w:rPr>
                <w:rFonts w:ascii="Arial" w:hAnsi="Arial" w:cs="Arial"/>
                <w:sz w:val="20"/>
                <w:szCs w:val="20"/>
              </w:rPr>
            </w:pPr>
            <w:r w:rsidRPr="001B724D">
              <w:rPr>
                <w:rFonts w:ascii="Arial" w:hAnsi="Arial" w:cs="Arial"/>
                <w:sz w:val="20"/>
                <w:szCs w:val="20"/>
              </w:rPr>
              <w:t xml:space="preserve">174,826 </w:t>
            </w:r>
          </w:p>
        </w:tc>
        <w:tc>
          <w:tcPr>
            <w:tcW w:w="1656" w:type="dxa"/>
            <w:tcBorders>
              <w:top w:val="single" w:sz="4" w:space="0" w:color="auto"/>
              <w:left w:val="nil"/>
              <w:bottom w:val="single" w:sz="4" w:space="0" w:color="808080"/>
              <w:right w:val="single" w:sz="4" w:space="0" w:color="auto"/>
            </w:tcBorders>
            <w:shd w:val="clear" w:color="auto" w:fill="FFFFFF"/>
            <w:noWrap/>
            <w:vAlign w:val="center"/>
          </w:tcPr>
          <w:p w:rsidR="003B358E" w:rsidRPr="001B724D" w:rsidRDefault="003B358E" w:rsidP="003A1A07">
            <w:pPr>
              <w:jc w:val="right"/>
              <w:rPr>
                <w:rFonts w:ascii="Arial" w:hAnsi="Arial" w:cs="Arial"/>
                <w:sz w:val="20"/>
                <w:szCs w:val="20"/>
              </w:rPr>
            </w:pPr>
            <w:r w:rsidRPr="001B724D">
              <w:rPr>
                <w:rFonts w:ascii="Arial" w:hAnsi="Arial" w:cs="Arial"/>
                <w:sz w:val="20"/>
                <w:szCs w:val="20"/>
              </w:rPr>
              <w:t xml:space="preserve">22,757 </w:t>
            </w:r>
          </w:p>
        </w:tc>
        <w:tc>
          <w:tcPr>
            <w:tcW w:w="1656" w:type="dxa"/>
            <w:tcBorders>
              <w:top w:val="single" w:sz="4" w:space="0" w:color="auto"/>
              <w:left w:val="nil"/>
              <w:bottom w:val="single" w:sz="4" w:space="0" w:color="808080"/>
              <w:right w:val="single" w:sz="4" w:space="0" w:color="auto"/>
            </w:tcBorders>
            <w:shd w:val="clear" w:color="auto" w:fill="FFFFFF"/>
            <w:noWrap/>
            <w:vAlign w:val="center"/>
          </w:tcPr>
          <w:p w:rsidR="003B358E" w:rsidRPr="001B724D" w:rsidRDefault="003B358E" w:rsidP="003A1A07">
            <w:pPr>
              <w:jc w:val="right"/>
              <w:rPr>
                <w:rFonts w:ascii="Arial" w:hAnsi="Arial" w:cs="Arial"/>
                <w:sz w:val="20"/>
                <w:szCs w:val="20"/>
              </w:rPr>
            </w:pPr>
            <w:r w:rsidRPr="001B724D">
              <w:rPr>
                <w:rFonts w:ascii="Arial" w:hAnsi="Arial" w:cs="Arial"/>
                <w:sz w:val="20"/>
                <w:szCs w:val="20"/>
              </w:rPr>
              <w:t xml:space="preserve">197,583 </w:t>
            </w:r>
          </w:p>
        </w:tc>
      </w:tr>
      <w:tr w:rsidR="003B358E" w:rsidTr="007632BD">
        <w:trPr>
          <w:trHeight w:val="300"/>
        </w:trPr>
        <w:tc>
          <w:tcPr>
            <w:tcW w:w="416" w:type="dxa"/>
            <w:tcBorders>
              <w:top w:val="nil"/>
              <w:left w:val="nil"/>
              <w:bottom w:val="nil"/>
              <w:right w:val="nil"/>
            </w:tcBorders>
            <w:shd w:val="clear" w:color="auto" w:fill="FFFFFF"/>
            <w:noWrap/>
            <w:vAlign w:val="bottom"/>
          </w:tcPr>
          <w:p w:rsidR="003B358E" w:rsidRDefault="003B358E" w:rsidP="007632BD">
            <w:pPr>
              <w:rPr>
                <w:rFonts w:ascii="Calibri" w:hAnsi="Calibri"/>
                <w:sz w:val="22"/>
                <w:szCs w:val="22"/>
              </w:rPr>
            </w:pPr>
            <w:r>
              <w:rPr>
                <w:rFonts w:ascii="Calibri" w:hAnsi="Calibri"/>
                <w:sz w:val="22"/>
                <w:szCs w:val="22"/>
              </w:rPr>
              <w:t> </w:t>
            </w:r>
          </w:p>
        </w:tc>
        <w:tc>
          <w:tcPr>
            <w:tcW w:w="3376" w:type="dxa"/>
            <w:tcBorders>
              <w:top w:val="nil"/>
              <w:left w:val="single" w:sz="4" w:space="0" w:color="auto"/>
              <w:bottom w:val="single" w:sz="4" w:space="0" w:color="808080"/>
              <w:right w:val="nil"/>
            </w:tcBorders>
            <w:shd w:val="clear" w:color="auto" w:fill="FFFFFF"/>
            <w:noWrap/>
            <w:vAlign w:val="bottom"/>
          </w:tcPr>
          <w:p w:rsidR="003B358E" w:rsidRPr="00446208" w:rsidRDefault="003B358E" w:rsidP="00A35A45">
            <w:pPr>
              <w:jc w:val="right"/>
              <w:rPr>
                <w:rFonts w:ascii="Arial" w:hAnsi="Arial" w:cs="Arial"/>
                <w:sz w:val="20"/>
                <w:szCs w:val="20"/>
              </w:rPr>
            </w:pPr>
            <w:r w:rsidRPr="00446208">
              <w:rPr>
                <w:rFonts w:ascii="Arial" w:hAnsi="Arial" w:cs="Arial"/>
                <w:sz w:val="20"/>
                <w:szCs w:val="20"/>
              </w:rPr>
              <w:t>Services in 2011-12</w:t>
            </w:r>
          </w:p>
        </w:tc>
        <w:tc>
          <w:tcPr>
            <w:tcW w:w="1656" w:type="dxa"/>
            <w:tcBorders>
              <w:top w:val="nil"/>
              <w:left w:val="single" w:sz="4" w:space="0" w:color="auto"/>
              <w:bottom w:val="single" w:sz="4" w:space="0" w:color="808080"/>
              <w:right w:val="single" w:sz="4" w:space="0" w:color="auto"/>
            </w:tcBorders>
            <w:shd w:val="clear" w:color="auto" w:fill="FFFFFF"/>
            <w:noWrap/>
            <w:vAlign w:val="center"/>
          </w:tcPr>
          <w:p w:rsidR="003B358E" w:rsidRPr="001B724D" w:rsidRDefault="003B358E" w:rsidP="003A1A07">
            <w:pPr>
              <w:jc w:val="right"/>
              <w:rPr>
                <w:rFonts w:ascii="Arial" w:hAnsi="Arial" w:cs="Arial"/>
                <w:sz w:val="20"/>
                <w:szCs w:val="20"/>
              </w:rPr>
            </w:pPr>
            <w:r w:rsidRPr="001B724D">
              <w:rPr>
                <w:rFonts w:ascii="Arial" w:hAnsi="Arial" w:cs="Arial"/>
                <w:sz w:val="20"/>
                <w:szCs w:val="20"/>
              </w:rPr>
              <w:t xml:space="preserve">226,827 </w:t>
            </w:r>
          </w:p>
        </w:tc>
        <w:tc>
          <w:tcPr>
            <w:tcW w:w="1656" w:type="dxa"/>
            <w:tcBorders>
              <w:top w:val="nil"/>
              <w:left w:val="nil"/>
              <w:bottom w:val="single" w:sz="4" w:space="0" w:color="808080"/>
              <w:right w:val="single" w:sz="4" w:space="0" w:color="auto"/>
            </w:tcBorders>
            <w:shd w:val="clear" w:color="auto" w:fill="FFFFFF"/>
            <w:noWrap/>
            <w:vAlign w:val="center"/>
          </w:tcPr>
          <w:p w:rsidR="003B358E" w:rsidRPr="001B724D" w:rsidRDefault="003B358E" w:rsidP="003A1A07">
            <w:pPr>
              <w:jc w:val="right"/>
              <w:rPr>
                <w:rFonts w:ascii="Arial" w:hAnsi="Arial" w:cs="Arial"/>
                <w:sz w:val="20"/>
                <w:szCs w:val="20"/>
              </w:rPr>
            </w:pPr>
            <w:r w:rsidRPr="001B724D">
              <w:rPr>
                <w:rFonts w:ascii="Arial" w:hAnsi="Arial" w:cs="Arial"/>
                <w:sz w:val="20"/>
                <w:szCs w:val="20"/>
              </w:rPr>
              <w:t xml:space="preserve">69,777 </w:t>
            </w:r>
          </w:p>
        </w:tc>
        <w:tc>
          <w:tcPr>
            <w:tcW w:w="1656" w:type="dxa"/>
            <w:tcBorders>
              <w:top w:val="nil"/>
              <w:left w:val="nil"/>
              <w:bottom w:val="single" w:sz="4" w:space="0" w:color="808080"/>
              <w:right w:val="single" w:sz="4" w:space="0" w:color="auto"/>
            </w:tcBorders>
            <w:shd w:val="clear" w:color="auto" w:fill="FFFFFF"/>
            <w:noWrap/>
            <w:vAlign w:val="center"/>
          </w:tcPr>
          <w:p w:rsidR="003B358E" w:rsidRPr="001B724D" w:rsidRDefault="003B358E" w:rsidP="003A1A07">
            <w:pPr>
              <w:jc w:val="right"/>
              <w:rPr>
                <w:rFonts w:ascii="Arial" w:hAnsi="Arial" w:cs="Arial"/>
                <w:sz w:val="20"/>
                <w:szCs w:val="20"/>
              </w:rPr>
            </w:pPr>
            <w:r w:rsidRPr="001B724D">
              <w:rPr>
                <w:rFonts w:ascii="Arial" w:hAnsi="Arial" w:cs="Arial"/>
                <w:sz w:val="20"/>
                <w:szCs w:val="20"/>
              </w:rPr>
              <w:t xml:space="preserve">296,604 </w:t>
            </w:r>
          </w:p>
        </w:tc>
      </w:tr>
      <w:tr w:rsidR="003B358E" w:rsidTr="007632BD">
        <w:trPr>
          <w:trHeight w:val="300"/>
        </w:trPr>
        <w:tc>
          <w:tcPr>
            <w:tcW w:w="416" w:type="dxa"/>
            <w:tcBorders>
              <w:top w:val="nil"/>
              <w:left w:val="nil"/>
              <w:bottom w:val="nil"/>
              <w:right w:val="nil"/>
            </w:tcBorders>
            <w:shd w:val="clear" w:color="auto" w:fill="FFFFFF"/>
            <w:noWrap/>
            <w:vAlign w:val="bottom"/>
          </w:tcPr>
          <w:p w:rsidR="003B358E" w:rsidRDefault="003B358E" w:rsidP="007632BD">
            <w:pPr>
              <w:rPr>
                <w:rFonts w:ascii="Calibri" w:hAnsi="Calibri"/>
                <w:sz w:val="22"/>
                <w:szCs w:val="22"/>
              </w:rPr>
            </w:pPr>
            <w:r>
              <w:rPr>
                <w:rFonts w:ascii="Calibri" w:hAnsi="Calibri"/>
                <w:sz w:val="22"/>
                <w:szCs w:val="22"/>
              </w:rPr>
              <w:t> </w:t>
            </w:r>
          </w:p>
        </w:tc>
        <w:tc>
          <w:tcPr>
            <w:tcW w:w="3376" w:type="dxa"/>
            <w:tcBorders>
              <w:top w:val="nil"/>
              <w:left w:val="single" w:sz="4" w:space="0" w:color="auto"/>
              <w:bottom w:val="single" w:sz="4" w:space="0" w:color="808080"/>
              <w:right w:val="nil"/>
            </w:tcBorders>
            <w:shd w:val="clear" w:color="auto" w:fill="FFFFFF"/>
            <w:noWrap/>
            <w:vAlign w:val="bottom"/>
          </w:tcPr>
          <w:p w:rsidR="003B358E" w:rsidRPr="00446208" w:rsidRDefault="003B358E" w:rsidP="00A35A45">
            <w:pPr>
              <w:jc w:val="right"/>
              <w:rPr>
                <w:rFonts w:ascii="Arial" w:hAnsi="Arial" w:cs="Arial"/>
                <w:b/>
                <w:bCs/>
                <w:sz w:val="20"/>
                <w:szCs w:val="20"/>
              </w:rPr>
            </w:pPr>
            <w:r w:rsidRPr="00446208">
              <w:rPr>
                <w:rFonts w:ascii="Arial" w:hAnsi="Arial" w:cs="Arial"/>
                <w:b/>
                <w:bCs/>
                <w:sz w:val="20"/>
                <w:szCs w:val="20"/>
              </w:rPr>
              <w:t>Services in 2012-13</w:t>
            </w:r>
          </w:p>
        </w:tc>
        <w:tc>
          <w:tcPr>
            <w:tcW w:w="1656" w:type="dxa"/>
            <w:tcBorders>
              <w:top w:val="nil"/>
              <w:left w:val="single" w:sz="4" w:space="0" w:color="auto"/>
              <w:bottom w:val="single" w:sz="4" w:space="0" w:color="808080"/>
              <w:right w:val="single" w:sz="4" w:space="0" w:color="auto"/>
            </w:tcBorders>
            <w:shd w:val="clear" w:color="auto" w:fill="FFFFFF"/>
            <w:noWrap/>
            <w:vAlign w:val="center"/>
          </w:tcPr>
          <w:p w:rsidR="003B358E" w:rsidRPr="0064682C" w:rsidRDefault="003B358E" w:rsidP="003A1A07">
            <w:pPr>
              <w:jc w:val="right"/>
              <w:rPr>
                <w:rFonts w:ascii="Arial" w:hAnsi="Arial" w:cs="Arial"/>
                <w:b/>
                <w:sz w:val="20"/>
                <w:szCs w:val="20"/>
              </w:rPr>
            </w:pPr>
            <w:r w:rsidRPr="0064682C">
              <w:rPr>
                <w:rFonts w:ascii="Arial" w:hAnsi="Arial" w:cs="Arial"/>
                <w:b/>
                <w:sz w:val="20"/>
                <w:szCs w:val="20"/>
              </w:rPr>
              <w:t xml:space="preserve">234,191 </w:t>
            </w:r>
          </w:p>
        </w:tc>
        <w:tc>
          <w:tcPr>
            <w:tcW w:w="1656" w:type="dxa"/>
            <w:tcBorders>
              <w:top w:val="nil"/>
              <w:left w:val="nil"/>
              <w:bottom w:val="single" w:sz="4" w:space="0" w:color="808080"/>
              <w:right w:val="single" w:sz="4" w:space="0" w:color="auto"/>
            </w:tcBorders>
            <w:shd w:val="clear" w:color="auto" w:fill="FFFFFF"/>
            <w:noWrap/>
            <w:vAlign w:val="center"/>
          </w:tcPr>
          <w:p w:rsidR="003B358E" w:rsidRPr="0064682C" w:rsidRDefault="003B358E" w:rsidP="003A1A07">
            <w:pPr>
              <w:jc w:val="right"/>
              <w:rPr>
                <w:rFonts w:ascii="Arial" w:hAnsi="Arial" w:cs="Arial"/>
                <w:b/>
                <w:sz w:val="20"/>
                <w:szCs w:val="20"/>
              </w:rPr>
            </w:pPr>
            <w:r w:rsidRPr="0064682C">
              <w:rPr>
                <w:rFonts w:ascii="Arial" w:hAnsi="Arial" w:cs="Arial"/>
                <w:b/>
                <w:sz w:val="20"/>
                <w:szCs w:val="20"/>
              </w:rPr>
              <w:t xml:space="preserve">62,759 </w:t>
            </w:r>
          </w:p>
        </w:tc>
        <w:tc>
          <w:tcPr>
            <w:tcW w:w="1656" w:type="dxa"/>
            <w:tcBorders>
              <w:top w:val="nil"/>
              <w:left w:val="nil"/>
              <w:bottom w:val="single" w:sz="4" w:space="0" w:color="808080"/>
              <w:right w:val="single" w:sz="4" w:space="0" w:color="auto"/>
            </w:tcBorders>
            <w:shd w:val="clear" w:color="auto" w:fill="FFFFFF"/>
            <w:noWrap/>
            <w:vAlign w:val="center"/>
          </w:tcPr>
          <w:p w:rsidR="003B358E" w:rsidRPr="0064682C" w:rsidRDefault="003B358E" w:rsidP="003A1A07">
            <w:pPr>
              <w:jc w:val="right"/>
              <w:rPr>
                <w:rFonts w:ascii="Arial" w:hAnsi="Arial" w:cs="Arial"/>
                <w:b/>
                <w:sz w:val="20"/>
                <w:szCs w:val="20"/>
              </w:rPr>
            </w:pPr>
            <w:r w:rsidRPr="0064682C">
              <w:rPr>
                <w:rFonts w:ascii="Arial" w:hAnsi="Arial" w:cs="Arial"/>
                <w:b/>
                <w:sz w:val="20"/>
                <w:szCs w:val="20"/>
              </w:rPr>
              <w:t xml:space="preserve">296,950 </w:t>
            </w:r>
          </w:p>
        </w:tc>
      </w:tr>
      <w:tr w:rsidR="003B358E" w:rsidTr="007632BD">
        <w:trPr>
          <w:trHeight w:val="300"/>
        </w:trPr>
        <w:tc>
          <w:tcPr>
            <w:tcW w:w="416" w:type="dxa"/>
            <w:tcBorders>
              <w:top w:val="nil"/>
              <w:left w:val="nil"/>
              <w:bottom w:val="nil"/>
              <w:right w:val="nil"/>
            </w:tcBorders>
            <w:shd w:val="clear" w:color="auto" w:fill="FFFFFF"/>
            <w:noWrap/>
            <w:vAlign w:val="bottom"/>
          </w:tcPr>
          <w:p w:rsidR="003B358E" w:rsidRDefault="003B358E" w:rsidP="007632BD">
            <w:pPr>
              <w:rPr>
                <w:rFonts w:ascii="Calibri" w:hAnsi="Calibri"/>
                <w:sz w:val="22"/>
                <w:szCs w:val="22"/>
              </w:rPr>
            </w:pPr>
            <w:r>
              <w:rPr>
                <w:rFonts w:ascii="Calibri" w:hAnsi="Calibri"/>
                <w:sz w:val="22"/>
                <w:szCs w:val="22"/>
              </w:rPr>
              <w:t> </w:t>
            </w:r>
          </w:p>
        </w:tc>
        <w:tc>
          <w:tcPr>
            <w:tcW w:w="3376" w:type="dxa"/>
            <w:tcBorders>
              <w:top w:val="nil"/>
              <w:left w:val="single" w:sz="4" w:space="0" w:color="auto"/>
              <w:bottom w:val="single" w:sz="4" w:space="0" w:color="808080"/>
              <w:right w:val="nil"/>
            </w:tcBorders>
            <w:shd w:val="clear" w:color="auto" w:fill="FFFFFF"/>
            <w:noWrap/>
            <w:vAlign w:val="bottom"/>
          </w:tcPr>
          <w:p w:rsidR="003B358E" w:rsidRPr="00446208" w:rsidRDefault="003B358E" w:rsidP="007632BD">
            <w:pPr>
              <w:jc w:val="right"/>
              <w:rPr>
                <w:rFonts w:ascii="Arial" w:hAnsi="Arial" w:cs="Arial"/>
                <w:sz w:val="20"/>
                <w:szCs w:val="20"/>
              </w:rPr>
            </w:pPr>
            <w:r w:rsidRPr="00446208">
              <w:rPr>
                <w:rFonts w:ascii="Arial" w:hAnsi="Arial" w:cs="Arial"/>
                <w:sz w:val="20"/>
                <w:szCs w:val="20"/>
              </w:rPr>
              <w:t>Increase from 2007-08</w:t>
            </w:r>
          </w:p>
        </w:tc>
        <w:tc>
          <w:tcPr>
            <w:tcW w:w="1656" w:type="dxa"/>
            <w:tcBorders>
              <w:top w:val="nil"/>
              <w:left w:val="single" w:sz="4" w:space="0" w:color="auto"/>
              <w:bottom w:val="single" w:sz="4" w:space="0" w:color="808080"/>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 xml:space="preserve">59,365 </w:t>
            </w:r>
          </w:p>
        </w:tc>
        <w:tc>
          <w:tcPr>
            <w:tcW w:w="1656" w:type="dxa"/>
            <w:tcBorders>
              <w:top w:val="nil"/>
              <w:left w:val="nil"/>
              <w:bottom w:val="single" w:sz="4" w:space="0" w:color="808080"/>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 xml:space="preserve">40,002 </w:t>
            </w:r>
          </w:p>
        </w:tc>
        <w:tc>
          <w:tcPr>
            <w:tcW w:w="1656" w:type="dxa"/>
            <w:tcBorders>
              <w:top w:val="nil"/>
              <w:left w:val="nil"/>
              <w:bottom w:val="single" w:sz="4" w:space="0" w:color="808080"/>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 xml:space="preserve">99,367 </w:t>
            </w:r>
          </w:p>
        </w:tc>
      </w:tr>
      <w:tr w:rsidR="003B358E" w:rsidTr="007632BD">
        <w:trPr>
          <w:trHeight w:val="300"/>
        </w:trPr>
        <w:tc>
          <w:tcPr>
            <w:tcW w:w="416" w:type="dxa"/>
            <w:tcBorders>
              <w:top w:val="nil"/>
              <w:left w:val="nil"/>
              <w:bottom w:val="nil"/>
              <w:right w:val="nil"/>
            </w:tcBorders>
            <w:shd w:val="clear" w:color="auto" w:fill="FFFFFF"/>
            <w:noWrap/>
            <w:vAlign w:val="bottom"/>
          </w:tcPr>
          <w:p w:rsidR="003B358E" w:rsidRDefault="003B358E" w:rsidP="007632BD">
            <w:pPr>
              <w:rPr>
                <w:rFonts w:ascii="Calibri" w:hAnsi="Calibri"/>
                <w:sz w:val="22"/>
                <w:szCs w:val="22"/>
              </w:rPr>
            </w:pPr>
            <w:r>
              <w:rPr>
                <w:rFonts w:ascii="Calibri" w:hAnsi="Calibri"/>
                <w:sz w:val="22"/>
                <w:szCs w:val="22"/>
              </w:rPr>
              <w:t> </w:t>
            </w:r>
          </w:p>
        </w:tc>
        <w:tc>
          <w:tcPr>
            <w:tcW w:w="3376" w:type="dxa"/>
            <w:tcBorders>
              <w:top w:val="nil"/>
              <w:left w:val="single" w:sz="4" w:space="0" w:color="auto"/>
              <w:bottom w:val="nil"/>
              <w:right w:val="nil"/>
            </w:tcBorders>
            <w:shd w:val="clear" w:color="auto" w:fill="FFFFFF"/>
            <w:noWrap/>
            <w:vAlign w:val="bottom"/>
          </w:tcPr>
          <w:p w:rsidR="003B358E" w:rsidRPr="00446208" w:rsidRDefault="003B358E" w:rsidP="00A35A45">
            <w:pPr>
              <w:jc w:val="right"/>
              <w:rPr>
                <w:rFonts w:ascii="Arial" w:hAnsi="Arial" w:cs="Arial"/>
                <w:sz w:val="20"/>
                <w:szCs w:val="20"/>
              </w:rPr>
            </w:pPr>
            <w:r w:rsidRPr="00446208">
              <w:rPr>
                <w:rFonts w:ascii="Arial" w:hAnsi="Arial" w:cs="Arial"/>
                <w:sz w:val="20"/>
                <w:szCs w:val="20"/>
              </w:rPr>
              <w:t>Increase from 2011-12</w:t>
            </w:r>
          </w:p>
        </w:tc>
        <w:tc>
          <w:tcPr>
            <w:tcW w:w="1656" w:type="dxa"/>
            <w:tcBorders>
              <w:top w:val="nil"/>
              <w:left w:val="single" w:sz="4" w:space="0" w:color="auto"/>
              <w:bottom w:val="single" w:sz="4" w:space="0" w:color="808080"/>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 xml:space="preserve">7,364 </w:t>
            </w:r>
          </w:p>
        </w:tc>
        <w:tc>
          <w:tcPr>
            <w:tcW w:w="1656" w:type="dxa"/>
            <w:tcBorders>
              <w:top w:val="nil"/>
              <w:left w:val="nil"/>
              <w:bottom w:val="single" w:sz="4" w:space="0" w:color="808080"/>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 xml:space="preserve">-7,018 </w:t>
            </w:r>
          </w:p>
        </w:tc>
        <w:tc>
          <w:tcPr>
            <w:tcW w:w="1656" w:type="dxa"/>
            <w:tcBorders>
              <w:top w:val="nil"/>
              <w:left w:val="nil"/>
              <w:bottom w:val="single" w:sz="4" w:space="0" w:color="808080"/>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 xml:space="preserve">346 </w:t>
            </w:r>
          </w:p>
        </w:tc>
      </w:tr>
      <w:tr w:rsidR="003B358E" w:rsidTr="007632BD">
        <w:trPr>
          <w:trHeight w:val="300"/>
        </w:trPr>
        <w:tc>
          <w:tcPr>
            <w:tcW w:w="416" w:type="dxa"/>
            <w:tcBorders>
              <w:top w:val="nil"/>
              <w:left w:val="nil"/>
              <w:bottom w:val="nil"/>
              <w:right w:val="nil"/>
            </w:tcBorders>
            <w:shd w:val="clear" w:color="auto" w:fill="FFFFFF"/>
            <w:noWrap/>
            <w:vAlign w:val="bottom"/>
          </w:tcPr>
          <w:p w:rsidR="003B358E" w:rsidRDefault="003B358E" w:rsidP="007632BD">
            <w:pPr>
              <w:rPr>
                <w:rFonts w:ascii="Calibri" w:hAnsi="Calibri"/>
                <w:sz w:val="22"/>
                <w:szCs w:val="22"/>
              </w:rPr>
            </w:pPr>
            <w:r>
              <w:rPr>
                <w:rFonts w:ascii="Calibri" w:hAnsi="Calibri"/>
                <w:sz w:val="22"/>
                <w:szCs w:val="22"/>
              </w:rPr>
              <w:t> </w:t>
            </w:r>
          </w:p>
        </w:tc>
        <w:tc>
          <w:tcPr>
            <w:tcW w:w="3376" w:type="dxa"/>
            <w:tcBorders>
              <w:top w:val="single" w:sz="4" w:space="0" w:color="808080"/>
              <w:left w:val="single" w:sz="4" w:space="0" w:color="auto"/>
              <w:bottom w:val="single" w:sz="4" w:space="0" w:color="808080"/>
              <w:right w:val="nil"/>
            </w:tcBorders>
            <w:shd w:val="clear" w:color="auto" w:fill="FFFFFF"/>
            <w:noWrap/>
            <w:vAlign w:val="bottom"/>
          </w:tcPr>
          <w:p w:rsidR="003B358E" w:rsidRPr="00446208" w:rsidRDefault="003B358E" w:rsidP="007632BD">
            <w:pPr>
              <w:jc w:val="right"/>
              <w:rPr>
                <w:rFonts w:ascii="Arial" w:hAnsi="Arial" w:cs="Arial"/>
                <w:sz w:val="20"/>
                <w:szCs w:val="20"/>
              </w:rPr>
            </w:pPr>
            <w:r w:rsidRPr="00446208">
              <w:rPr>
                <w:rFonts w:ascii="Arial" w:hAnsi="Arial" w:cs="Arial"/>
                <w:sz w:val="20"/>
                <w:szCs w:val="20"/>
              </w:rPr>
              <w:t>Targeted % increase</w:t>
            </w:r>
          </w:p>
        </w:tc>
        <w:tc>
          <w:tcPr>
            <w:tcW w:w="1656" w:type="dxa"/>
            <w:tcBorders>
              <w:top w:val="nil"/>
              <w:left w:val="single" w:sz="4" w:space="0" w:color="auto"/>
              <w:bottom w:val="nil"/>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20.0%</w:t>
            </w:r>
          </w:p>
        </w:tc>
        <w:tc>
          <w:tcPr>
            <w:tcW w:w="1656" w:type="dxa"/>
            <w:tcBorders>
              <w:top w:val="nil"/>
              <w:left w:val="nil"/>
              <w:bottom w:val="nil"/>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20.0%</w:t>
            </w:r>
          </w:p>
        </w:tc>
        <w:tc>
          <w:tcPr>
            <w:tcW w:w="1656" w:type="dxa"/>
            <w:tcBorders>
              <w:top w:val="nil"/>
              <w:left w:val="nil"/>
              <w:bottom w:val="nil"/>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20.0%</w:t>
            </w:r>
          </w:p>
        </w:tc>
      </w:tr>
      <w:tr w:rsidR="003B358E" w:rsidTr="007632BD">
        <w:trPr>
          <w:trHeight w:val="300"/>
        </w:trPr>
        <w:tc>
          <w:tcPr>
            <w:tcW w:w="416" w:type="dxa"/>
            <w:tcBorders>
              <w:top w:val="nil"/>
              <w:left w:val="nil"/>
              <w:bottom w:val="nil"/>
              <w:right w:val="nil"/>
            </w:tcBorders>
            <w:shd w:val="clear" w:color="auto" w:fill="FFFFFF"/>
            <w:noWrap/>
            <w:vAlign w:val="bottom"/>
          </w:tcPr>
          <w:p w:rsidR="003B358E" w:rsidRDefault="003B358E" w:rsidP="007632BD">
            <w:pPr>
              <w:rPr>
                <w:rFonts w:ascii="Calibri" w:hAnsi="Calibri"/>
                <w:sz w:val="22"/>
                <w:szCs w:val="22"/>
              </w:rPr>
            </w:pPr>
            <w:r>
              <w:rPr>
                <w:rFonts w:ascii="Calibri" w:hAnsi="Calibri"/>
                <w:sz w:val="22"/>
                <w:szCs w:val="22"/>
              </w:rPr>
              <w:t> </w:t>
            </w:r>
          </w:p>
        </w:tc>
        <w:tc>
          <w:tcPr>
            <w:tcW w:w="3376" w:type="dxa"/>
            <w:tcBorders>
              <w:top w:val="nil"/>
              <w:left w:val="single" w:sz="4" w:space="0" w:color="auto"/>
              <w:bottom w:val="nil"/>
              <w:right w:val="nil"/>
            </w:tcBorders>
            <w:shd w:val="clear" w:color="auto" w:fill="FFFFFF"/>
            <w:noWrap/>
            <w:vAlign w:val="bottom"/>
          </w:tcPr>
          <w:p w:rsidR="003B358E" w:rsidRPr="00446208" w:rsidRDefault="003B358E" w:rsidP="007632BD">
            <w:pPr>
              <w:jc w:val="right"/>
              <w:rPr>
                <w:rFonts w:ascii="Arial" w:hAnsi="Arial" w:cs="Arial"/>
                <w:sz w:val="20"/>
                <w:szCs w:val="20"/>
              </w:rPr>
            </w:pPr>
            <w:r w:rsidRPr="00446208">
              <w:rPr>
                <w:rFonts w:ascii="Arial" w:hAnsi="Arial" w:cs="Arial"/>
                <w:sz w:val="20"/>
                <w:szCs w:val="20"/>
              </w:rPr>
              <w:t>% increase from 2007-08</w:t>
            </w:r>
          </w:p>
        </w:tc>
        <w:tc>
          <w:tcPr>
            <w:tcW w:w="1656" w:type="dxa"/>
            <w:tcBorders>
              <w:top w:val="single" w:sz="4" w:space="0" w:color="808080"/>
              <w:left w:val="single" w:sz="4" w:space="0" w:color="auto"/>
              <w:bottom w:val="nil"/>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34.0%</w:t>
            </w:r>
          </w:p>
        </w:tc>
        <w:tc>
          <w:tcPr>
            <w:tcW w:w="1656" w:type="dxa"/>
            <w:tcBorders>
              <w:top w:val="single" w:sz="4" w:space="0" w:color="808080"/>
              <w:left w:val="nil"/>
              <w:bottom w:val="nil"/>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175.8%</w:t>
            </w:r>
          </w:p>
        </w:tc>
        <w:tc>
          <w:tcPr>
            <w:tcW w:w="1656" w:type="dxa"/>
            <w:tcBorders>
              <w:top w:val="single" w:sz="4" w:space="0" w:color="808080"/>
              <w:left w:val="nil"/>
              <w:bottom w:val="nil"/>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50.3%</w:t>
            </w:r>
          </w:p>
        </w:tc>
      </w:tr>
      <w:tr w:rsidR="003B358E" w:rsidTr="007632BD">
        <w:trPr>
          <w:trHeight w:val="300"/>
        </w:trPr>
        <w:tc>
          <w:tcPr>
            <w:tcW w:w="416" w:type="dxa"/>
            <w:tcBorders>
              <w:top w:val="nil"/>
              <w:left w:val="nil"/>
              <w:bottom w:val="nil"/>
              <w:right w:val="nil"/>
            </w:tcBorders>
            <w:shd w:val="clear" w:color="auto" w:fill="FFFFFF"/>
            <w:noWrap/>
            <w:vAlign w:val="bottom"/>
          </w:tcPr>
          <w:p w:rsidR="003B358E" w:rsidRDefault="003B358E" w:rsidP="007632BD">
            <w:pPr>
              <w:rPr>
                <w:rFonts w:ascii="Calibri" w:hAnsi="Calibri"/>
                <w:sz w:val="22"/>
                <w:szCs w:val="22"/>
              </w:rPr>
            </w:pPr>
            <w:r>
              <w:rPr>
                <w:rFonts w:ascii="Calibri" w:hAnsi="Calibri"/>
                <w:sz w:val="22"/>
                <w:szCs w:val="22"/>
              </w:rPr>
              <w:t> </w:t>
            </w:r>
          </w:p>
        </w:tc>
        <w:tc>
          <w:tcPr>
            <w:tcW w:w="3376" w:type="dxa"/>
            <w:tcBorders>
              <w:top w:val="single" w:sz="4" w:space="0" w:color="808080"/>
              <w:left w:val="single" w:sz="4" w:space="0" w:color="auto"/>
              <w:bottom w:val="single" w:sz="4" w:space="0" w:color="auto"/>
              <w:right w:val="nil"/>
            </w:tcBorders>
            <w:shd w:val="clear" w:color="auto" w:fill="FFFFFF"/>
            <w:noWrap/>
            <w:vAlign w:val="bottom"/>
          </w:tcPr>
          <w:p w:rsidR="003B358E" w:rsidRPr="00446208" w:rsidRDefault="003B358E" w:rsidP="00A35A45">
            <w:pPr>
              <w:jc w:val="right"/>
              <w:rPr>
                <w:rFonts w:ascii="Arial" w:hAnsi="Arial" w:cs="Arial"/>
                <w:sz w:val="20"/>
                <w:szCs w:val="20"/>
              </w:rPr>
            </w:pPr>
            <w:r w:rsidRPr="00446208">
              <w:rPr>
                <w:rFonts w:ascii="Arial" w:hAnsi="Arial" w:cs="Arial"/>
                <w:sz w:val="20"/>
                <w:szCs w:val="20"/>
              </w:rPr>
              <w:t>% increase from 2011-12</w:t>
            </w:r>
          </w:p>
        </w:tc>
        <w:tc>
          <w:tcPr>
            <w:tcW w:w="1656" w:type="dxa"/>
            <w:tcBorders>
              <w:top w:val="single" w:sz="4" w:space="0" w:color="808080"/>
              <w:left w:val="single" w:sz="4" w:space="0" w:color="auto"/>
              <w:bottom w:val="single" w:sz="4" w:space="0" w:color="auto"/>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3.2%</w:t>
            </w:r>
          </w:p>
        </w:tc>
        <w:tc>
          <w:tcPr>
            <w:tcW w:w="1656" w:type="dxa"/>
            <w:tcBorders>
              <w:top w:val="single" w:sz="4" w:space="0" w:color="808080"/>
              <w:left w:val="nil"/>
              <w:bottom w:val="single" w:sz="4" w:space="0" w:color="auto"/>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-10.1%</w:t>
            </w:r>
          </w:p>
        </w:tc>
        <w:tc>
          <w:tcPr>
            <w:tcW w:w="1656" w:type="dxa"/>
            <w:tcBorders>
              <w:top w:val="single" w:sz="4" w:space="0" w:color="808080"/>
              <w:left w:val="nil"/>
              <w:bottom w:val="single" w:sz="4" w:space="0" w:color="auto"/>
              <w:right w:val="single" w:sz="4" w:space="0" w:color="auto"/>
            </w:tcBorders>
            <w:shd w:val="clear" w:color="auto" w:fill="FFFFFF"/>
            <w:noWrap/>
            <w:vAlign w:val="center"/>
          </w:tcPr>
          <w:p w:rsidR="003B358E" w:rsidRPr="0064682C" w:rsidRDefault="003B358E" w:rsidP="003A1A07">
            <w:pPr>
              <w:jc w:val="right"/>
              <w:rPr>
                <w:rFonts w:ascii="Arial" w:hAnsi="Arial" w:cs="Arial"/>
                <w:sz w:val="20"/>
                <w:szCs w:val="20"/>
              </w:rPr>
            </w:pPr>
            <w:r w:rsidRPr="0064682C">
              <w:rPr>
                <w:rFonts w:ascii="Arial" w:hAnsi="Arial" w:cs="Arial"/>
                <w:sz w:val="20"/>
                <w:szCs w:val="20"/>
              </w:rPr>
              <w:t>0.1%</w:t>
            </w:r>
          </w:p>
        </w:tc>
      </w:tr>
    </w:tbl>
    <w:p w:rsidR="007632BD" w:rsidRPr="00A35A45" w:rsidRDefault="00F36E4E" w:rsidP="00A35A45">
      <w:pPr>
        <w:ind w:right="565"/>
        <w:jc w:val="right"/>
        <w:rPr>
          <w:rFonts w:ascii="Arial" w:hAnsi="Arial" w:cs="Arial"/>
          <w:sz w:val="20"/>
        </w:rPr>
      </w:pPr>
      <w:r>
        <w:rPr>
          <w:rFonts w:ascii="Arial" w:hAnsi="Arial" w:cs="Arial"/>
          <w:sz w:val="20"/>
        </w:rPr>
        <w:t>Contact: Shelley Horne 08 8226 07662</w:t>
      </w:r>
    </w:p>
    <w:sectPr w:rsidR="007632BD" w:rsidRPr="00A35A45" w:rsidSect="00446208">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2BD" w:rsidRDefault="007632BD" w:rsidP="00F36E4E">
      <w:r>
        <w:separator/>
      </w:r>
    </w:p>
  </w:endnote>
  <w:endnote w:type="continuationSeparator" w:id="0">
    <w:p w:rsidR="007632BD" w:rsidRDefault="007632BD" w:rsidP="00F3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2BD" w:rsidRDefault="007632BD" w:rsidP="00F36E4E">
      <w:r>
        <w:separator/>
      </w:r>
    </w:p>
  </w:footnote>
  <w:footnote w:type="continuationSeparator" w:id="0">
    <w:p w:rsidR="007632BD" w:rsidRDefault="007632BD" w:rsidP="00F36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E2034"/>
    <w:multiLevelType w:val="multilevel"/>
    <w:tmpl w:val="3492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867DEC"/>
    <w:multiLevelType w:val="hybridMultilevel"/>
    <w:tmpl w:val="5A00195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A25619C"/>
    <w:multiLevelType w:val="hybridMultilevel"/>
    <w:tmpl w:val="05AC18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2295570"/>
    <w:multiLevelType w:val="hybridMultilevel"/>
    <w:tmpl w:val="29529D98"/>
    <w:lvl w:ilvl="0" w:tplc="0C090005">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63877E60"/>
    <w:multiLevelType w:val="hybridMultilevel"/>
    <w:tmpl w:val="BBD8DB70"/>
    <w:lvl w:ilvl="0" w:tplc="0C090001">
      <w:start w:val="1"/>
      <w:numFmt w:val="bullet"/>
      <w:lvlText w:val=""/>
      <w:lvlJc w:val="left"/>
      <w:pPr>
        <w:ind w:left="720" w:hanging="360"/>
      </w:pPr>
      <w:rPr>
        <w:rFonts w:ascii="Symbol" w:hAnsi="Symbol" w:hint="default"/>
      </w:rPr>
    </w:lvl>
    <w:lvl w:ilvl="1" w:tplc="E3829E7A">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7054EAA"/>
    <w:multiLevelType w:val="hybridMultilevel"/>
    <w:tmpl w:val="361AE74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4E"/>
    <w:rsid w:val="001B4BB0"/>
    <w:rsid w:val="001D4D76"/>
    <w:rsid w:val="001D7E3D"/>
    <w:rsid w:val="002C7132"/>
    <w:rsid w:val="00332308"/>
    <w:rsid w:val="0037316A"/>
    <w:rsid w:val="003B358E"/>
    <w:rsid w:val="00446208"/>
    <w:rsid w:val="004507BD"/>
    <w:rsid w:val="004D7AC8"/>
    <w:rsid w:val="006A2D55"/>
    <w:rsid w:val="006E40A1"/>
    <w:rsid w:val="00740371"/>
    <w:rsid w:val="007504B7"/>
    <w:rsid w:val="007632BD"/>
    <w:rsid w:val="007C1C40"/>
    <w:rsid w:val="00857B51"/>
    <w:rsid w:val="00905886"/>
    <w:rsid w:val="009B6AFC"/>
    <w:rsid w:val="009C1936"/>
    <w:rsid w:val="00A35A45"/>
    <w:rsid w:val="00A71672"/>
    <w:rsid w:val="00B37010"/>
    <w:rsid w:val="00B50DC5"/>
    <w:rsid w:val="00BB2036"/>
    <w:rsid w:val="00BB2894"/>
    <w:rsid w:val="00BC5A69"/>
    <w:rsid w:val="00C121ED"/>
    <w:rsid w:val="00C50C0B"/>
    <w:rsid w:val="00D338E9"/>
    <w:rsid w:val="00D41912"/>
    <w:rsid w:val="00D6159E"/>
    <w:rsid w:val="00D74C88"/>
    <w:rsid w:val="00F03923"/>
    <w:rsid w:val="00F31B28"/>
    <w:rsid w:val="00F36E4E"/>
    <w:rsid w:val="00FE4B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E4E"/>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F36E4E"/>
    <w:rPr>
      <w:rFonts w:ascii="Courier" w:hAnsi="Courier"/>
      <w:szCs w:val="20"/>
    </w:rPr>
  </w:style>
  <w:style w:type="character" w:customStyle="1" w:styleId="PlainTextChar">
    <w:name w:val="Plain Text Char"/>
    <w:basedOn w:val="DefaultParagraphFont"/>
    <w:link w:val="PlainText"/>
    <w:semiHidden/>
    <w:rsid w:val="00F36E4E"/>
    <w:rPr>
      <w:rFonts w:ascii="Courier" w:eastAsia="Times New Roman" w:hAnsi="Courier" w:cs="Times New Roman"/>
      <w:sz w:val="24"/>
      <w:szCs w:val="20"/>
      <w:lang w:eastAsia="en-AU"/>
    </w:rPr>
  </w:style>
  <w:style w:type="paragraph" w:styleId="Header">
    <w:name w:val="header"/>
    <w:basedOn w:val="Normal"/>
    <w:link w:val="HeaderChar"/>
    <w:uiPriority w:val="99"/>
    <w:unhideWhenUsed/>
    <w:rsid w:val="00F36E4E"/>
    <w:pPr>
      <w:tabs>
        <w:tab w:val="center" w:pos="4513"/>
        <w:tab w:val="right" w:pos="9026"/>
      </w:tabs>
    </w:pPr>
  </w:style>
  <w:style w:type="character" w:customStyle="1" w:styleId="HeaderChar">
    <w:name w:val="Header Char"/>
    <w:basedOn w:val="DefaultParagraphFont"/>
    <w:link w:val="Header"/>
    <w:uiPriority w:val="99"/>
    <w:rsid w:val="00F36E4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36E4E"/>
    <w:pPr>
      <w:tabs>
        <w:tab w:val="center" w:pos="4513"/>
        <w:tab w:val="right" w:pos="9026"/>
      </w:tabs>
    </w:pPr>
  </w:style>
  <w:style w:type="character" w:customStyle="1" w:styleId="FooterChar">
    <w:name w:val="Footer Char"/>
    <w:basedOn w:val="DefaultParagraphFont"/>
    <w:link w:val="Footer"/>
    <w:uiPriority w:val="99"/>
    <w:rsid w:val="00F36E4E"/>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7C1C40"/>
    <w:pPr>
      <w:ind w:left="720"/>
      <w:contextualSpacing/>
    </w:pPr>
  </w:style>
  <w:style w:type="paragraph" w:styleId="BalloonText">
    <w:name w:val="Balloon Text"/>
    <w:basedOn w:val="Normal"/>
    <w:link w:val="BalloonTextChar"/>
    <w:uiPriority w:val="99"/>
    <w:semiHidden/>
    <w:unhideWhenUsed/>
    <w:rsid w:val="00BB2894"/>
    <w:rPr>
      <w:rFonts w:ascii="Tahoma" w:hAnsi="Tahoma" w:cs="Tahoma"/>
      <w:sz w:val="16"/>
      <w:szCs w:val="16"/>
    </w:rPr>
  </w:style>
  <w:style w:type="character" w:customStyle="1" w:styleId="BalloonTextChar">
    <w:name w:val="Balloon Text Char"/>
    <w:basedOn w:val="DefaultParagraphFont"/>
    <w:link w:val="BalloonText"/>
    <w:uiPriority w:val="99"/>
    <w:semiHidden/>
    <w:rsid w:val="00BB2894"/>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E4E"/>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F36E4E"/>
    <w:rPr>
      <w:rFonts w:ascii="Courier" w:hAnsi="Courier"/>
      <w:szCs w:val="20"/>
    </w:rPr>
  </w:style>
  <w:style w:type="character" w:customStyle="1" w:styleId="PlainTextChar">
    <w:name w:val="Plain Text Char"/>
    <w:basedOn w:val="DefaultParagraphFont"/>
    <w:link w:val="PlainText"/>
    <w:semiHidden/>
    <w:rsid w:val="00F36E4E"/>
    <w:rPr>
      <w:rFonts w:ascii="Courier" w:eastAsia="Times New Roman" w:hAnsi="Courier" w:cs="Times New Roman"/>
      <w:sz w:val="24"/>
      <w:szCs w:val="20"/>
      <w:lang w:eastAsia="en-AU"/>
    </w:rPr>
  </w:style>
  <w:style w:type="paragraph" w:styleId="Header">
    <w:name w:val="header"/>
    <w:basedOn w:val="Normal"/>
    <w:link w:val="HeaderChar"/>
    <w:uiPriority w:val="99"/>
    <w:unhideWhenUsed/>
    <w:rsid w:val="00F36E4E"/>
    <w:pPr>
      <w:tabs>
        <w:tab w:val="center" w:pos="4513"/>
        <w:tab w:val="right" w:pos="9026"/>
      </w:tabs>
    </w:pPr>
  </w:style>
  <w:style w:type="character" w:customStyle="1" w:styleId="HeaderChar">
    <w:name w:val="Header Char"/>
    <w:basedOn w:val="DefaultParagraphFont"/>
    <w:link w:val="Header"/>
    <w:uiPriority w:val="99"/>
    <w:rsid w:val="00F36E4E"/>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36E4E"/>
    <w:pPr>
      <w:tabs>
        <w:tab w:val="center" w:pos="4513"/>
        <w:tab w:val="right" w:pos="9026"/>
      </w:tabs>
    </w:pPr>
  </w:style>
  <w:style w:type="character" w:customStyle="1" w:styleId="FooterChar">
    <w:name w:val="Footer Char"/>
    <w:basedOn w:val="DefaultParagraphFont"/>
    <w:link w:val="Footer"/>
    <w:uiPriority w:val="99"/>
    <w:rsid w:val="00F36E4E"/>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7C1C40"/>
    <w:pPr>
      <w:ind w:left="720"/>
      <w:contextualSpacing/>
    </w:pPr>
  </w:style>
  <w:style w:type="paragraph" w:styleId="BalloonText">
    <w:name w:val="Balloon Text"/>
    <w:basedOn w:val="Normal"/>
    <w:link w:val="BalloonTextChar"/>
    <w:uiPriority w:val="99"/>
    <w:semiHidden/>
    <w:unhideWhenUsed/>
    <w:rsid w:val="00BB2894"/>
    <w:rPr>
      <w:rFonts w:ascii="Tahoma" w:hAnsi="Tahoma" w:cs="Tahoma"/>
      <w:sz w:val="16"/>
      <w:szCs w:val="16"/>
    </w:rPr>
  </w:style>
  <w:style w:type="character" w:customStyle="1" w:styleId="BalloonTextChar">
    <w:name w:val="Balloon Text Char"/>
    <w:basedOn w:val="DefaultParagraphFont"/>
    <w:link w:val="BalloonText"/>
    <w:uiPriority w:val="99"/>
    <w:semiHidden/>
    <w:rsid w:val="00BB2894"/>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8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3505</Words>
  <Characters>19981</Characters>
  <Application>Microsoft Office Word</Application>
  <DocSecurity>0</DocSecurity>
  <Lines>166</Lines>
  <Paragraphs>46</Paragraphs>
  <ScaleCrop>false</ScaleCrop>
  <Company/>
  <LinksUpToDate>false</LinksUpToDate>
  <CharactersWithSpaces>23440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2014-01-15T06:44:00Z</dcterms:created>
  <dcterms:modified xsi:type="dcterms:W3CDTF">2014-01-15T06:44:00Z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