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E4" w:rsidRDefault="00B212E4" w:rsidP="00D96B8D">
      <w:pPr>
        <w:rPr>
          <w:rFonts w:ascii="Arial" w:hAnsi="Arial" w:cs="Arial"/>
          <w:b/>
          <w:sz w:val="26"/>
          <w:szCs w:val="26"/>
        </w:rPr>
      </w:pPr>
    </w:p>
    <w:p w:rsidR="00D13D2E" w:rsidRDefault="000B4774" w:rsidP="00980C08">
      <w:pPr>
        <w:rPr>
          <w:rFonts w:ascii="Arial" w:hAnsi="Arial" w:cs="Arial"/>
          <w:b/>
          <w:sz w:val="26"/>
          <w:szCs w:val="26"/>
        </w:rPr>
      </w:pPr>
      <w:smartTag w:uri="urn:schemas-microsoft-com:office:smarttags" w:element="place">
        <w:smartTag w:uri="urn:schemas-microsoft-com:office:smarttags" w:element="State">
          <w:r>
            <w:rPr>
              <w:rFonts w:ascii="Arial" w:hAnsi="Arial" w:cs="Arial"/>
              <w:b/>
              <w:sz w:val="26"/>
              <w:szCs w:val="26"/>
            </w:rPr>
            <w:t>V</w:t>
          </w:r>
          <w:bookmarkStart w:id="0" w:name="_GoBack"/>
          <w:bookmarkEnd w:id="0"/>
          <w:r>
            <w:rPr>
              <w:rFonts w:ascii="Arial" w:hAnsi="Arial" w:cs="Arial"/>
              <w:b/>
              <w:sz w:val="26"/>
              <w:szCs w:val="26"/>
            </w:rPr>
            <w:t>ictoria</w:t>
          </w:r>
        </w:smartTag>
      </w:smartTag>
      <w:r w:rsidR="00574279">
        <w:rPr>
          <w:rFonts w:ascii="Arial" w:hAnsi="Arial" w:cs="Arial"/>
          <w:b/>
          <w:sz w:val="26"/>
          <w:szCs w:val="26"/>
        </w:rPr>
        <w:t xml:space="preserve"> </w:t>
      </w:r>
      <w:r w:rsidR="00E832F5">
        <w:rPr>
          <w:rFonts w:ascii="Arial" w:hAnsi="Arial" w:cs="Arial"/>
          <w:b/>
          <w:sz w:val="26"/>
          <w:szCs w:val="26"/>
        </w:rPr>
        <w:t xml:space="preserve">– </w:t>
      </w:r>
      <w:r w:rsidR="006956B2">
        <w:rPr>
          <w:rFonts w:ascii="Arial" w:hAnsi="Arial" w:cs="Arial"/>
          <w:b/>
          <w:sz w:val="26"/>
          <w:szCs w:val="26"/>
        </w:rPr>
        <w:t>Progress</w:t>
      </w:r>
      <w:r w:rsidR="00023D07" w:rsidRPr="00D96B8D">
        <w:rPr>
          <w:rFonts w:ascii="Arial" w:hAnsi="Arial" w:cs="Arial"/>
          <w:b/>
          <w:sz w:val="26"/>
          <w:szCs w:val="26"/>
        </w:rPr>
        <w:t xml:space="preserve"> against</w:t>
      </w:r>
      <w:r w:rsidR="00E832F5">
        <w:rPr>
          <w:rFonts w:ascii="Arial" w:hAnsi="Arial" w:cs="Arial"/>
          <w:b/>
          <w:sz w:val="26"/>
          <w:szCs w:val="26"/>
        </w:rPr>
        <w:t xml:space="preserve"> </w:t>
      </w:r>
      <w:r w:rsidR="00806390">
        <w:rPr>
          <w:rFonts w:ascii="Arial" w:hAnsi="Arial" w:cs="Arial"/>
          <w:b/>
          <w:sz w:val="26"/>
          <w:szCs w:val="26"/>
        </w:rPr>
        <w:t>Subacute Care</w:t>
      </w:r>
      <w:r w:rsidR="00023D07" w:rsidRPr="00D96B8D">
        <w:rPr>
          <w:rFonts w:ascii="Arial" w:hAnsi="Arial" w:cs="Arial"/>
          <w:b/>
          <w:sz w:val="26"/>
          <w:szCs w:val="26"/>
        </w:rPr>
        <w:t xml:space="preserve"> Implementation Plan</w:t>
      </w:r>
    </w:p>
    <w:p w:rsidR="006956B2" w:rsidRDefault="006956B2" w:rsidP="00980C08">
      <w:pPr>
        <w:rPr>
          <w:sz w:val="12"/>
          <w:szCs w:val="12"/>
        </w:rPr>
      </w:pPr>
      <w:r>
        <w:rPr>
          <w:rFonts w:ascii="Arial" w:hAnsi="Arial" w:cs="Arial"/>
          <w:b/>
          <w:sz w:val="26"/>
          <w:szCs w:val="26"/>
        </w:rPr>
        <w:t>National Partnership Agreement on Hospital and Health Workforce Reform – Schedule C</w:t>
      </w:r>
    </w:p>
    <w:p w:rsidR="00D13D2E" w:rsidRDefault="00D13D2E" w:rsidP="00D13D2E">
      <w:pPr>
        <w:rPr>
          <w:sz w:val="12"/>
          <w:szCs w:val="12"/>
        </w:rPr>
      </w:pPr>
    </w:p>
    <w:p w:rsidR="00B212E4" w:rsidRDefault="00B212E4" w:rsidP="00D13D2E">
      <w:pPr>
        <w:rPr>
          <w:sz w:val="12"/>
          <w:szCs w:val="12"/>
        </w:rPr>
      </w:pPr>
    </w:p>
    <w:p w:rsidR="00E832F5" w:rsidRDefault="00E832F5" w:rsidP="00806390">
      <w:pPr>
        <w:ind w:left="1134" w:hanging="1134"/>
        <w:rPr>
          <w:rFonts w:ascii="Arial" w:hAnsi="Arial" w:cs="Arial"/>
          <w:b/>
          <w:sz w:val="22"/>
          <w:szCs w:val="22"/>
        </w:rPr>
      </w:pPr>
      <w:r w:rsidRPr="006956B2">
        <w:rPr>
          <w:rFonts w:ascii="Arial" w:hAnsi="Arial" w:cs="Arial"/>
          <w:b/>
          <w:sz w:val="22"/>
          <w:szCs w:val="22"/>
        </w:rPr>
        <w:t>July</w:t>
      </w:r>
      <w:r w:rsidR="006E5CA7">
        <w:rPr>
          <w:rFonts w:ascii="Arial" w:hAnsi="Arial" w:cs="Arial"/>
          <w:b/>
          <w:sz w:val="22"/>
          <w:szCs w:val="22"/>
        </w:rPr>
        <w:t xml:space="preserve"> 201</w:t>
      </w:r>
      <w:r w:rsidR="00402045">
        <w:rPr>
          <w:rFonts w:ascii="Arial" w:hAnsi="Arial" w:cs="Arial"/>
          <w:b/>
          <w:sz w:val="22"/>
          <w:szCs w:val="22"/>
        </w:rPr>
        <w:t>2</w:t>
      </w:r>
      <w:r w:rsidRPr="006956B2">
        <w:rPr>
          <w:rFonts w:ascii="Arial" w:hAnsi="Arial" w:cs="Arial"/>
          <w:b/>
          <w:sz w:val="22"/>
          <w:szCs w:val="22"/>
        </w:rPr>
        <w:t xml:space="preserve"> – </w:t>
      </w:r>
      <w:r w:rsidR="006E5CA7">
        <w:rPr>
          <w:rFonts w:ascii="Arial" w:hAnsi="Arial" w:cs="Arial"/>
          <w:b/>
          <w:sz w:val="22"/>
          <w:szCs w:val="22"/>
        </w:rPr>
        <w:t>June 201</w:t>
      </w:r>
      <w:r w:rsidR="00402045">
        <w:rPr>
          <w:rFonts w:ascii="Arial" w:hAnsi="Arial" w:cs="Arial"/>
          <w:b/>
          <w:sz w:val="22"/>
          <w:szCs w:val="22"/>
        </w:rPr>
        <w:t>3</w:t>
      </w:r>
    </w:p>
    <w:p w:rsidR="001C67F5" w:rsidRDefault="001C67F5" w:rsidP="00D13D2E">
      <w:pPr>
        <w:rPr>
          <w:sz w:val="12"/>
          <w:szCs w:val="12"/>
        </w:rPr>
      </w:pPr>
    </w:p>
    <w:p w:rsidR="00430BBE" w:rsidRDefault="00430BBE" w:rsidP="00D13D2E">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3384"/>
        <w:gridCol w:w="2877"/>
        <w:gridCol w:w="4441"/>
      </w:tblGrid>
      <w:tr w:rsidR="00430BBE" w:rsidRPr="002A4C38" w:rsidTr="002A4C38">
        <w:tc>
          <w:tcPr>
            <w:tcW w:w="14785" w:type="dxa"/>
            <w:gridSpan w:val="4"/>
            <w:shd w:val="clear" w:color="auto" w:fill="0C0C0C"/>
          </w:tcPr>
          <w:p w:rsidR="00430BBE" w:rsidRPr="002A4C38" w:rsidRDefault="00430BBE" w:rsidP="00D13D2E">
            <w:pPr>
              <w:rPr>
                <w:rFonts w:ascii="Arial" w:hAnsi="Arial" w:cs="Arial"/>
                <w:b/>
                <w:color w:val="FFFFFF"/>
                <w:sz w:val="22"/>
                <w:szCs w:val="22"/>
              </w:rPr>
            </w:pPr>
            <w:r w:rsidRPr="002A4C38">
              <w:rPr>
                <w:rFonts w:ascii="Arial" w:hAnsi="Arial" w:cs="Arial"/>
                <w:b/>
                <w:color w:val="FFFFFF"/>
                <w:sz w:val="22"/>
                <w:szCs w:val="22"/>
              </w:rPr>
              <w:t>Summary of Progress</w:t>
            </w:r>
          </w:p>
        </w:tc>
      </w:tr>
      <w:tr w:rsidR="00430BBE" w:rsidRPr="002A4C38" w:rsidTr="002A4C38">
        <w:tc>
          <w:tcPr>
            <w:tcW w:w="14785" w:type="dxa"/>
            <w:gridSpan w:val="4"/>
            <w:shd w:val="clear" w:color="auto" w:fill="auto"/>
          </w:tcPr>
          <w:p w:rsidR="00B212E4" w:rsidRDefault="00100F35" w:rsidP="00041270">
            <w:pPr>
              <w:rPr>
                <w:szCs w:val="24"/>
              </w:rPr>
            </w:pPr>
            <w:r>
              <w:rPr>
                <w:szCs w:val="24"/>
              </w:rPr>
              <w:t>In December 2008 the Victorian State Government provided fundi</w:t>
            </w:r>
            <w:r w:rsidR="00C25E0A">
              <w:rPr>
                <w:szCs w:val="24"/>
              </w:rPr>
              <w:t>ng to sub</w:t>
            </w:r>
            <w:r>
              <w:rPr>
                <w:szCs w:val="24"/>
              </w:rPr>
              <w:t>acute services as part of the ‘Victorian Bed Strategy’. This included an additional full year effect of $36 m</w:t>
            </w:r>
            <w:r w:rsidR="00C25E0A">
              <w:rPr>
                <w:szCs w:val="24"/>
              </w:rPr>
              <w:t>illion encompassing 170 new sub</w:t>
            </w:r>
            <w:r>
              <w:rPr>
                <w:szCs w:val="24"/>
              </w:rPr>
              <w:t xml:space="preserve">acute beds across rehabilitation, geriatric evaluation and management (GEM), palliative care and restorative care, $2.5 million for Rehabilitation in the Home (RITH), $2.5 million for Residential Aged Care Clinical In-reach programs and $1 million one-off funding for capital improvements. In 2009-10 recurrent funding of $35 million was allocated to sustain the Bed Strategy. This will result in expenditure of greater than $140 million </w:t>
            </w:r>
            <w:r w:rsidR="008E7692">
              <w:rPr>
                <w:szCs w:val="24"/>
              </w:rPr>
              <w:t xml:space="preserve">(when including capital and indexation) over the life of the Subacute NPA which is in excess of </w:t>
            </w:r>
            <w:smartTag w:uri="urn:schemas-microsoft-com:office:smarttags" w:element="place">
              <w:smartTag w:uri="urn:schemas-microsoft-com:office:smarttags" w:element="State">
                <w:r w:rsidR="008E7692">
                  <w:rPr>
                    <w:szCs w:val="24"/>
                  </w:rPr>
                  <w:t>Victoria</w:t>
                </w:r>
              </w:smartTag>
            </w:smartTag>
            <w:r w:rsidR="008E7692">
              <w:rPr>
                <w:szCs w:val="24"/>
              </w:rPr>
              <w:t xml:space="preserve">’s allocation of $125 million. </w:t>
            </w:r>
          </w:p>
          <w:p w:rsidR="008E7692" w:rsidRDefault="008E7692" w:rsidP="00041270">
            <w:pPr>
              <w:rPr>
                <w:szCs w:val="24"/>
              </w:rPr>
            </w:pPr>
          </w:p>
          <w:p w:rsidR="008E7692" w:rsidRPr="00100F35" w:rsidRDefault="008E7692" w:rsidP="00041270">
            <w:pPr>
              <w:rPr>
                <w:szCs w:val="24"/>
              </w:rPr>
            </w:pPr>
            <w:smartTag w:uri="urn:schemas-microsoft-com:office:smarttags" w:element="place">
              <w:smartTag w:uri="urn:schemas-microsoft-com:office:smarttags" w:element="State">
                <w:r>
                  <w:rPr>
                    <w:szCs w:val="24"/>
                  </w:rPr>
                  <w:t>Victoria</w:t>
                </w:r>
              </w:smartTag>
            </w:smartTag>
            <w:r>
              <w:rPr>
                <w:szCs w:val="24"/>
              </w:rPr>
              <w:t xml:space="preserve"> </w:t>
            </w:r>
            <w:r w:rsidR="0089617B">
              <w:rPr>
                <w:szCs w:val="24"/>
              </w:rPr>
              <w:t xml:space="preserve">has </w:t>
            </w:r>
            <w:r>
              <w:rPr>
                <w:szCs w:val="24"/>
              </w:rPr>
              <w:t>implement</w:t>
            </w:r>
            <w:r w:rsidR="0089617B">
              <w:rPr>
                <w:szCs w:val="24"/>
              </w:rPr>
              <w:t>ed</w:t>
            </w:r>
            <w:r>
              <w:rPr>
                <w:szCs w:val="24"/>
              </w:rPr>
              <w:t xml:space="preserve"> the </w:t>
            </w:r>
            <w:r w:rsidR="00C25E0A">
              <w:rPr>
                <w:szCs w:val="24"/>
              </w:rPr>
              <w:t>Subacute</w:t>
            </w:r>
            <w:r>
              <w:rPr>
                <w:szCs w:val="24"/>
              </w:rPr>
              <w:t xml:space="preserve"> NPA as outlined in the agreed Implementation Plan. An improvement plan in service mix </w:t>
            </w:r>
            <w:r w:rsidR="0089617B">
              <w:rPr>
                <w:szCs w:val="24"/>
              </w:rPr>
              <w:t>has been</w:t>
            </w:r>
            <w:r>
              <w:rPr>
                <w:szCs w:val="24"/>
              </w:rPr>
              <w:t xml:space="preserve"> developed via the implementation of strategies such as the </w:t>
            </w:r>
            <w:r w:rsidR="00C25E0A">
              <w:rPr>
                <w:szCs w:val="24"/>
              </w:rPr>
              <w:t>Subacute</w:t>
            </w:r>
            <w:r>
              <w:rPr>
                <w:szCs w:val="24"/>
              </w:rPr>
              <w:t xml:space="preserve"> Services Planning Framework, Health Independence Programs </w:t>
            </w:r>
            <w:r w:rsidR="00371F11">
              <w:rPr>
                <w:szCs w:val="24"/>
              </w:rPr>
              <w:t>(HIP) guid</w:t>
            </w:r>
            <w:r>
              <w:rPr>
                <w:szCs w:val="24"/>
              </w:rPr>
              <w:t xml:space="preserve">elines, palliative care outcome measures and clinical indicators and embedding of improved workforce models.  </w:t>
            </w:r>
          </w:p>
          <w:p w:rsidR="009D34E3" w:rsidRPr="002A4C38" w:rsidRDefault="009D34E3" w:rsidP="00F14852">
            <w:pPr>
              <w:rPr>
                <w:szCs w:val="24"/>
              </w:rPr>
            </w:pPr>
          </w:p>
        </w:tc>
      </w:tr>
      <w:tr w:rsidR="00CE5C7E" w:rsidRPr="002A4C38" w:rsidTr="002A4C38">
        <w:tc>
          <w:tcPr>
            <w:tcW w:w="4083" w:type="dxa"/>
            <w:shd w:val="clear" w:color="auto" w:fill="000000"/>
          </w:tcPr>
          <w:p w:rsidR="00CE5C7E" w:rsidRPr="002A4C38" w:rsidRDefault="00F14852" w:rsidP="00B923AC">
            <w:pPr>
              <w:rPr>
                <w:rFonts w:ascii="Arial" w:hAnsi="Arial" w:cs="Arial"/>
                <w:b/>
                <w:color w:val="FFFFFF"/>
                <w:sz w:val="22"/>
                <w:szCs w:val="22"/>
              </w:rPr>
            </w:pPr>
            <w:r w:rsidRPr="002A4C38">
              <w:rPr>
                <w:rFonts w:ascii="Arial" w:hAnsi="Arial" w:cs="Arial"/>
                <w:b/>
                <w:color w:val="FFFFFF"/>
                <w:sz w:val="22"/>
                <w:szCs w:val="22"/>
              </w:rPr>
              <w:t>Key d</w:t>
            </w:r>
            <w:r w:rsidR="00CE5C7E" w:rsidRPr="002A4C38">
              <w:rPr>
                <w:rFonts w:ascii="Arial" w:hAnsi="Arial" w:cs="Arial"/>
                <w:b/>
                <w:color w:val="FFFFFF"/>
                <w:sz w:val="22"/>
                <w:szCs w:val="22"/>
              </w:rPr>
              <w:t xml:space="preserve">eliverables </w:t>
            </w:r>
          </w:p>
        </w:tc>
        <w:tc>
          <w:tcPr>
            <w:tcW w:w="3384" w:type="dxa"/>
            <w:shd w:val="clear" w:color="auto" w:fill="000000"/>
          </w:tcPr>
          <w:p w:rsidR="00CE5C7E" w:rsidRPr="002A4C38" w:rsidRDefault="00F14852" w:rsidP="00B923AC">
            <w:pPr>
              <w:rPr>
                <w:rFonts w:ascii="Arial" w:hAnsi="Arial" w:cs="Arial"/>
                <w:b/>
                <w:color w:val="FFFFFF"/>
                <w:sz w:val="22"/>
                <w:szCs w:val="22"/>
              </w:rPr>
            </w:pPr>
            <w:r w:rsidRPr="002A4C38">
              <w:rPr>
                <w:rFonts w:ascii="Arial" w:hAnsi="Arial" w:cs="Arial"/>
                <w:b/>
                <w:color w:val="FFFFFF"/>
                <w:sz w:val="22"/>
                <w:szCs w:val="22"/>
              </w:rPr>
              <w:t>Progress and timing</w:t>
            </w:r>
          </w:p>
        </w:tc>
        <w:tc>
          <w:tcPr>
            <w:tcW w:w="2877" w:type="dxa"/>
            <w:shd w:val="clear" w:color="auto" w:fill="000000"/>
          </w:tcPr>
          <w:p w:rsidR="00CE5C7E" w:rsidRPr="002A4C38" w:rsidRDefault="00F14852" w:rsidP="00B923AC">
            <w:pPr>
              <w:rPr>
                <w:rFonts w:ascii="Arial" w:hAnsi="Arial" w:cs="Arial"/>
                <w:b/>
                <w:color w:val="FFFFFF"/>
                <w:sz w:val="22"/>
                <w:szCs w:val="22"/>
              </w:rPr>
            </w:pPr>
            <w:r w:rsidRPr="002A4C38">
              <w:rPr>
                <w:rFonts w:ascii="Arial" w:hAnsi="Arial" w:cs="Arial"/>
                <w:b/>
                <w:color w:val="FFFFFF"/>
                <w:sz w:val="22"/>
                <w:szCs w:val="22"/>
              </w:rPr>
              <w:t>Allocation of NPA funding</w:t>
            </w:r>
          </w:p>
        </w:tc>
        <w:tc>
          <w:tcPr>
            <w:tcW w:w="4441" w:type="dxa"/>
            <w:shd w:val="clear" w:color="auto" w:fill="000000"/>
          </w:tcPr>
          <w:p w:rsidR="00CE5C7E" w:rsidRPr="002A4C38" w:rsidRDefault="00CE5C7E" w:rsidP="00B923AC">
            <w:pPr>
              <w:rPr>
                <w:rFonts w:ascii="Arial" w:hAnsi="Arial" w:cs="Arial"/>
                <w:b/>
                <w:color w:val="FFFFFF"/>
                <w:sz w:val="22"/>
                <w:szCs w:val="22"/>
              </w:rPr>
            </w:pPr>
            <w:r w:rsidRPr="002A4C38">
              <w:rPr>
                <w:rFonts w:ascii="Arial" w:hAnsi="Arial" w:cs="Arial"/>
                <w:b/>
                <w:color w:val="FFFFFF"/>
                <w:sz w:val="22"/>
                <w:szCs w:val="22"/>
              </w:rPr>
              <w:t>Comments</w:t>
            </w:r>
          </w:p>
        </w:tc>
      </w:tr>
      <w:tr w:rsidR="000F63EC" w:rsidTr="002A4C38">
        <w:trPr>
          <w:trHeight w:val="2139"/>
        </w:trPr>
        <w:tc>
          <w:tcPr>
            <w:tcW w:w="4083" w:type="dxa"/>
            <w:shd w:val="clear" w:color="auto" w:fill="auto"/>
          </w:tcPr>
          <w:p w:rsidR="000F63EC" w:rsidRDefault="000F63EC" w:rsidP="00CE5C7E">
            <w:pPr>
              <w:rPr>
                <w:b/>
              </w:rPr>
            </w:pPr>
            <w:r>
              <w:rPr>
                <w:b/>
              </w:rPr>
              <w:t xml:space="preserve">Implementation of the </w:t>
            </w:r>
            <w:r w:rsidR="00C25E0A">
              <w:rPr>
                <w:b/>
              </w:rPr>
              <w:t>Subacute</w:t>
            </w:r>
            <w:r>
              <w:rPr>
                <w:b/>
              </w:rPr>
              <w:t xml:space="preserve"> Services Planning Framework (SSPF)</w:t>
            </w:r>
          </w:p>
          <w:p w:rsidR="000F63EC" w:rsidRPr="008E7692" w:rsidRDefault="000F63EC" w:rsidP="00CE5C7E">
            <w:r>
              <w:t xml:space="preserve">Guide for allocation of funding from the ‘Victorian Bed Strategy’ and state funded initiatives. </w:t>
            </w:r>
          </w:p>
        </w:tc>
        <w:tc>
          <w:tcPr>
            <w:tcW w:w="3384" w:type="dxa"/>
            <w:shd w:val="clear" w:color="auto" w:fill="auto"/>
          </w:tcPr>
          <w:p w:rsidR="000F63EC" w:rsidRPr="008E7692" w:rsidRDefault="000F63EC" w:rsidP="00CE5C7E">
            <w:r>
              <w:t>Continued establishment of services funded through the Victorian Bed Strategy</w:t>
            </w:r>
            <w:r w:rsidR="003D4C87">
              <w:t>.</w:t>
            </w:r>
            <w:r>
              <w:t xml:space="preserve"> </w:t>
            </w:r>
          </w:p>
        </w:tc>
        <w:tc>
          <w:tcPr>
            <w:tcW w:w="2877" w:type="dxa"/>
            <w:shd w:val="clear" w:color="auto" w:fill="auto"/>
          </w:tcPr>
          <w:p w:rsidR="000F63EC" w:rsidRPr="008E7692" w:rsidRDefault="000F63EC" w:rsidP="002A4C38">
            <w:pPr>
              <w:tabs>
                <w:tab w:val="left" w:pos="251"/>
              </w:tabs>
            </w:pPr>
            <w:r>
              <w:t>See attached “Bed Strategy” document for allocation</w:t>
            </w:r>
          </w:p>
        </w:tc>
        <w:tc>
          <w:tcPr>
            <w:tcW w:w="4441" w:type="dxa"/>
            <w:vMerge w:val="restart"/>
            <w:shd w:val="clear" w:color="auto" w:fill="auto"/>
          </w:tcPr>
          <w:p w:rsidR="003D3D17" w:rsidRDefault="003D3D17" w:rsidP="00806390">
            <w:r>
              <w:t xml:space="preserve">Rural and Metropolitan health services have completed an audit of subacute services against the framework. The department has collated data and has reported the findings back to health services and departmental regional contacts for benchmarking purposes. </w:t>
            </w:r>
          </w:p>
          <w:p w:rsidR="00372DC5" w:rsidRDefault="00372DC5" w:rsidP="00806390"/>
          <w:p w:rsidR="00381C1C" w:rsidRDefault="00381C1C" w:rsidP="00806390"/>
          <w:p w:rsidR="00402045" w:rsidRDefault="003D3D17" w:rsidP="00806390">
            <w:r>
              <w:t xml:space="preserve">A </w:t>
            </w:r>
            <w:r w:rsidR="003D4C87">
              <w:t xml:space="preserve">second </w:t>
            </w:r>
            <w:r>
              <w:t>refresh of subacute</w:t>
            </w:r>
            <w:r w:rsidR="000F63EC">
              <w:t xml:space="preserve"> access </w:t>
            </w:r>
            <w:r>
              <w:t xml:space="preserve">planning </w:t>
            </w:r>
            <w:r w:rsidR="000F63EC">
              <w:t xml:space="preserve">benchmarks based on 2010-11 data </w:t>
            </w:r>
            <w:r w:rsidR="00402045">
              <w:t>has been completed. The SSPF has been developed to include additional ambulatory subacute services - Hospital Admission Risk Program.</w:t>
            </w:r>
          </w:p>
          <w:p w:rsidR="00402045" w:rsidRDefault="00402045" w:rsidP="00806390"/>
          <w:p w:rsidR="000F63EC" w:rsidRDefault="000F63EC" w:rsidP="00806390">
            <w:r>
              <w:t xml:space="preserve">Information </w:t>
            </w:r>
            <w:r w:rsidR="003D4C87">
              <w:t xml:space="preserve">being </w:t>
            </w:r>
            <w:r>
              <w:t xml:space="preserve">used to inform subacute planning. </w:t>
            </w:r>
          </w:p>
          <w:p w:rsidR="000F63EC" w:rsidRDefault="000F63EC" w:rsidP="00806390"/>
          <w:p w:rsidR="000F63EC" w:rsidRPr="008E7692" w:rsidRDefault="000F63EC" w:rsidP="00806390"/>
        </w:tc>
      </w:tr>
      <w:tr w:rsidR="000F63EC" w:rsidTr="002A4C38">
        <w:trPr>
          <w:trHeight w:val="2139"/>
        </w:trPr>
        <w:tc>
          <w:tcPr>
            <w:tcW w:w="4083" w:type="dxa"/>
            <w:shd w:val="clear" w:color="auto" w:fill="auto"/>
          </w:tcPr>
          <w:p w:rsidR="000F63EC" w:rsidRPr="008E7692" w:rsidRDefault="000F63EC" w:rsidP="00CE5C7E">
            <w:r>
              <w:lastRenderedPageBreak/>
              <w:t xml:space="preserve">Development of metropolitan and rural and regional implementation plans that map current service provision against the SSPF to identify gaps. </w:t>
            </w:r>
          </w:p>
        </w:tc>
        <w:tc>
          <w:tcPr>
            <w:tcW w:w="3384" w:type="dxa"/>
            <w:shd w:val="clear" w:color="auto" w:fill="auto"/>
          </w:tcPr>
          <w:p w:rsidR="000F63EC" w:rsidRPr="008E7692" w:rsidRDefault="000F63EC" w:rsidP="00CE5C7E">
            <w:r>
              <w:t>August 2009</w:t>
            </w:r>
          </w:p>
        </w:tc>
        <w:tc>
          <w:tcPr>
            <w:tcW w:w="2877" w:type="dxa"/>
            <w:shd w:val="clear" w:color="auto" w:fill="auto"/>
          </w:tcPr>
          <w:p w:rsidR="000F63EC" w:rsidRPr="008E7692" w:rsidRDefault="000F63EC" w:rsidP="002A4C38">
            <w:pPr>
              <w:tabs>
                <w:tab w:val="left" w:pos="251"/>
              </w:tabs>
            </w:pPr>
            <w:r>
              <w:t xml:space="preserve">State funded </w:t>
            </w:r>
          </w:p>
        </w:tc>
        <w:tc>
          <w:tcPr>
            <w:tcW w:w="4441" w:type="dxa"/>
            <w:vMerge/>
            <w:shd w:val="clear" w:color="auto" w:fill="auto"/>
          </w:tcPr>
          <w:p w:rsidR="000F63EC" w:rsidRPr="002A4C38" w:rsidRDefault="000F63EC" w:rsidP="00806390">
            <w:pPr>
              <w:rPr>
                <w:i/>
              </w:rPr>
            </w:pPr>
          </w:p>
        </w:tc>
      </w:tr>
      <w:tr w:rsidR="000F63EC" w:rsidTr="002A4C38">
        <w:trPr>
          <w:trHeight w:val="2139"/>
        </w:trPr>
        <w:tc>
          <w:tcPr>
            <w:tcW w:w="4083" w:type="dxa"/>
            <w:shd w:val="clear" w:color="auto" w:fill="auto"/>
          </w:tcPr>
          <w:p w:rsidR="000F63EC" w:rsidRDefault="000F63EC" w:rsidP="00CE5C7E">
            <w:r>
              <w:lastRenderedPageBreak/>
              <w:t xml:space="preserve">Refresh of the access benchmarks and forecasting models with </w:t>
            </w:r>
            <w:r w:rsidR="00372DC5">
              <w:t xml:space="preserve">most recent </w:t>
            </w:r>
            <w:r>
              <w:t xml:space="preserve">activity data. </w:t>
            </w:r>
          </w:p>
        </w:tc>
        <w:tc>
          <w:tcPr>
            <w:tcW w:w="3384" w:type="dxa"/>
            <w:shd w:val="clear" w:color="auto" w:fill="auto"/>
          </w:tcPr>
          <w:p w:rsidR="000F63EC" w:rsidRDefault="000F63EC" w:rsidP="00CE5C7E">
            <w:r>
              <w:t>October 2012</w:t>
            </w:r>
          </w:p>
        </w:tc>
        <w:tc>
          <w:tcPr>
            <w:tcW w:w="2877" w:type="dxa"/>
            <w:shd w:val="clear" w:color="auto" w:fill="auto"/>
          </w:tcPr>
          <w:p w:rsidR="000F63EC" w:rsidRDefault="000F63EC" w:rsidP="002A4C38">
            <w:pPr>
              <w:tabs>
                <w:tab w:val="left" w:pos="251"/>
              </w:tabs>
            </w:pPr>
            <w:r>
              <w:t>State funded</w:t>
            </w:r>
          </w:p>
        </w:tc>
        <w:tc>
          <w:tcPr>
            <w:tcW w:w="4441" w:type="dxa"/>
            <w:vMerge/>
            <w:shd w:val="clear" w:color="auto" w:fill="auto"/>
          </w:tcPr>
          <w:p w:rsidR="000F63EC" w:rsidRPr="002A4C38" w:rsidRDefault="000F63EC" w:rsidP="00806390">
            <w:pPr>
              <w:rPr>
                <w:i/>
              </w:rPr>
            </w:pPr>
          </w:p>
        </w:tc>
      </w:tr>
      <w:tr w:rsidR="00777CE7" w:rsidTr="002A4C38">
        <w:trPr>
          <w:trHeight w:val="2139"/>
        </w:trPr>
        <w:tc>
          <w:tcPr>
            <w:tcW w:w="4083" w:type="dxa"/>
            <w:shd w:val="clear" w:color="auto" w:fill="auto"/>
          </w:tcPr>
          <w:p w:rsidR="00777CE7" w:rsidRDefault="00777CE7" w:rsidP="00CE5C7E">
            <w:pPr>
              <w:rPr>
                <w:b/>
              </w:rPr>
            </w:pPr>
            <w:r>
              <w:rPr>
                <w:b/>
              </w:rPr>
              <w:t xml:space="preserve">Health </w:t>
            </w:r>
            <w:smartTag w:uri="urn:schemas-microsoft-com:office:smarttags" w:element="place">
              <w:smartTag w:uri="urn:schemas-microsoft-com:office:smarttags" w:element="City">
                <w:r>
                  <w:rPr>
                    <w:b/>
                  </w:rPr>
                  <w:t>Independence</w:t>
                </w:r>
              </w:smartTag>
            </w:smartTag>
            <w:r>
              <w:rPr>
                <w:b/>
              </w:rPr>
              <w:t xml:space="preserve"> Program</w:t>
            </w:r>
            <w:r w:rsidR="00BD3B23">
              <w:rPr>
                <w:b/>
              </w:rPr>
              <w:t>s</w:t>
            </w:r>
            <w:r>
              <w:rPr>
                <w:b/>
              </w:rPr>
              <w:t xml:space="preserve"> Implementation</w:t>
            </w:r>
          </w:p>
          <w:p w:rsidR="00777CE7" w:rsidRDefault="00777CE7" w:rsidP="00CE5C7E">
            <w:r>
              <w:t>Health services completed self assessment against each of the HIP guidelines</w:t>
            </w:r>
            <w:r w:rsidR="003D3D17">
              <w:t xml:space="preserve"> and completed implementation plans for eight key priority areas:</w:t>
            </w:r>
          </w:p>
          <w:p w:rsidR="003D3D17" w:rsidRDefault="003D3D17" w:rsidP="003D3D17">
            <w:pPr>
              <w:numPr>
                <w:ilvl w:val="0"/>
                <w:numId w:val="3"/>
              </w:numPr>
            </w:pPr>
            <w:r>
              <w:t>Access</w:t>
            </w:r>
          </w:p>
          <w:p w:rsidR="003D3D17" w:rsidRDefault="003D3D17" w:rsidP="003D3D17">
            <w:pPr>
              <w:numPr>
                <w:ilvl w:val="0"/>
                <w:numId w:val="3"/>
              </w:numPr>
            </w:pPr>
            <w:r>
              <w:t>Initial needs identification</w:t>
            </w:r>
          </w:p>
          <w:p w:rsidR="003D3D17" w:rsidRDefault="003D3D17" w:rsidP="003D3D17">
            <w:pPr>
              <w:numPr>
                <w:ilvl w:val="0"/>
                <w:numId w:val="3"/>
              </w:numPr>
            </w:pPr>
            <w:r>
              <w:t>Appropriate setting</w:t>
            </w:r>
          </w:p>
          <w:p w:rsidR="003D3D17" w:rsidRDefault="003D3D17" w:rsidP="003D3D17">
            <w:pPr>
              <w:numPr>
                <w:ilvl w:val="0"/>
                <w:numId w:val="3"/>
              </w:numPr>
            </w:pPr>
            <w:r>
              <w:t>Corporate governance</w:t>
            </w:r>
          </w:p>
          <w:p w:rsidR="003D3D17" w:rsidRDefault="003D3D17" w:rsidP="003D3D17">
            <w:pPr>
              <w:numPr>
                <w:ilvl w:val="0"/>
                <w:numId w:val="3"/>
              </w:numPr>
            </w:pPr>
            <w:r>
              <w:t>Care coordinator</w:t>
            </w:r>
          </w:p>
          <w:p w:rsidR="003D3D17" w:rsidRDefault="003D3D17" w:rsidP="003D3D17">
            <w:pPr>
              <w:numPr>
                <w:ilvl w:val="0"/>
                <w:numId w:val="3"/>
              </w:numPr>
            </w:pPr>
            <w:r>
              <w:t>Assessment</w:t>
            </w:r>
          </w:p>
          <w:p w:rsidR="003D3D17" w:rsidRDefault="003D3D17" w:rsidP="003D3D17">
            <w:pPr>
              <w:numPr>
                <w:ilvl w:val="0"/>
                <w:numId w:val="3"/>
              </w:numPr>
            </w:pPr>
            <w:r>
              <w:t>Transition and exit</w:t>
            </w:r>
          </w:p>
          <w:p w:rsidR="003D3D17" w:rsidRPr="00371F11" w:rsidRDefault="003D3D17" w:rsidP="003D3D17">
            <w:pPr>
              <w:numPr>
                <w:ilvl w:val="0"/>
                <w:numId w:val="3"/>
              </w:numPr>
            </w:pPr>
            <w:r>
              <w:t>Interdisciplinary approach</w:t>
            </w:r>
          </w:p>
        </w:tc>
        <w:tc>
          <w:tcPr>
            <w:tcW w:w="3384" w:type="dxa"/>
            <w:shd w:val="clear" w:color="auto" w:fill="auto"/>
          </w:tcPr>
          <w:p w:rsidR="00777CE7" w:rsidRDefault="00777CE7" w:rsidP="00CE5C7E">
            <w:r>
              <w:t>July 2009</w:t>
            </w:r>
          </w:p>
        </w:tc>
        <w:tc>
          <w:tcPr>
            <w:tcW w:w="2877" w:type="dxa"/>
            <w:shd w:val="clear" w:color="auto" w:fill="auto"/>
          </w:tcPr>
          <w:p w:rsidR="00777CE7" w:rsidRDefault="00777CE7" w:rsidP="002A4C38">
            <w:pPr>
              <w:tabs>
                <w:tab w:val="left" w:pos="251"/>
              </w:tabs>
            </w:pPr>
            <w:r>
              <w:t>State Funded</w:t>
            </w:r>
          </w:p>
        </w:tc>
        <w:tc>
          <w:tcPr>
            <w:tcW w:w="4441" w:type="dxa"/>
            <w:shd w:val="clear" w:color="auto" w:fill="auto"/>
          </w:tcPr>
          <w:p w:rsidR="00777CE7" w:rsidRDefault="00777CE7" w:rsidP="00806390">
            <w:r w:rsidRPr="00777CE7">
              <w:t>Implementation plans have been completed and are being action</w:t>
            </w:r>
            <w:r>
              <w:t>ed</w:t>
            </w:r>
            <w:r w:rsidRPr="00777CE7">
              <w:t xml:space="preserve"> by health services. </w:t>
            </w:r>
          </w:p>
          <w:p w:rsidR="00777CE7" w:rsidRDefault="00777CE7" w:rsidP="00806390"/>
          <w:p w:rsidR="00777CE7" w:rsidRDefault="00777CE7" w:rsidP="00806390"/>
          <w:p w:rsidR="00777CE7" w:rsidRDefault="00777CE7" w:rsidP="00806390"/>
          <w:p w:rsidR="00777CE7" w:rsidRPr="00777CE7" w:rsidRDefault="00777CE7" w:rsidP="00806390"/>
        </w:tc>
      </w:tr>
      <w:tr w:rsidR="00777CE7" w:rsidTr="002A4C38">
        <w:trPr>
          <w:trHeight w:val="2139"/>
        </w:trPr>
        <w:tc>
          <w:tcPr>
            <w:tcW w:w="4083" w:type="dxa"/>
            <w:shd w:val="clear" w:color="auto" w:fill="auto"/>
          </w:tcPr>
          <w:p w:rsidR="00777CE7" w:rsidRDefault="00777CE7" w:rsidP="00CE5C7E">
            <w:pPr>
              <w:rPr>
                <w:b/>
              </w:rPr>
            </w:pPr>
            <w:r w:rsidRPr="00777CE7">
              <w:rPr>
                <w:b/>
              </w:rPr>
              <w:lastRenderedPageBreak/>
              <w:t xml:space="preserve">Reforming Care Pathways </w:t>
            </w:r>
          </w:p>
          <w:p w:rsidR="00777CE7" w:rsidRDefault="00777CE7" w:rsidP="00CE5C7E">
            <w:pPr>
              <w:rPr>
                <w:i/>
              </w:rPr>
            </w:pPr>
            <w:r>
              <w:rPr>
                <w:i/>
              </w:rPr>
              <w:t>Elective Orthopaedic Pathway</w:t>
            </w:r>
          </w:p>
          <w:p w:rsidR="00777CE7" w:rsidRDefault="00777CE7" w:rsidP="00777CE7">
            <w:r>
              <w:t>The project aims are to:</w:t>
            </w:r>
          </w:p>
          <w:p w:rsidR="00777CE7" w:rsidRDefault="00777CE7" w:rsidP="00777CE7">
            <w:pPr>
              <w:numPr>
                <w:ilvl w:val="0"/>
                <w:numId w:val="4"/>
              </w:numPr>
            </w:pPr>
            <w:r>
              <w:t xml:space="preserve">improve the understanding of elective orthopaedic patient pathways across </w:t>
            </w:r>
            <w:smartTag w:uri="urn:schemas-microsoft-com:office:smarttags" w:element="place">
              <w:smartTag w:uri="urn:schemas-microsoft-com:office:smarttags" w:element="State">
                <w:r>
                  <w:t>Victoria</w:t>
                </w:r>
              </w:smartTag>
            </w:smartTag>
            <w:r>
              <w:t xml:space="preserve"> public hospitals</w:t>
            </w:r>
          </w:p>
          <w:p w:rsidR="00777CE7" w:rsidRDefault="00777CE7" w:rsidP="00777CE7">
            <w:pPr>
              <w:numPr>
                <w:ilvl w:val="0"/>
                <w:numId w:val="4"/>
              </w:numPr>
            </w:pPr>
            <w:r>
              <w:t>decrease patients’</w:t>
            </w:r>
            <w:r w:rsidR="00B325F6">
              <w:t xml:space="preserve"> acute inpatient length of stay</w:t>
            </w:r>
          </w:p>
          <w:p w:rsidR="00B325F6" w:rsidRDefault="00B325F6" w:rsidP="00777CE7">
            <w:pPr>
              <w:numPr>
                <w:ilvl w:val="0"/>
                <w:numId w:val="4"/>
              </w:numPr>
            </w:pPr>
            <w:r>
              <w:t>improve the linkage between acute and rehabilitation services (inpatient and ambulatory)</w:t>
            </w:r>
          </w:p>
          <w:p w:rsidR="00B325F6" w:rsidRDefault="00B325F6" w:rsidP="00777CE7">
            <w:pPr>
              <w:numPr>
                <w:ilvl w:val="0"/>
                <w:numId w:val="4"/>
              </w:numPr>
            </w:pPr>
            <w:r>
              <w:t>decrease the number of patients referred to inpatient rehabilitation and increase the referral to RITH services</w:t>
            </w:r>
          </w:p>
          <w:p w:rsidR="00B325F6" w:rsidRDefault="00B325F6" w:rsidP="00777CE7">
            <w:pPr>
              <w:numPr>
                <w:ilvl w:val="0"/>
                <w:numId w:val="4"/>
              </w:numPr>
            </w:pPr>
            <w:r>
              <w:t xml:space="preserve">reduce the variation in clinical pathways and timelines across health services </w:t>
            </w:r>
          </w:p>
          <w:p w:rsidR="00B325F6" w:rsidRDefault="00B325F6" w:rsidP="00777CE7">
            <w:pPr>
              <w:numPr>
                <w:ilvl w:val="0"/>
                <w:numId w:val="4"/>
              </w:numPr>
            </w:pPr>
            <w:r>
              <w:t>increase acute inpatient capacity for elective joint replacement patients</w:t>
            </w:r>
          </w:p>
          <w:p w:rsidR="00777CE7" w:rsidRPr="00777CE7" w:rsidRDefault="00777CE7" w:rsidP="00777CE7"/>
        </w:tc>
        <w:tc>
          <w:tcPr>
            <w:tcW w:w="3384" w:type="dxa"/>
            <w:shd w:val="clear" w:color="auto" w:fill="auto"/>
          </w:tcPr>
          <w:p w:rsidR="00777CE7" w:rsidRDefault="00777CE7" w:rsidP="00CE5C7E">
            <w:r>
              <w:t>Commenced 2009</w:t>
            </w:r>
          </w:p>
        </w:tc>
        <w:tc>
          <w:tcPr>
            <w:tcW w:w="2877" w:type="dxa"/>
            <w:shd w:val="clear" w:color="auto" w:fill="auto"/>
          </w:tcPr>
          <w:p w:rsidR="00777CE7" w:rsidRDefault="00777CE7" w:rsidP="002A4C38">
            <w:pPr>
              <w:tabs>
                <w:tab w:val="left" w:pos="251"/>
              </w:tabs>
            </w:pPr>
            <w:r>
              <w:t>$2.</w:t>
            </w:r>
            <w:r w:rsidR="008319C5">
              <w:t>73</w:t>
            </w:r>
            <w:r>
              <w:t xml:space="preserve"> M</w:t>
            </w:r>
          </w:p>
        </w:tc>
        <w:tc>
          <w:tcPr>
            <w:tcW w:w="4441" w:type="dxa"/>
            <w:shd w:val="clear" w:color="auto" w:fill="auto"/>
          </w:tcPr>
          <w:p w:rsidR="00777CE7" w:rsidRDefault="006A7A52" w:rsidP="00806390">
            <w:r>
              <w:t xml:space="preserve">11 health services implemented dedicated home-based rehabilitation services. </w:t>
            </w:r>
          </w:p>
          <w:p w:rsidR="006A7A52" w:rsidRDefault="006A7A52" w:rsidP="00806390"/>
          <w:p w:rsidR="00B325F6" w:rsidRPr="006A7A52" w:rsidRDefault="006A7A52" w:rsidP="00806390">
            <w:r w:rsidRPr="006A7A52">
              <w:t xml:space="preserve">Outcomes are reports </w:t>
            </w:r>
            <w:r w:rsidR="00B325F6" w:rsidRPr="006A7A52">
              <w:t xml:space="preserve">of improved systems and patient flow by allowing patients to be discharge (when clinically safe) to home with RITH. </w:t>
            </w:r>
            <w:r w:rsidR="00372DC5">
              <w:t>The model has</w:t>
            </w:r>
            <w:r w:rsidR="00B325F6" w:rsidRPr="006A7A52">
              <w:t xml:space="preserve"> be</w:t>
            </w:r>
            <w:r w:rsidR="00372DC5">
              <w:t xml:space="preserve">en </w:t>
            </w:r>
            <w:r w:rsidR="00B325F6" w:rsidRPr="006A7A52">
              <w:t xml:space="preserve">expanded to include other orthopaedic patient groups. </w:t>
            </w:r>
          </w:p>
          <w:p w:rsidR="00B325F6" w:rsidRPr="006152B4" w:rsidRDefault="00B325F6" w:rsidP="00806390">
            <w:pPr>
              <w:rPr>
                <w:highlight w:val="yellow"/>
              </w:rPr>
            </w:pPr>
          </w:p>
          <w:p w:rsidR="00B325F6" w:rsidRPr="006A7A52" w:rsidRDefault="00B93E5E" w:rsidP="00806390">
            <w:pPr>
              <w:rPr>
                <w:color w:val="000000"/>
                <w:szCs w:val="24"/>
                <w:highlight w:val="yellow"/>
              </w:rPr>
            </w:pPr>
            <w:r w:rsidRPr="00D00697">
              <w:rPr>
                <w:color w:val="000000"/>
                <w:szCs w:val="24"/>
              </w:rPr>
              <w:t xml:space="preserve">Analysis of data shows on average acute </w:t>
            </w:r>
            <w:r w:rsidR="00887461">
              <w:rPr>
                <w:color w:val="000000"/>
                <w:szCs w:val="24"/>
              </w:rPr>
              <w:t xml:space="preserve">length of stay </w:t>
            </w:r>
            <w:r w:rsidR="00D00697">
              <w:rPr>
                <w:color w:val="000000"/>
                <w:szCs w:val="24"/>
              </w:rPr>
              <w:t>at targeted health services</w:t>
            </w:r>
            <w:r w:rsidRPr="00D00697">
              <w:rPr>
                <w:color w:val="000000"/>
                <w:szCs w:val="24"/>
              </w:rPr>
              <w:t xml:space="preserve"> has decreased </w:t>
            </w:r>
            <w:r w:rsidR="006A7A52" w:rsidRPr="00D00697">
              <w:rPr>
                <w:color w:val="000000"/>
                <w:szCs w:val="24"/>
              </w:rPr>
              <w:t>1.7 days for hip replacement and</w:t>
            </w:r>
            <w:r w:rsidR="00372DC5">
              <w:rPr>
                <w:color w:val="000000"/>
                <w:szCs w:val="24"/>
              </w:rPr>
              <w:t xml:space="preserve"> 1.62 days for knee replacement</w:t>
            </w:r>
            <w:r w:rsidR="006A7A52" w:rsidRPr="00D00697">
              <w:rPr>
                <w:color w:val="000000"/>
                <w:szCs w:val="24"/>
              </w:rPr>
              <w:t xml:space="preserve">. </w:t>
            </w:r>
            <w:r w:rsidRPr="00D00697">
              <w:rPr>
                <w:color w:val="000000"/>
                <w:szCs w:val="24"/>
              </w:rPr>
              <w:t xml:space="preserve">This equates to approximately </w:t>
            </w:r>
            <w:r w:rsidR="006A7A52" w:rsidRPr="00D00697">
              <w:rPr>
                <w:color w:val="000000"/>
                <w:szCs w:val="24"/>
              </w:rPr>
              <w:t>6,354</w:t>
            </w:r>
            <w:r w:rsidRPr="00D00697">
              <w:rPr>
                <w:color w:val="000000"/>
                <w:szCs w:val="24"/>
              </w:rPr>
              <w:t xml:space="preserve"> acute beds days per annum</w:t>
            </w:r>
            <w:r w:rsidR="006A7A52" w:rsidRPr="00D00697">
              <w:rPr>
                <w:color w:val="000000"/>
                <w:szCs w:val="24"/>
              </w:rPr>
              <w:t>.</w:t>
            </w:r>
            <w:r w:rsidR="006A7A52">
              <w:rPr>
                <w:color w:val="000000"/>
                <w:szCs w:val="24"/>
              </w:rPr>
              <w:t xml:space="preserve"> </w:t>
            </w:r>
          </w:p>
        </w:tc>
      </w:tr>
      <w:tr w:rsidR="00777CE7" w:rsidTr="002A4C38">
        <w:trPr>
          <w:trHeight w:val="2139"/>
        </w:trPr>
        <w:tc>
          <w:tcPr>
            <w:tcW w:w="4083" w:type="dxa"/>
            <w:shd w:val="clear" w:color="auto" w:fill="auto"/>
          </w:tcPr>
          <w:p w:rsidR="00777CE7" w:rsidRDefault="00777CE7" w:rsidP="00CE5C7E">
            <w:pPr>
              <w:rPr>
                <w:i/>
              </w:rPr>
            </w:pPr>
            <w:r>
              <w:rPr>
                <w:i/>
              </w:rPr>
              <w:t>Geriatric Medicine Pathway</w:t>
            </w:r>
          </w:p>
          <w:p w:rsidR="000047BC" w:rsidRDefault="00777CE7" w:rsidP="00777CE7">
            <w:r>
              <w:t xml:space="preserve">Austin Health has opened a new 24 bed acute aged care ward on their </w:t>
            </w:r>
            <w:r w:rsidR="00C25E0A">
              <w:t>subacute</w:t>
            </w:r>
            <w:r>
              <w:t xml:space="preserve"> campus as part of an innovative model of care funded by the Bed Strategy</w:t>
            </w:r>
            <w:r w:rsidR="000047BC">
              <w:t xml:space="preserve">. </w:t>
            </w:r>
          </w:p>
          <w:p w:rsidR="000047BC" w:rsidRDefault="000047BC" w:rsidP="00777CE7"/>
          <w:p w:rsidR="00777CE7" w:rsidRPr="00777CE7" w:rsidRDefault="000047BC" w:rsidP="00777CE7">
            <w:r>
              <w:rPr>
                <w:szCs w:val="24"/>
              </w:rPr>
              <w:t>P</w:t>
            </w:r>
            <w:r w:rsidRPr="003D3D17">
              <w:rPr>
                <w:szCs w:val="24"/>
              </w:rPr>
              <w:t xml:space="preserve">ilot a GEM@ Home model to test the appropriateness of the model to respond to the care needs of older people </w:t>
            </w:r>
            <w:r w:rsidRPr="003D3D17">
              <w:rPr>
                <w:szCs w:val="24"/>
              </w:rPr>
              <w:lastRenderedPageBreak/>
              <w:t>presenting at emergency departments</w:t>
            </w:r>
            <w:r>
              <w:rPr>
                <w:szCs w:val="24"/>
              </w:rPr>
              <w:t xml:space="preserve">. </w:t>
            </w:r>
          </w:p>
        </w:tc>
        <w:tc>
          <w:tcPr>
            <w:tcW w:w="3384" w:type="dxa"/>
            <w:shd w:val="clear" w:color="auto" w:fill="auto"/>
          </w:tcPr>
          <w:p w:rsidR="00777CE7" w:rsidRDefault="00777CE7" w:rsidP="00CE5C7E">
            <w:r>
              <w:lastRenderedPageBreak/>
              <w:t>September 2009</w:t>
            </w:r>
          </w:p>
          <w:p w:rsidR="00C25E0A" w:rsidRDefault="00C25E0A" w:rsidP="00CE5C7E"/>
          <w:p w:rsidR="00C25E0A" w:rsidRDefault="00C25E0A" w:rsidP="00CE5C7E"/>
          <w:p w:rsidR="00C25E0A" w:rsidRDefault="00C25E0A" w:rsidP="00CE5C7E"/>
          <w:p w:rsidR="00C25E0A" w:rsidRDefault="00C25E0A" w:rsidP="00CE5C7E"/>
          <w:p w:rsidR="00C25E0A" w:rsidRDefault="00C25E0A" w:rsidP="00CE5C7E"/>
          <w:p w:rsidR="00C25E0A" w:rsidRDefault="00C25E0A" w:rsidP="00CE5C7E">
            <w:r>
              <w:t>Commenced development 2012</w:t>
            </w:r>
          </w:p>
        </w:tc>
        <w:tc>
          <w:tcPr>
            <w:tcW w:w="2877" w:type="dxa"/>
            <w:shd w:val="clear" w:color="auto" w:fill="auto"/>
          </w:tcPr>
          <w:p w:rsidR="00777CE7" w:rsidRDefault="00B325F6" w:rsidP="002A4C38">
            <w:pPr>
              <w:tabs>
                <w:tab w:val="left" w:pos="251"/>
              </w:tabs>
            </w:pPr>
            <w:r>
              <w:t>$5.</w:t>
            </w:r>
            <w:r w:rsidR="00E90E76">
              <w:t>8</w:t>
            </w:r>
            <w:r w:rsidR="00777CE7">
              <w:t xml:space="preserve"> M</w:t>
            </w:r>
          </w:p>
        </w:tc>
        <w:tc>
          <w:tcPr>
            <w:tcW w:w="4441" w:type="dxa"/>
            <w:shd w:val="clear" w:color="auto" w:fill="auto"/>
          </w:tcPr>
          <w:p w:rsidR="00B325F6" w:rsidRDefault="00B325F6" w:rsidP="00806390">
            <w:r>
              <w:t>Program expanded to target GEM units in acute hospitals so older people admitted from ED are better supported through specialist geriatric services provided earlier in care pathway.</w:t>
            </w:r>
          </w:p>
          <w:p w:rsidR="00B325F6" w:rsidRDefault="00B325F6" w:rsidP="00806390"/>
          <w:p w:rsidR="00777CE7" w:rsidRDefault="003D3D17" w:rsidP="000047BC">
            <w:pPr>
              <w:autoSpaceDE w:val="0"/>
              <w:autoSpaceDN w:val="0"/>
              <w:adjustRightInd w:val="0"/>
              <w:rPr>
                <w:szCs w:val="24"/>
              </w:rPr>
            </w:pPr>
            <w:r w:rsidRPr="003D3D17">
              <w:rPr>
                <w:szCs w:val="24"/>
              </w:rPr>
              <w:t xml:space="preserve">Over the last six months the department has been working with a metropolitan health service to </w:t>
            </w:r>
            <w:r w:rsidR="00C25E0A">
              <w:rPr>
                <w:szCs w:val="24"/>
              </w:rPr>
              <w:t>develop</w:t>
            </w:r>
            <w:r w:rsidRPr="003D3D17">
              <w:rPr>
                <w:szCs w:val="24"/>
              </w:rPr>
              <w:t xml:space="preserve"> a GEM@ Home model </w:t>
            </w:r>
            <w:r w:rsidR="00C25E0A">
              <w:rPr>
                <w:szCs w:val="24"/>
              </w:rPr>
              <w:lastRenderedPageBreak/>
              <w:t>for piloting</w:t>
            </w:r>
            <w:r w:rsidRPr="003D3D17">
              <w:rPr>
                <w:szCs w:val="24"/>
              </w:rPr>
              <w:t xml:space="preserve"> </w:t>
            </w:r>
            <w:r w:rsidR="00C25E0A">
              <w:rPr>
                <w:szCs w:val="24"/>
              </w:rPr>
              <w:t>in 20</w:t>
            </w:r>
            <w:r w:rsidRPr="003D3D17">
              <w:rPr>
                <w:szCs w:val="24"/>
              </w:rPr>
              <w:t xml:space="preserve">13 to test the appropriateness of the model to respond to the care needs of older people presenting at emergency departments and identify the key components of service delivery.   </w:t>
            </w:r>
          </w:p>
          <w:p w:rsidR="006152B4" w:rsidRDefault="006152B4" w:rsidP="000047BC">
            <w:pPr>
              <w:autoSpaceDE w:val="0"/>
              <w:autoSpaceDN w:val="0"/>
              <w:adjustRightInd w:val="0"/>
              <w:rPr>
                <w:szCs w:val="24"/>
              </w:rPr>
            </w:pPr>
          </w:p>
          <w:p w:rsidR="006152B4" w:rsidRDefault="001E5056" w:rsidP="000047BC">
            <w:pPr>
              <w:autoSpaceDE w:val="0"/>
              <w:autoSpaceDN w:val="0"/>
              <w:adjustRightInd w:val="0"/>
              <w:rPr>
                <w:szCs w:val="24"/>
              </w:rPr>
            </w:pPr>
            <w:r>
              <w:rPr>
                <w:szCs w:val="24"/>
              </w:rPr>
              <w:t xml:space="preserve">GEM @ Home provides </w:t>
            </w:r>
            <w:r w:rsidRPr="00372DC5">
              <w:rPr>
                <w:szCs w:val="24"/>
              </w:rPr>
              <w:t>comprehe</w:t>
            </w:r>
            <w:r>
              <w:rPr>
                <w:szCs w:val="24"/>
              </w:rPr>
              <w:t>nsive specialist assessment and multidisciplinary team intervention. A r</w:t>
            </w:r>
            <w:r w:rsidR="00887461" w:rsidRPr="00372DC5">
              <w:rPr>
                <w:szCs w:val="24"/>
              </w:rPr>
              <w:t xml:space="preserve">eport found </w:t>
            </w:r>
            <w:r>
              <w:rPr>
                <w:szCs w:val="24"/>
              </w:rPr>
              <w:t xml:space="preserve">it </w:t>
            </w:r>
            <w:r w:rsidR="00887461" w:rsidRPr="00372DC5">
              <w:rPr>
                <w:szCs w:val="24"/>
              </w:rPr>
              <w:t>was effective in identifying older people at risk of admission in the community</w:t>
            </w:r>
            <w:r>
              <w:rPr>
                <w:szCs w:val="24"/>
              </w:rPr>
              <w:t>.</w:t>
            </w:r>
            <w:r w:rsidR="00887461">
              <w:rPr>
                <w:szCs w:val="24"/>
              </w:rPr>
              <w:t xml:space="preserve"> </w:t>
            </w:r>
          </w:p>
          <w:p w:rsidR="00372DC5" w:rsidRPr="000047BC" w:rsidRDefault="00372DC5" w:rsidP="000047BC">
            <w:pPr>
              <w:autoSpaceDE w:val="0"/>
              <w:autoSpaceDN w:val="0"/>
              <w:adjustRightInd w:val="0"/>
              <w:rPr>
                <w:szCs w:val="24"/>
              </w:rPr>
            </w:pPr>
          </w:p>
        </w:tc>
      </w:tr>
      <w:tr w:rsidR="003D3D17" w:rsidTr="002A4C38">
        <w:trPr>
          <w:trHeight w:val="2139"/>
        </w:trPr>
        <w:tc>
          <w:tcPr>
            <w:tcW w:w="4083" w:type="dxa"/>
            <w:shd w:val="clear" w:color="auto" w:fill="auto"/>
          </w:tcPr>
          <w:p w:rsidR="003D3D17" w:rsidRPr="003D3D17" w:rsidRDefault="003D3D17" w:rsidP="00CE5C7E">
            <w:pPr>
              <w:rPr>
                <w:i/>
                <w:szCs w:val="24"/>
              </w:rPr>
            </w:pPr>
            <w:r w:rsidRPr="003D3D17">
              <w:rPr>
                <w:i/>
                <w:szCs w:val="24"/>
              </w:rPr>
              <w:lastRenderedPageBreak/>
              <w:t>Early Stroke Discharge Pathway</w:t>
            </w:r>
          </w:p>
          <w:p w:rsidR="003D3D17" w:rsidRPr="003D3D17" w:rsidRDefault="003D3D17" w:rsidP="003D3D17">
            <w:pPr>
              <w:rPr>
                <w:i/>
                <w:szCs w:val="24"/>
              </w:rPr>
            </w:pPr>
            <w:r w:rsidRPr="003D3D17">
              <w:rPr>
                <w:szCs w:val="24"/>
              </w:rPr>
              <w:t xml:space="preserve">The project aims to pilot models </w:t>
            </w:r>
            <w:r>
              <w:rPr>
                <w:szCs w:val="24"/>
              </w:rPr>
              <w:t>of early support</w:t>
            </w:r>
            <w:r w:rsidRPr="003D3D17">
              <w:rPr>
                <w:szCs w:val="24"/>
              </w:rPr>
              <w:t xml:space="preserve"> for patients requiring rehabilitation post stroke within Victorian metropolitan public health services. </w:t>
            </w:r>
          </w:p>
          <w:p w:rsidR="003D3D17" w:rsidRDefault="003D3D17" w:rsidP="00CE5C7E">
            <w:pPr>
              <w:rPr>
                <w:i/>
              </w:rPr>
            </w:pPr>
          </w:p>
        </w:tc>
        <w:tc>
          <w:tcPr>
            <w:tcW w:w="3384" w:type="dxa"/>
            <w:shd w:val="clear" w:color="auto" w:fill="auto"/>
          </w:tcPr>
          <w:p w:rsidR="003D3D17" w:rsidRDefault="003D3D17" w:rsidP="00CE5C7E">
            <w:r>
              <w:t>2012-13</w:t>
            </w:r>
          </w:p>
        </w:tc>
        <w:tc>
          <w:tcPr>
            <w:tcW w:w="2877" w:type="dxa"/>
            <w:shd w:val="clear" w:color="auto" w:fill="auto"/>
          </w:tcPr>
          <w:p w:rsidR="003D3D17" w:rsidRDefault="00E90E76" w:rsidP="002A4C38">
            <w:pPr>
              <w:tabs>
                <w:tab w:val="left" w:pos="251"/>
              </w:tabs>
            </w:pPr>
            <w:r>
              <w:t>State and NPA IPHS</w:t>
            </w:r>
          </w:p>
        </w:tc>
        <w:tc>
          <w:tcPr>
            <w:tcW w:w="4441" w:type="dxa"/>
            <w:shd w:val="clear" w:color="auto" w:fill="auto"/>
          </w:tcPr>
          <w:p w:rsidR="003D3D17" w:rsidRDefault="00FC13E5" w:rsidP="00806390">
            <w:pPr>
              <w:rPr>
                <w:szCs w:val="24"/>
              </w:rPr>
            </w:pPr>
            <w:r>
              <w:rPr>
                <w:szCs w:val="24"/>
              </w:rPr>
              <w:t>A pilot</w:t>
            </w:r>
            <w:r w:rsidR="00402045">
              <w:rPr>
                <w:szCs w:val="24"/>
              </w:rPr>
              <w:t xml:space="preserve"> commenced</w:t>
            </w:r>
            <w:r>
              <w:rPr>
                <w:szCs w:val="24"/>
              </w:rPr>
              <w:t xml:space="preserve"> in 2012-13</w:t>
            </w:r>
            <w:r w:rsidR="00402045">
              <w:rPr>
                <w:szCs w:val="24"/>
              </w:rPr>
              <w:t xml:space="preserve"> across two health services </w:t>
            </w:r>
            <w:r w:rsidR="003D3D17" w:rsidRPr="003D3D17">
              <w:rPr>
                <w:szCs w:val="24"/>
              </w:rPr>
              <w:t>test</w:t>
            </w:r>
            <w:r w:rsidR="00402045">
              <w:rPr>
                <w:szCs w:val="24"/>
              </w:rPr>
              <w:t>ing</w:t>
            </w:r>
            <w:r w:rsidR="003D3D17" w:rsidRPr="003D3D17">
              <w:rPr>
                <w:szCs w:val="24"/>
              </w:rPr>
              <w:t xml:space="preserve"> stroke rehabilitation pathway</w:t>
            </w:r>
            <w:r w:rsidR="00402045">
              <w:rPr>
                <w:szCs w:val="24"/>
              </w:rPr>
              <w:t>s</w:t>
            </w:r>
            <w:r w:rsidR="003D3D17" w:rsidRPr="003D3D17">
              <w:rPr>
                <w:szCs w:val="24"/>
              </w:rPr>
              <w:t xml:space="preserve"> with the aim of improving early access to rehabilitation (both inpa</w:t>
            </w:r>
            <w:r w:rsidR="00402045">
              <w:rPr>
                <w:szCs w:val="24"/>
              </w:rPr>
              <w:t>tient and ambulatory) and reducing</w:t>
            </w:r>
            <w:r w:rsidR="003D3D17" w:rsidRPr="003D3D17">
              <w:rPr>
                <w:szCs w:val="24"/>
              </w:rPr>
              <w:t xml:space="preserve"> acute length of stay.</w:t>
            </w:r>
            <w:r w:rsidR="00372DC5">
              <w:rPr>
                <w:szCs w:val="24"/>
              </w:rPr>
              <w:t xml:space="preserve"> In data reported to date</w:t>
            </w:r>
            <w:r w:rsidR="00E80654">
              <w:rPr>
                <w:szCs w:val="24"/>
              </w:rPr>
              <w:t xml:space="preserve"> </w:t>
            </w:r>
            <w:r w:rsidR="00372DC5">
              <w:rPr>
                <w:szCs w:val="24"/>
              </w:rPr>
              <w:t xml:space="preserve">ESD patients </w:t>
            </w:r>
            <w:r w:rsidR="00E80654">
              <w:rPr>
                <w:szCs w:val="24"/>
              </w:rPr>
              <w:t xml:space="preserve">have acute </w:t>
            </w:r>
            <w:r w:rsidR="00372DC5">
              <w:rPr>
                <w:szCs w:val="24"/>
              </w:rPr>
              <w:t>average length of stay</w:t>
            </w:r>
            <w:r w:rsidR="00E80654">
              <w:rPr>
                <w:szCs w:val="24"/>
              </w:rPr>
              <w:t xml:space="preserve"> of 3.7 days compared to </w:t>
            </w:r>
            <w:r w:rsidR="00372DC5">
              <w:rPr>
                <w:szCs w:val="24"/>
              </w:rPr>
              <w:t xml:space="preserve">patients in </w:t>
            </w:r>
            <w:r w:rsidR="001E5056">
              <w:rPr>
                <w:szCs w:val="24"/>
              </w:rPr>
              <w:t>usual pathway with an</w:t>
            </w:r>
            <w:r w:rsidR="00E80654">
              <w:rPr>
                <w:szCs w:val="24"/>
              </w:rPr>
              <w:t xml:space="preserve"> acute </w:t>
            </w:r>
            <w:r w:rsidR="00372DC5">
              <w:rPr>
                <w:szCs w:val="24"/>
              </w:rPr>
              <w:t>average length of stay o</w:t>
            </w:r>
            <w:r w:rsidR="00E80654">
              <w:rPr>
                <w:szCs w:val="24"/>
              </w:rPr>
              <w:t xml:space="preserve">f 9 days. </w:t>
            </w:r>
          </w:p>
          <w:p w:rsidR="00837055" w:rsidRPr="003D3D17" w:rsidRDefault="00837055" w:rsidP="00806390">
            <w:pPr>
              <w:rPr>
                <w:szCs w:val="24"/>
              </w:rPr>
            </w:pPr>
          </w:p>
        </w:tc>
      </w:tr>
      <w:tr w:rsidR="00B325F6" w:rsidTr="00E90E76">
        <w:trPr>
          <w:trHeight w:val="840"/>
        </w:trPr>
        <w:tc>
          <w:tcPr>
            <w:tcW w:w="4083" w:type="dxa"/>
            <w:shd w:val="clear" w:color="auto" w:fill="auto"/>
          </w:tcPr>
          <w:p w:rsidR="00B325F6" w:rsidRDefault="00B325F6" w:rsidP="00CE5C7E">
            <w:pPr>
              <w:rPr>
                <w:i/>
              </w:rPr>
            </w:pPr>
            <w:r>
              <w:rPr>
                <w:i/>
              </w:rPr>
              <w:t>Residential Aged Care Clinical Indicators</w:t>
            </w:r>
          </w:p>
          <w:p w:rsidR="00B325F6" w:rsidRDefault="00B325F6" w:rsidP="00CE5C7E">
            <w:r>
              <w:t>Mainstreaming commenced for eight programs post evaluation of pilot.</w:t>
            </w:r>
          </w:p>
          <w:p w:rsidR="00B325F6" w:rsidRDefault="00B325F6" w:rsidP="00CE5C7E"/>
          <w:p w:rsidR="00B325F6" w:rsidRPr="00B325F6" w:rsidRDefault="00B325F6" w:rsidP="00CE5C7E">
            <w:r>
              <w:t xml:space="preserve">The aim of this initiative is to provide services to residents of aged care facilities with access to treatment within their care setting. The intention is to both prevent unnecessary presentation to emergency departments but also to manage people in a more appropriate care setting.  </w:t>
            </w:r>
          </w:p>
        </w:tc>
        <w:tc>
          <w:tcPr>
            <w:tcW w:w="3384" w:type="dxa"/>
            <w:shd w:val="clear" w:color="auto" w:fill="auto"/>
          </w:tcPr>
          <w:p w:rsidR="00B325F6" w:rsidRDefault="00B325F6" w:rsidP="00CE5C7E">
            <w:r>
              <w:t>Commenced July 2009</w:t>
            </w:r>
          </w:p>
        </w:tc>
        <w:tc>
          <w:tcPr>
            <w:tcW w:w="2877" w:type="dxa"/>
            <w:shd w:val="clear" w:color="auto" w:fill="auto"/>
          </w:tcPr>
          <w:p w:rsidR="00B325F6" w:rsidRDefault="00B325F6" w:rsidP="002A4C38">
            <w:pPr>
              <w:tabs>
                <w:tab w:val="left" w:pos="251"/>
              </w:tabs>
            </w:pPr>
            <w:r>
              <w:t>$2.</w:t>
            </w:r>
            <w:r w:rsidR="00E90E76">
              <w:t>7</w:t>
            </w:r>
            <w:r>
              <w:t xml:space="preserve"> M plus additional </w:t>
            </w:r>
            <w:r w:rsidR="00B83FA0">
              <w:t xml:space="preserve">recurrent </w:t>
            </w:r>
            <w:r>
              <w:t>state funding</w:t>
            </w:r>
          </w:p>
        </w:tc>
        <w:tc>
          <w:tcPr>
            <w:tcW w:w="4441" w:type="dxa"/>
            <w:shd w:val="clear" w:color="auto" w:fill="auto"/>
          </w:tcPr>
          <w:p w:rsidR="00D204EF" w:rsidRDefault="00D204EF" w:rsidP="00806390">
            <w:r>
              <w:t xml:space="preserve">An independent evaluation completed in July 2009 found that the Residential In-reach pilots were well regarded, accessible ad met referred and hospital requirements. </w:t>
            </w:r>
          </w:p>
          <w:p w:rsidR="00D204EF" w:rsidRDefault="00D204EF" w:rsidP="00806390"/>
          <w:p w:rsidR="00D204EF" w:rsidRDefault="00D204EF" w:rsidP="00806390">
            <w:r>
              <w:t xml:space="preserve">The review of the service activity and models of care found that a model providing care in the Residential Aged Care Facility was the most effective in reducing avoidable ED presentations, ambulance utilisation and improved patient outcomes. Service development is being informed by information sharing, problem solving and benchmarking. </w:t>
            </w:r>
          </w:p>
          <w:p w:rsidR="00D204EF" w:rsidRDefault="00D204EF" w:rsidP="00806390"/>
          <w:p w:rsidR="00D204EF" w:rsidRDefault="00D204EF" w:rsidP="00806390">
            <w:r>
              <w:t xml:space="preserve">The program has expanded to 13 health services. </w:t>
            </w:r>
            <w:r w:rsidR="00372DC5">
              <w:t>Through additional state funding in 2013 there has been</w:t>
            </w:r>
            <w:r>
              <w:t xml:space="preserve"> </w:t>
            </w:r>
            <w:r w:rsidR="00372DC5">
              <w:t xml:space="preserve">growth in some existing services and establishment of the program in subregional health services. </w:t>
            </w:r>
          </w:p>
        </w:tc>
      </w:tr>
      <w:tr w:rsidR="00D204EF" w:rsidTr="002A4C38">
        <w:trPr>
          <w:trHeight w:val="2139"/>
        </w:trPr>
        <w:tc>
          <w:tcPr>
            <w:tcW w:w="4083" w:type="dxa"/>
            <w:shd w:val="clear" w:color="auto" w:fill="auto"/>
          </w:tcPr>
          <w:p w:rsidR="00D204EF" w:rsidRDefault="000B4774" w:rsidP="00CE5C7E">
            <w:pPr>
              <w:rPr>
                <w:b/>
              </w:rPr>
            </w:pPr>
            <w:r>
              <w:rPr>
                <w:b/>
              </w:rPr>
              <w:t>Palliative care</w:t>
            </w:r>
          </w:p>
          <w:p w:rsidR="000B4774" w:rsidRDefault="000B4774" w:rsidP="00CE5C7E">
            <w:pPr>
              <w:rPr>
                <w:i/>
              </w:rPr>
            </w:pPr>
            <w:r>
              <w:rPr>
                <w:i/>
              </w:rPr>
              <w:t>Admitted</w:t>
            </w:r>
          </w:p>
          <w:p w:rsidR="000B4774" w:rsidRPr="000B4774" w:rsidRDefault="000B4774" w:rsidP="00CE5C7E">
            <w:r>
              <w:t xml:space="preserve">Provision of an additional 3,285 palliative care </w:t>
            </w:r>
            <w:proofErr w:type="spellStart"/>
            <w:r>
              <w:t>beddays</w:t>
            </w:r>
            <w:proofErr w:type="spellEnd"/>
            <w:r>
              <w:t xml:space="preserve"> at Melbourne Health. </w:t>
            </w:r>
          </w:p>
        </w:tc>
        <w:tc>
          <w:tcPr>
            <w:tcW w:w="3384" w:type="dxa"/>
            <w:shd w:val="clear" w:color="auto" w:fill="auto"/>
          </w:tcPr>
          <w:p w:rsidR="00D204EF" w:rsidRDefault="000B4774" w:rsidP="00CE5C7E">
            <w:r>
              <w:t>Implementation commenced July 2009</w:t>
            </w:r>
          </w:p>
        </w:tc>
        <w:tc>
          <w:tcPr>
            <w:tcW w:w="2877" w:type="dxa"/>
            <w:shd w:val="clear" w:color="auto" w:fill="auto"/>
          </w:tcPr>
          <w:p w:rsidR="00D204EF" w:rsidRDefault="000B4774" w:rsidP="002A4C38">
            <w:pPr>
              <w:tabs>
                <w:tab w:val="left" w:pos="251"/>
              </w:tabs>
            </w:pPr>
            <w:r>
              <w:t>State funded</w:t>
            </w:r>
          </w:p>
        </w:tc>
        <w:tc>
          <w:tcPr>
            <w:tcW w:w="4441" w:type="dxa"/>
            <w:shd w:val="clear" w:color="auto" w:fill="auto"/>
          </w:tcPr>
          <w:p w:rsidR="00D204EF" w:rsidRDefault="000B4774" w:rsidP="00806390">
            <w:r>
              <w:t xml:space="preserve">Implementation brought forward to the 2009-10 financial year and commenced service delivery in July 2009. </w:t>
            </w:r>
          </w:p>
        </w:tc>
      </w:tr>
      <w:tr w:rsidR="000B4774" w:rsidTr="002A4C38">
        <w:trPr>
          <w:trHeight w:val="2139"/>
        </w:trPr>
        <w:tc>
          <w:tcPr>
            <w:tcW w:w="4083" w:type="dxa"/>
            <w:shd w:val="clear" w:color="auto" w:fill="auto"/>
          </w:tcPr>
          <w:p w:rsidR="000B4774" w:rsidRDefault="000B4774" w:rsidP="00CE5C7E">
            <w:pPr>
              <w:rPr>
                <w:i/>
              </w:rPr>
            </w:pPr>
            <w:r>
              <w:rPr>
                <w:i/>
              </w:rPr>
              <w:t>Outcome measures/clinical indicators</w:t>
            </w:r>
          </w:p>
          <w:p w:rsidR="000B4774" w:rsidRDefault="000B4774" w:rsidP="00CE5C7E">
            <w:r>
              <w:t>Introduction of four new measures for community palliative care:</w:t>
            </w:r>
          </w:p>
          <w:p w:rsidR="000B4774" w:rsidRDefault="000B4774" w:rsidP="000B4774">
            <w:pPr>
              <w:numPr>
                <w:ilvl w:val="0"/>
                <w:numId w:val="5"/>
              </w:numPr>
            </w:pPr>
            <w:r>
              <w:t>Phase of care at patient contact</w:t>
            </w:r>
          </w:p>
          <w:p w:rsidR="000B4774" w:rsidRDefault="000B4774" w:rsidP="000B4774">
            <w:pPr>
              <w:numPr>
                <w:ilvl w:val="0"/>
                <w:numId w:val="5"/>
              </w:numPr>
            </w:pPr>
            <w:r>
              <w:t>Model of care</w:t>
            </w:r>
          </w:p>
          <w:p w:rsidR="000B4774" w:rsidRDefault="000B4774" w:rsidP="000B4774">
            <w:pPr>
              <w:numPr>
                <w:ilvl w:val="0"/>
                <w:numId w:val="5"/>
              </w:numPr>
            </w:pPr>
            <w:r>
              <w:t>Patient preferred place to die</w:t>
            </w:r>
          </w:p>
          <w:p w:rsidR="000B4774" w:rsidRDefault="000B4774" w:rsidP="000B4774">
            <w:pPr>
              <w:numPr>
                <w:ilvl w:val="0"/>
                <w:numId w:val="5"/>
              </w:numPr>
            </w:pPr>
            <w:r>
              <w:t>Patient preferred setting of care</w:t>
            </w:r>
          </w:p>
          <w:p w:rsidR="000B4774" w:rsidRDefault="000B4774" w:rsidP="000B4774"/>
          <w:p w:rsidR="000B4774" w:rsidRPr="000B4774" w:rsidRDefault="000B4774" w:rsidP="000B4774">
            <w:r>
              <w:t>Clinical Advisory Groups established in each regional palliative care consortia</w:t>
            </w:r>
          </w:p>
        </w:tc>
        <w:tc>
          <w:tcPr>
            <w:tcW w:w="3384" w:type="dxa"/>
            <w:shd w:val="clear" w:color="auto" w:fill="auto"/>
          </w:tcPr>
          <w:p w:rsidR="000B4774" w:rsidRDefault="000B4774" w:rsidP="00CE5C7E">
            <w:r>
              <w:t>From 1 July 2009</w:t>
            </w:r>
          </w:p>
        </w:tc>
        <w:tc>
          <w:tcPr>
            <w:tcW w:w="2877" w:type="dxa"/>
            <w:shd w:val="clear" w:color="auto" w:fill="auto"/>
          </w:tcPr>
          <w:p w:rsidR="000B4774" w:rsidRDefault="000B4774" w:rsidP="002A4C38">
            <w:pPr>
              <w:tabs>
                <w:tab w:val="left" w:pos="251"/>
              </w:tabs>
            </w:pPr>
            <w:r>
              <w:t>State funded</w:t>
            </w:r>
          </w:p>
        </w:tc>
        <w:tc>
          <w:tcPr>
            <w:tcW w:w="4441" w:type="dxa"/>
            <w:shd w:val="clear" w:color="auto" w:fill="auto"/>
          </w:tcPr>
          <w:p w:rsidR="000B4774" w:rsidRDefault="000B4774" w:rsidP="00806390">
            <w:r>
              <w:t xml:space="preserve">Data being reported by community palliative care services. </w:t>
            </w:r>
          </w:p>
        </w:tc>
      </w:tr>
      <w:tr w:rsidR="000B4774" w:rsidTr="002A4C38">
        <w:trPr>
          <w:trHeight w:val="2139"/>
        </w:trPr>
        <w:tc>
          <w:tcPr>
            <w:tcW w:w="4083" w:type="dxa"/>
            <w:shd w:val="clear" w:color="auto" w:fill="auto"/>
          </w:tcPr>
          <w:p w:rsidR="000B4774" w:rsidRDefault="000B4774" w:rsidP="00CE5C7E">
            <w:pPr>
              <w:rPr>
                <w:i/>
              </w:rPr>
            </w:pPr>
            <w:r>
              <w:rPr>
                <w:i/>
              </w:rPr>
              <w:t>Consultation liaison/shared care model:</w:t>
            </w:r>
          </w:p>
          <w:p w:rsidR="000B4774" w:rsidRDefault="000B4774" w:rsidP="000B4774">
            <w:r>
              <w:t>Progression of proposed minimum data sets developed and business case submitted for inclusion in hospital data collection for 1 July 2010.</w:t>
            </w:r>
          </w:p>
          <w:p w:rsidR="000B4774" w:rsidRDefault="000B4774" w:rsidP="000B4774"/>
          <w:p w:rsidR="000B4774" w:rsidRDefault="000B4774" w:rsidP="000B4774">
            <w:r>
              <w:t>Service Delivery Framework</w:t>
            </w:r>
            <w:r w:rsidR="00B57ECC">
              <w:t xml:space="preserve"> (SDF)</w:t>
            </w:r>
            <w:r>
              <w:t xml:space="preserve"> to be further developed.</w:t>
            </w:r>
          </w:p>
          <w:p w:rsidR="000B4774" w:rsidRDefault="000B4774" w:rsidP="000B4774"/>
          <w:p w:rsidR="000B4774" w:rsidRPr="000B4774" w:rsidRDefault="000B4774" w:rsidP="000B4774">
            <w:r>
              <w:t xml:space="preserve">Statewide Palliative Care Clinical Network to be further developed. </w:t>
            </w:r>
          </w:p>
        </w:tc>
        <w:tc>
          <w:tcPr>
            <w:tcW w:w="3384" w:type="dxa"/>
            <w:shd w:val="clear" w:color="auto" w:fill="auto"/>
          </w:tcPr>
          <w:p w:rsidR="000B4774" w:rsidRDefault="00C25E0A" w:rsidP="00CE5C7E">
            <w:r>
              <w:t>Throughout 200</w:t>
            </w:r>
            <w:r w:rsidR="000B4774">
              <w:t>9-10</w:t>
            </w:r>
          </w:p>
        </w:tc>
        <w:tc>
          <w:tcPr>
            <w:tcW w:w="2877" w:type="dxa"/>
            <w:shd w:val="clear" w:color="auto" w:fill="auto"/>
          </w:tcPr>
          <w:p w:rsidR="000B4774" w:rsidRDefault="000B4774" w:rsidP="002A4C38">
            <w:pPr>
              <w:tabs>
                <w:tab w:val="left" w:pos="251"/>
              </w:tabs>
            </w:pPr>
            <w:r>
              <w:t>State funded</w:t>
            </w:r>
          </w:p>
        </w:tc>
        <w:tc>
          <w:tcPr>
            <w:tcW w:w="4441" w:type="dxa"/>
            <w:shd w:val="clear" w:color="auto" w:fill="auto"/>
          </w:tcPr>
          <w:p w:rsidR="000B4774" w:rsidRDefault="000B4774" w:rsidP="00806390">
            <w:r>
              <w:t xml:space="preserve">Consultancy data collection commenced Jan 2011. </w:t>
            </w:r>
          </w:p>
          <w:p w:rsidR="000B4774" w:rsidRDefault="000B4774" w:rsidP="00806390"/>
          <w:p w:rsidR="000B4774" w:rsidRDefault="000B4774" w:rsidP="00806390">
            <w:r>
              <w:t xml:space="preserve">All regional </w:t>
            </w:r>
            <w:r w:rsidR="00B57ECC">
              <w:t>palliative care consortia are working with regional in-patient, community and consultancy palliative care services in order to:</w:t>
            </w:r>
          </w:p>
          <w:p w:rsidR="00B57ECC" w:rsidRDefault="00B57ECC" w:rsidP="00B57ECC">
            <w:pPr>
              <w:numPr>
                <w:ilvl w:val="0"/>
                <w:numId w:val="6"/>
              </w:numPr>
            </w:pPr>
            <w:r>
              <w:t>Assess service provision against the levels described in the SDF.</w:t>
            </w:r>
          </w:p>
          <w:p w:rsidR="00B57ECC" w:rsidRDefault="00B57ECC" w:rsidP="00B57ECC">
            <w:pPr>
              <w:numPr>
                <w:ilvl w:val="0"/>
                <w:numId w:val="6"/>
              </w:numPr>
            </w:pPr>
            <w:r>
              <w:t>Indentify gaps at both the individual service and regional levels.</w:t>
            </w:r>
          </w:p>
          <w:p w:rsidR="00B57ECC" w:rsidRDefault="00B57ECC" w:rsidP="00B57ECC">
            <w:pPr>
              <w:numPr>
                <w:ilvl w:val="0"/>
                <w:numId w:val="6"/>
              </w:numPr>
            </w:pPr>
            <w:r>
              <w:t>Review workforce arrangements.</w:t>
            </w:r>
          </w:p>
          <w:p w:rsidR="00B57ECC" w:rsidRDefault="00B57ECC" w:rsidP="00B57ECC">
            <w:pPr>
              <w:numPr>
                <w:ilvl w:val="0"/>
                <w:numId w:val="6"/>
              </w:numPr>
            </w:pPr>
            <w:r>
              <w:t xml:space="preserve">Improve access for a greater proportion of the regional population. </w:t>
            </w:r>
          </w:p>
          <w:p w:rsidR="00B57ECC" w:rsidRDefault="00B57ECC" w:rsidP="00B57ECC"/>
          <w:p w:rsidR="00B57ECC" w:rsidRDefault="00B57ECC" w:rsidP="00B57ECC">
            <w:r>
              <w:t xml:space="preserve">Palliative Care Clinical Network meeting regularly </w:t>
            </w:r>
            <w:r w:rsidR="00C25E0A">
              <w:t>with the following projects</w:t>
            </w:r>
            <w:r w:rsidR="00223847">
              <w:t xml:space="preserve"> completed and implementation underway</w:t>
            </w:r>
            <w:r>
              <w:t>:</w:t>
            </w:r>
          </w:p>
          <w:p w:rsidR="00B57ECC" w:rsidRDefault="00B57ECC" w:rsidP="00B57ECC">
            <w:pPr>
              <w:numPr>
                <w:ilvl w:val="0"/>
                <w:numId w:val="7"/>
              </w:numPr>
            </w:pPr>
            <w:r>
              <w:t>Pain identification and management</w:t>
            </w:r>
          </w:p>
          <w:p w:rsidR="00B57ECC" w:rsidRDefault="00B57ECC" w:rsidP="00B57ECC">
            <w:pPr>
              <w:numPr>
                <w:ilvl w:val="0"/>
                <w:numId w:val="7"/>
              </w:numPr>
            </w:pPr>
            <w:r>
              <w:t>Clinical assessment tools</w:t>
            </w:r>
          </w:p>
          <w:p w:rsidR="00B57ECC" w:rsidRDefault="00B57ECC" w:rsidP="00B57ECC">
            <w:pPr>
              <w:numPr>
                <w:ilvl w:val="0"/>
                <w:numId w:val="7"/>
              </w:numPr>
            </w:pPr>
            <w:r>
              <w:t>Bereavement framework</w:t>
            </w:r>
          </w:p>
          <w:p w:rsidR="00B57ECC" w:rsidRDefault="00B57ECC" w:rsidP="00B57ECC">
            <w:pPr>
              <w:numPr>
                <w:ilvl w:val="0"/>
                <w:numId w:val="7"/>
              </w:numPr>
            </w:pPr>
            <w:r>
              <w:t>End of life pathways</w:t>
            </w:r>
          </w:p>
        </w:tc>
      </w:tr>
      <w:tr w:rsidR="00B57ECC" w:rsidTr="002A4C38">
        <w:trPr>
          <w:trHeight w:val="2139"/>
        </w:trPr>
        <w:tc>
          <w:tcPr>
            <w:tcW w:w="4083" w:type="dxa"/>
            <w:shd w:val="clear" w:color="auto" w:fill="auto"/>
          </w:tcPr>
          <w:p w:rsidR="00B57ECC" w:rsidRDefault="00B57ECC" w:rsidP="00CE5C7E">
            <w:pPr>
              <w:rPr>
                <w:b/>
              </w:rPr>
            </w:pPr>
            <w:proofErr w:type="spellStart"/>
            <w:r>
              <w:rPr>
                <w:b/>
              </w:rPr>
              <w:t>Psychogeriatrics</w:t>
            </w:r>
            <w:proofErr w:type="spellEnd"/>
          </w:p>
          <w:p w:rsidR="00B57ECC" w:rsidRPr="00B57ECC" w:rsidRDefault="00B57ECC" w:rsidP="00CE5C7E">
            <w:r>
              <w:t>Exploration of a definition of psychogeriatric care.</w:t>
            </w:r>
          </w:p>
        </w:tc>
        <w:tc>
          <w:tcPr>
            <w:tcW w:w="3384" w:type="dxa"/>
            <w:shd w:val="clear" w:color="auto" w:fill="auto"/>
          </w:tcPr>
          <w:p w:rsidR="00B57ECC" w:rsidRDefault="00B57ECC" w:rsidP="00CE5C7E">
            <w:r>
              <w:t>July- December 2010</w:t>
            </w:r>
          </w:p>
        </w:tc>
        <w:tc>
          <w:tcPr>
            <w:tcW w:w="2877" w:type="dxa"/>
            <w:shd w:val="clear" w:color="auto" w:fill="auto"/>
          </w:tcPr>
          <w:p w:rsidR="00B57ECC" w:rsidRDefault="00B57ECC" w:rsidP="002A4C38">
            <w:pPr>
              <w:tabs>
                <w:tab w:val="left" w:pos="251"/>
              </w:tabs>
            </w:pPr>
            <w:r>
              <w:t>State funded</w:t>
            </w:r>
          </w:p>
        </w:tc>
        <w:tc>
          <w:tcPr>
            <w:tcW w:w="4441" w:type="dxa"/>
            <w:shd w:val="clear" w:color="auto" w:fill="auto"/>
          </w:tcPr>
          <w:p w:rsidR="00B57ECC" w:rsidRDefault="00B57ECC" w:rsidP="00806390">
            <w:r>
              <w:t xml:space="preserve">A cost driver study has further developed the definition of “psycho-geriatric” care. </w:t>
            </w:r>
          </w:p>
        </w:tc>
      </w:tr>
      <w:tr w:rsidR="00B57ECC" w:rsidTr="002A4C38">
        <w:trPr>
          <w:trHeight w:val="2139"/>
        </w:trPr>
        <w:tc>
          <w:tcPr>
            <w:tcW w:w="4083" w:type="dxa"/>
            <w:shd w:val="clear" w:color="auto" w:fill="auto"/>
          </w:tcPr>
          <w:p w:rsidR="00B57ECC" w:rsidRDefault="00B57ECC" w:rsidP="00CE5C7E">
            <w:pPr>
              <w:rPr>
                <w:b/>
              </w:rPr>
            </w:pPr>
            <w:r>
              <w:rPr>
                <w:b/>
              </w:rPr>
              <w:t>Improving service mix</w:t>
            </w:r>
          </w:p>
        </w:tc>
        <w:tc>
          <w:tcPr>
            <w:tcW w:w="3384" w:type="dxa"/>
            <w:shd w:val="clear" w:color="auto" w:fill="auto"/>
          </w:tcPr>
          <w:p w:rsidR="00B57ECC" w:rsidRDefault="00B57ECC" w:rsidP="00CE5C7E">
            <w:r>
              <w:t>September 2008</w:t>
            </w:r>
          </w:p>
        </w:tc>
        <w:tc>
          <w:tcPr>
            <w:tcW w:w="2877" w:type="dxa"/>
            <w:shd w:val="clear" w:color="auto" w:fill="auto"/>
          </w:tcPr>
          <w:p w:rsidR="00B57ECC" w:rsidRDefault="00B57ECC" w:rsidP="002A4C38">
            <w:pPr>
              <w:tabs>
                <w:tab w:val="left" w:pos="251"/>
              </w:tabs>
            </w:pPr>
            <w:r>
              <w:t>State funded</w:t>
            </w:r>
          </w:p>
        </w:tc>
        <w:tc>
          <w:tcPr>
            <w:tcW w:w="4441" w:type="dxa"/>
            <w:shd w:val="clear" w:color="auto" w:fill="auto"/>
          </w:tcPr>
          <w:p w:rsidR="00B57ECC" w:rsidRDefault="00B57ECC" w:rsidP="00806390">
            <w:r>
              <w:t>State funded rollout of FIM training completed in December 2010.</w:t>
            </w:r>
          </w:p>
          <w:p w:rsidR="00B57ECC" w:rsidRDefault="00B57ECC" w:rsidP="00806390">
            <w:r>
              <w:t xml:space="preserve">Mandatory reporting of FIM for GEM and rehabilitation from 1 July 2011. </w:t>
            </w:r>
          </w:p>
          <w:p w:rsidR="00BB5891" w:rsidRDefault="00BB5891" w:rsidP="00806390">
            <w:r>
              <w:t>Additional training workshops offered throughout 2012-13.</w:t>
            </w:r>
          </w:p>
          <w:p w:rsidR="00FC13E5" w:rsidRDefault="00FC13E5" w:rsidP="00806390"/>
          <w:p w:rsidR="00FC13E5" w:rsidRDefault="00FC13E5" w:rsidP="00806390"/>
        </w:tc>
      </w:tr>
      <w:tr w:rsidR="00B57ECC" w:rsidTr="002A4C38">
        <w:trPr>
          <w:trHeight w:val="2139"/>
        </w:trPr>
        <w:tc>
          <w:tcPr>
            <w:tcW w:w="4083" w:type="dxa"/>
            <w:shd w:val="clear" w:color="auto" w:fill="auto"/>
          </w:tcPr>
          <w:p w:rsidR="00B57ECC" w:rsidRDefault="00B57ECC" w:rsidP="00CE5C7E">
            <w:pPr>
              <w:rPr>
                <w:b/>
              </w:rPr>
            </w:pPr>
            <w:r>
              <w:rPr>
                <w:b/>
              </w:rPr>
              <w:t>National Benchmarking</w:t>
            </w:r>
          </w:p>
          <w:p w:rsidR="00B57ECC" w:rsidRPr="00B57ECC" w:rsidRDefault="00B57ECC" w:rsidP="00CE5C7E">
            <w:r w:rsidRPr="00B57ECC">
              <w:t xml:space="preserve">Actively contribute to the development of national benchmarks that are required within the </w:t>
            </w:r>
            <w:r w:rsidR="00C25E0A">
              <w:t>Subacute</w:t>
            </w:r>
            <w:r w:rsidRPr="00B57ECC">
              <w:t xml:space="preserve"> NPA. </w:t>
            </w:r>
          </w:p>
        </w:tc>
        <w:tc>
          <w:tcPr>
            <w:tcW w:w="3384" w:type="dxa"/>
            <w:shd w:val="clear" w:color="auto" w:fill="auto"/>
          </w:tcPr>
          <w:p w:rsidR="00B57ECC" w:rsidRDefault="00B57ECC" w:rsidP="00CE5C7E">
            <w:r>
              <w:t>Th</w:t>
            </w:r>
            <w:r w:rsidR="00812FFF">
              <w:t>roughout 200</w:t>
            </w:r>
            <w:r>
              <w:t>9-10</w:t>
            </w:r>
          </w:p>
        </w:tc>
        <w:tc>
          <w:tcPr>
            <w:tcW w:w="2877" w:type="dxa"/>
            <w:shd w:val="clear" w:color="auto" w:fill="auto"/>
          </w:tcPr>
          <w:p w:rsidR="00B57ECC" w:rsidRDefault="00B57ECC" w:rsidP="002A4C38">
            <w:pPr>
              <w:tabs>
                <w:tab w:val="left" w:pos="251"/>
              </w:tabs>
            </w:pPr>
          </w:p>
        </w:tc>
        <w:tc>
          <w:tcPr>
            <w:tcW w:w="4441" w:type="dxa"/>
            <w:shd w:val="clear" w:color="auto" w:fill="auto"/>
          </w:tcPr>
          <w:p w:rsidR="00B57ECC" w:rsidRDefault="00B57ECC" w:rsidP="00806390">
            <w:r>
              <w:t>T</w:t>
            </w:r>
            <w:r w:rsidR="009B3AA8">
              <w:t>o date this work has encompassed</w:t>
            </w:r>
            <w:r>
              <w:t>:</w:t>
            </w:r>
          </w:p>
          <w:p w:rsidR="00B57ECC" w:rsidRDefault="00B57ECC" w:rsidP="00B57ECC">
            <w:pPr>
              <w:numPr>
                <w:ilvl w:val="0"/>
                <w:numId w:val="8"/>
              </w:numPr>
            </w:pPr>
            <w:r>
              <w:t>Reviewing and/or development data definitions and descriptions</w:t>
            </w:r>
          </w:p>
          <w:p w:rsidR="00B57ECC" w:rsidRDefault="00B57ECC" w:rsidP="00B57ECC">
            <w:pPr>
              <w:numPr>
                <w:ilvl w:val="0"/>
                <w:numId w:val="8"/>
              </w:numPr>
            </w:pPr>
            <w:r>
              <w:t xml:space="preserve">Drafting of measures against the </w:t>
            </w:r>
            <w:r w:rsidR="00C25E0A">
              <w:t>Subacute</w:t>
            </w:r>
            <w:r>
              <w:t xml:space="preserve"> Care NPA performance indicators</w:t>
            </w:r>
          </w:p>
          <w:p w:rsidR="00B57ECC" w:rsidRDefault="00B57ECC" w:rsidP="00B57ECC">
            <w:pPr>
              <w:numPr>
                <w:ilvl w:val="0"/>
                <w:numId w:val="8"/>
              </w:numPr>
            </w:pPr>
            <w:r>
              <w:t xml:space="preserve">Participating on the Benchmarking Reference Group for the Commonwealth led Benchmarking study.  </w:t>
            </w:r>
          </w:p>
          <w:p w:rsidR="00372DC5" w:rsidRDefault="00372DC5" w:rsidP="00B57ECC">
            <w:pPr>
              <w:numPr>
                <w:ilvl w:val="0"/>
                <w:numId w:val="8"/>
              </w:numPr>
            </w:pPr>
            <w:r>
              <w:t xml:space="preserve">Developing mechanisms for health service reporting. </w:t>
            </w:r>
          </w:p>
        </w:tc>
      </w:tr>
    </w:tbl>
    <w:p w:rsidR="009E1D93" w:rsidRDefault="009E1D93" w:rsidP="009E1D93">
      <w:pPr>
        <w:tabs>
          <w:tab w:val="left" w:pos="567"/>
        </w:tabs>
        <w:rPr>
          <w:sz w:val="12"/>
          <w:szCs w:val="12"/>
        </w:rPr>
      </w:pPr>
    </w:p>
    <w:p w:rsidR="0099686F" w:rsidRDefault="00D342C4" w:rsidP="009E1D93">
      <w:pPr>
        <w:tabs>
          <w:tab w:val="left" w:pos="567"/>
        </w:tabs>
        <w:rPr>
          <w:sz w:val="12"/>
          <w:szCs w:val="12"/>
        </w:rPr>
      </w:pPr>
      <w:r>
        <w:rPr>
          <w:sz w:val="12"/>
          <w:szCs w:val="12"/>
        </w:rPr>
        <w:br w:type="page"/>
      </w:r>
    </w:p>
    <w:tbl>
      <w:tblPr>
        <w:tblW w:w="14983" w:type="dxa"/>
        <w:tblInd w:w="108" w:type="dxa"/>
        <w:tblLook w:val="0000" w:firstRow="0" w:lastRow="0" w:firstColumn="0" w:lastColumn="0" w:noHBand="0" w:noVBand="0"/>
      </w:tblPr>
      <w:tblGrid>
        <w:gridCol w:w="3098"/>
        <w:gridCol w:w="1529"/>
        <w:gridCol w:w="1689"/>
        <w:gridCol w:w="1547"/>
        <w:gridCol w:w="1530"/>
        <w:gridCol w:w="488"/>
        <w:gridCol w:w="1547"/>
        <w:gridCol w:w="1547"/>
        <w:gridCol w:w="2008"/>
      </w:tblGrid>
      <w:tr w:rsidR="0099686F" w:rsidRPr="0099686F" w:rsidTr="0099686F">
        <w:trPr>
          <w:trHeight w:val="255"/>
        </w:trPr>
        <w:tc>
          <w:tcPr>
            <w:tcW w:w="309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b/>
                <w:bCs/>
                <w:sz w:val="16"/>
                <w:szCs w:val="16"/>
              </w:rPr>
            </w:pPr>
            <w:bookmarkStart w:id="1" w:name="RANGE!A1:K28"/>
            <w:r w:rsidRPr="0099686F">
              <w:rPr>
                <w:rFonts w:ascii="Verdana" w:hAnsi="Verdana" w:cs="Arial"/>
                <w:b/>
                <w:bCs/>
                <w:sz w:val="16"/>
                <w:szCs w:val="16"/>
              </w:rPr>
              <w:t xml:space="preserve">Appendix </w:t>
            </w:r>
            <w:bookmarkEnd w:id="1"/>
          </w:p>
        </w:tc>
        <w:tc>
          <w:tcPr>
            <w:tcW w:w="6295" w:type="dxa"/>
            <w:gridSpan w:val="4"/>
            <w:tcBorders>
              <w:top w:val="nil"/>
              <w:left w:val="nil"/>
              <w:bottom w:val="nil"/>
              <w:right w:val="nil"/>
            </w:tcBorders>
            <w:shd w:val="clear" w:color="auto" w:fill="auto"/>
            <w:noWrap/>
            <w:vAlign w:val="bottom"/>
          </w:tcPr>
          <w:p w:rsidR="0099686F" w:rsidRPr="0099686F" w:rsidRDefault="0099686F" w:rsidP="0099686F">
            <w:pPr>
              <w:rPr>
                <w:rFonts w:ascii="Verdana" w:hAnsi="Verdana" w:cs="Arial"/>
                <w:b/>
                <w:bCs/>
                <w:i/>
                <w:iCs/>
                <w:sz w:val="20"/>
              </w:rPr>
            </w:pPr>
            <w:r w:rsidRPr="0099686F">
              <w:rPr>
                <w:rFonts w:ascii="Verdana" w:hAnsi="Verdana" w:cs="Arial"/>
                <w:b/>
                <w:bCs/>
                <w:i/>
                <w:iCs/>
                <w:sz w:val="20"/>
              </w:rPr>
              <w:t>Victorian Bed Strategy for 2012-13</w:t>
            </w:r>
          </w:p>
        </w:tc>
        <w:tc>
          <w:tcPr>
            <w:tcW w:w="48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47"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47"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200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r>
      <w:tr w:rsidR="0099686F" w:rsidRPr="0099686F" w:rsidTr="0099686F">
        <w:trPr>
          <w:trHeight w:val="255"/>
        </w:trPr>
        <w:tc>
          <w:tcPr>
            <w:tcW w:w="3098" w:type="dxa"/>
            <w:tcBorders>
              <w:top w:val="nil"/>
              <w:left w:val="nil"/>
              <w:bottom w:val="single" w:sz="4" w:space="0" w:color="auto"/>
              <w:right w:val="nil"/>
            </w:tcBorders>
            <w:shd w:val="clear" w:color="000000" w:fill="C0C0C0"/>
            <w:noWrap/>
            <w:vAlign w:val="bottom"/>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 </w:t>
            </w:r>
          </w:p>
        </w:tc>
        <w:tc>
          <w:tcPr>
            <w:tcW w:w="1529" w:type="dxa"/>
            <w:tcBorders>
              <w:top w:val="nil"/>
              <w:left w:val="nil"/>
              <w:bottom w:val="single" w:sz="4" w:space="0" w:color="auto"/>
              <w:right w:val="nil"/>
            </w:tcBorders>
            <w:shd w:val="clear" w:color="000000" w:fill="C0C0C0"/>
            <w:noWrap/>
            <w:vAlign w:val="bottom"/>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 </w:t>
            </w:r>
          </w:p>
        </w:tc>
        <w:tc>
          <w:tcPr>
            <w:tcW w:w="1689" w:type="dxa"/>
            <w:tcBorders>
              <w:top w:val="nil"/>
              <w:left w:val="nil"/>
              <w:bottom w:val="single" w:sz="4" w:space="0" w:color="auto"/>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c>
          <w:tcPr>
            <w:tcW w:w="1547" w:type="dxa"/>
            <w:tcBorders>
              <w:top w:val="nil"/>
              <w:left w:val="nil"/>
              <w:bottom w:val="single" w:sz="4" w:space="0" w:color="auto"/>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c>
          <w:tcPr>
            <w:tcW w:w="1529" w:type="dxa"/>
            <w:tcBorders>
              <w:top w:val="nil"/>
              <w:left w:val="nil"/>
              <w:bottom w:val="single" w:sz="4" w:space="0" w:color="auto"/>
              <w:right w:val="nil"/>
            </w:tcBorders>
            <w:shd w:val="clear" w:color="000000" w:fill="C0C0C0"/>
            <w:noWrap/>
            <w:vAlign w:val="bottom"/>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 </w:t>
            </w:r>
          </w:p>
        </w:tc>
        <w:tc>
          <w:tcPr>
            <w:tcW w:w="488" w:type="dxa"/>
            <w:tcBorders>
              <w:top w:val="nil"/>
              <w:left w:val="nil"/>
              <w:bottom w:val="nil"/>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c>
          <w:tcPr>
            <w:tcW w:w="1547" w:type="dxa"/>
            <w:tcBorders>
              <w:top w:val="nil"/>
              <w:left w:val="nil"/>
              <w:bottom w:val="nil"/>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c>
          <w:tcPr>
            <w:tcW w:w="1547" w:type="dxa"/>
            <w:tcBorders>
              <w:top w:val="nil"/>
              <w:left w:val="nil"/>
              <w:bottom w:val="nil"/>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c>
          <w:tcPr>
            <w:tcW w:w="2008" w:type="dxa"/>
            <w:tcBorders>
              <w:top w:val="nil"/>
              <w:left w:val="nil"/>
              <w:bottom w:val="nil"/>
              <w:right w:val="nil"/>
            </w:tcBorders>
            <w:shd w:val="clear" w:color="000000" w:fill="C0C0C0"/>
            <w:noWrap/>
            <w:vAlign w:val="bottom"/>
          </w:tcPr>
          <w:p w:rsidR="0099686F" w:rsidRPr="0099686F" w:rsidRDefault="0099686F" w:rsidP="0099686F">
            <w:pPr>
              <w:jc w:val="center"/>
              <w:rPr>
                <w:rFonts w:ascii="Arial" w:hAnsi="Arial" w:cs="Arial"/>
                <w:sz w:val="20"/>
              </w:rPr>
            </w:pPr>
            <w:r w:rsidRPr="0099686F">
              <w:rPr>
                <w:rFonts w:ascii="Arial" w:hAnsi="Arial" w:cs="Arial"/>
                <w:sz w:val="20"/>
              </w:rPr>
              <w:t> </w:t>
            </w:r>
          </w:p>
        </w:tc>
      </w:tr>
      <w:tr w:rsidR="0099686F" w:rsidRPr="0099686F" w:rsidTr="0099686F">
        <w:trPr>
          <w:trHeight w:val="1291"/>
        </w:trPr>
        <w:tc>
          <w:tcPr>
            <w:tcW w:w="3098" w:type="dxa"/>
            <w:tcBorders>
              <w:top w:val="nil"/>
              <w:left w:val="single" w:sz="4" w:space="0" w:color="auto"/>
              <w:bottom w:val="nil"/>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2012-13</w:t>
            </w:r>
          </w:p>
        </w:tc>
        <w:tc>
          <w:tcPr>
            <w:tcW w:w="1529" w:type="dxa"/>
            <w:tcBorders>
              <w:top w:val="nil"/>
              <w:left w:val="nil"/>
              <w:bottom w:val="single" w:sz="4" w:space="0" w:color="auto"/>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Rehab Admitted (beds)</w:t>
            </w:r>
          </w:p>
        </w:tc>
        <w:tc>
          <w:tcPr>
            <w:tcW w:w="1689" w:type="dxa"/>
            <w:tcBorders>
              <w:top w:val="nil"/>
              <w:left w:val="nil"/>
              <w:bottom w:val="single" w:sz="4" w:space="0" w:color="auto"/>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GEM Admitted (beds)</w:t>
            </w:r>
          </w:p>
        </w:tc>
        <w:tc>
          <w:tcPr>
            <w:tcW w:w="1547" w:type="dxa"/>
            <w:tcBorders>
              <w:top w:val="nil"/>
              <w:left w:val="nil"/>
              <w:bottom w:val="single" w:sz="4" w:space="0" w:color="auto"/>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Restorative Care Admitted and No-admitted (Places)</w:t>
            </w:r>
          </w:p>
        </w:tc>
        <w:tc>
          <w:tcPr>
            <w:tcW w:w="1529" w:type="dxa"/>
            <w:tcBorders>
              <w:top w:val="nil"/>
              <w:left w:val="nil"/>
              <w:bottom w:val="single" w:sz="4" w:space="0" w:color="auto"/>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Pall Care Admitted (Beds)</w:t>
            </w:r>
          </w:p>
        </w:tc>
        <w:tc>
          <w:tcPr>
            <w:tcW w:w="488" w:type="dxa"/>
            <w:tcBorders>
              <w:top w:val="nil"/>
              <w:left w:val="nil"/>
              <w:bottom w:val="nil"/>
              <w:right w:val="nil"/>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 </w:t>
            </w:r>
          </w:p>
        </w:tc>
        <w:tc>
          <w:tcPr>
            <w:tcW w:w="1547" w:type="dxa"/>
            <w:tcBorders>
              <w:top w:val="single" w:sz="4" w:space="0" w:color="auto"/>
              <w:left w:val="nil"/>
              <w:bottom w:val="nil"/>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proofErr w:type="spellStart"/>
            <w:r w:rsidRPr="0099686F">
              <w:rPr>
                <w:rFonts w:ascii="Verdana" w:hAnsi="Verdana" w:cs="Arial"/>
                <w:b/>
                <w:bCs/>
                <w:sz w:val="16"/>
                <w:szCs w:val="16"/>
              </w:rPr>
              <w:t>Resi</w:t>
            </w:r>
            <w:proofErr w:type="spellEnd"/>
            <w:r w:rsidRPr="0099686F">
              <w:rPr>
                <w:rFonts w:ascii="Verdana" w:hAnsi="Verdana" w:cs="Arial"/>
                <w:b/>
                <w:bCs/>
                <w:sz w:val="16"/>
                <w:szCs w:val="16"/>
              </w:rPr>
              <w:t xml:space="preserve"> </w:t>
            </w:r>
            <w:r w:rsidRPr="0099686F">
              <w:rPr>
                <w:rFonts w:ascii="Verdana" w:hAnsi="Verdana" w:cs="Arial"/>
                <w:b/>
                <w:bCs/>
                <w:sz w:val="16"/>
                <w:szCs w:val="16"/>
              </w:rPr>
              <w:br/>
              <w:t>In-Reach Non-admitted (Funding)</w:t>
            </w:r>
          </w:p>
        </w:tc>
        <w:tc>
          <w:tcPr>
            <w:tcW w:w="1547" w:type="dxa"/>
            <w:tcBorders>
              <w:top w:val="single" w:sz="4" w:space="0" w:color="auto"/>
              <w:left w:val="nil"/>
              <w:bottom w:val="nil"/>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RITH Non-admitted (Funding)</w:t>
            </w:r>
          </w:p>
        </w:tc>
        <w:tc>
          <w:tcPr>
            <w:tcW w:w="2008" w:type="dxa"/>
            <w:tcBorders>
              <w:top w:val="single" w:sz="4" w:space="0" w:color="auto"/>
              <w:left w:val="nil"/>
              <w:bottom w:val="nil"/>
              <w:right w:val="single" w:sz="4" w:space="0" w:color="auto"/>
            </w:tcBorders>
            <w:shd w:val="clear" w:color="000000" w:fill="FF99CC"/>
            <w:vAlign w:val="center"/>
          </w:tcPr>
          <w:p w:rsidR="0099686F" w:rsidRPr="0099686F" w:rsidRDefault="0099686F" w:rsidP="0099686F">
            <w:pPr>
              <w:jc w:val="center"/>
              <w:rPr>
                <w:rFonts w:ascii="Verdana" w:hAnsi="Verdana" w:cs="Arial"/>
                <w:b/>
                <w:bCs/>
                <w:sz w:val="16"/>
                <w:szCs w:val="16"/>
              </w:rPr>
            </w:pPr>
            <w:r w:rsidRPr="0099686F">
              <w:rPr>
                <w:rFonts w:ascii="Verdana" w:hAnsi="Verdana" w:cs="Arial"/>
                <w:b/>
                <w:bCs/>
                <w:sz w:val="16"/>
                <w:szCs w:val="16"/>
              </w:rPr>
              <w:t>Total funding</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Metro</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single" w:sz="4" w:space="0" w:color="auto"/>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nil"/>
              <w:right w:val="nil"/>
            </w:tcBorders>
            <w:shd w:val="clear" w:color="auto" w:fill="auto"/>
            <w:noWrap/>
            <w:vAlign w:val="bottom"/>
          </w:tcPr>
          <w:p w:rsidR="0099686F" w:rsidRPr="0099686F" w:rsidRDefault="004C5AEB" w:rsidP="0099686F">
            <w:pP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876300</wp:posOffset>
                  </wp:positionH>
                  <wp:positionV relativeFrom="paragraph">
                    <wp:posOffset>104775</wp:posOffset>
                  </wp:positionV>
                  <wp:extent cx="85725" cy="219075"/>
                  <wp:effectExtent l="0" t="0" r="0" b="0"/>
                  <wp:wrapNone/>
                  <wp:docPr id="3" name="Text Box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Box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746"/>
            </w:tblGrid>
            <w:tr w:rsidR="0099686F" w:rsidRPr="0099686F" w:rsidTr="0099686F">
              <w:trPr>
                <w:trHeight w:val="210"/>
                <w:tblCellSpacing w:w="0" w:type="dxa"/>
              </w:trPr>
              <w:tc>
                <w:tcPr>
                  <w:tcW w:w="1736"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bl>
          <w:p w:rsidR="0099686F" w:rsidRPr="0099686F" w:rsidRDefault="0099686F" w:rsidP="0099686F">
            <w:pPr>
              <w:rPr>
                <w:rFonts w:ascii="Arial" w:hAnsi="Arial" w:cs="Arial"/>
                <w:sz w:val="20"/>
              </w:rPr>
            </w:pP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Alfred</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16</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6</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City">
              <w:smartTag w:uri="urn:schemas-microsoft-com:office:smarttags" w:element="place">
                <w:r w:rsidRPr="0099686F">
                  <w:rPr>
                    <w:rFonts w:ascii="Verdana" w:hAnsi="Verdana" w:cs="Arial"/>
                    <w:b/>
                    <w:bCs/>
                    <w:sz w:val="16"/>
                    <w:szCs w:val="16"/>
                  </w:rPr>
                  <w:t>Austin</w:t>
                </w:r>
              </w:smartTag>
            </w:smartTag>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24</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280,011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Eastern</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6</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City">
              <w:smartTag w:uri="urn:schemas-microsoft-com:office:smarttags" w:element="place">
                <w:r w:rsidRPr="0099686F">
                  <w:rPr>
                    <w:rFonts w:ascii="Verdana" w:hAnsi="Verdana" w:cs="Arial"/>
                    <w:b/>
                    <w:bCs/>
                    <w:sz w:val="16"/>
                    <w:szCs w:val="16"/>
                  </w:rPr>
                  <w:t>Melbourne</w:t>
                </w:r>
              </w:smartTag>
            </w:smartTag>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11</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280,011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Northern</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8</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224,009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Peninsula</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224,009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Southern</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24</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308,012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place">
              <w:r w:rsidRPr="0099686F">
                <w:rPr>
                  <w:rFonts w:ascii="Verdana" w:hAnsi="Verdana" w:cs="Arial"/>
                  <w:b/>
                  <w:bCs/>
                  <w:sz w:val="16"/>
                  <w:szCs w:val="16"/>
                </w:rPr>
                <w:t>St Vincent</w:t>
              </w:r>
            </w:smartTag>
            <w:r w:rsidRPr="0099686F">
              <w:rPr>
                <w:rFonts w:ascii="Verdana" w:hAnsi="Verdana" w:cs="Arial"/>
                <w:b/>
                <w:bCs/>
                <w:sz w:val="16"/>
                <w:szCs w:val="16"/>
              </w:rPr>
              <w:t>'s</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308,012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Western</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16</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224,009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place">
              <w:r w:rsidRPr="0099686F">
                <w:rPr>
                  <w:rFonts w:ascii="Verdana" w:hAnsi="Verdana" w:cs="Arial"/>
                  <w:b/>
                  <w:bCs/>
                  <w:sz w:val="16"/>
                  <w:szCs w:val="16"/>
                </w:rPr>
                <w:t>Calvary</w:t>
              </w:r>
            </w:smartTag>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3</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Metro Total Beds</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68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84</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44</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7</w:t>
            </w:r>
          </w:p>
        </w:tc>
        <w:tc>
          <w:tcPr>
            <w:tcW w:w="48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Metro total Funding</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$1,810,108</w:t>
            </w:r>
          </w:p>
        </w:tc>
        <w:tc>
          <w:tcPr>
            <w:tcW w:w="168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$18,150,720</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$6,231,280</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$1,461,460</w:t>
            </w:r>
          </w:p>
        </w:tc>
        <w:tc>
          <w:tcPr>
            <w:tcW w:w="48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$2,240,090</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$1,848,075</w:t>
            </w:r>
          </w:p>
        </w:tc>
        <w:tc>
          <w:tcPr>
            <w:tcW w:w="200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$31,741,733</w:t>
            </w:r>
          </w:p>
        </w:tc>
      </w:tr>
      <w:tr w:rsidR="0099686F" w:rsidRPr="0099686F" w:rsidTr="0099686F">
        <w:trPr>
          <w:trHeight w:val="210"/>
        </w:trPr>
        <w:tc>
          <w:tcPr>
            <w:tcW w:w="309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Regional</w:t>
            </w:r>
          </w:p>
        </w:tc>
        <w:tc>
          <w:tcPr>
            <w:tcW w:w="1529"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25"/>
        </w:trPr>
        <w:tc>
          <w:tcPr>
            <w:tcW w:w="3098" w:type="dxa"/>
            <w:tcBorders>
              <w:top w:val="single" w:sz="4" w:space="0" w:color="auto"/>
              <w:left w:val="single" w:sz="4" w:space="0" w:color="auto"/>
              <w:bottom w:val="single" w:sz="4" w:space="0" w:color="auto"/>
              <w:right w:val="single" w:sz="8"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Barwon</w:t>
            </w:r>
          </w:p>
        </w:tc>
        <w:tc>
          <w:tcPr>
            <w:tcW w:w="1529"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5</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3</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308,012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8"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Ballarat</w:t>
            </w:r>
          </w:p>
        </w:tc>
        <w:tc>
          <w:tcPr>
            <w:tcW w:w="1529"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5</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168,007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8"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City">
              <w:smartTag w:uri="urn:schemas-microsoft-com:office:smarttags" w:element="place">
                <w:r w:rsidRPr="0099686F">
                  <w:rPr>
                    <w:rFonts w:ascii="Verdana" w:hAnsi="Verdana" w:cs="Arial"/>
                    <w:b/>
                    <w:bCs/>
                    <w:sz w:val="16"/>
                    <w:szCs w:val="16"/>
                  </w:rPr>
                  <w:t>Bendigo</w:t>
                </w:r>
              </w:smartTag>
            </w:smartTag>
          </w:p>
        </w:tc>
        <w:tc>
          <w:tcPr>
            <w:tcW w:w="1529"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5</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448,018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308,012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8"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smartTag w:uri="urn:schemas-microsoft-com:office:smarttags" w:element="place">
              <w:smartTag w:uri="urn:schemas-microsoft-com:office:smarttags" w:element="PlaceName">
                <w:r w:rsidRPr="0099686F">
                  <w:rPr>
                    <w:rFonts w:ascii="Verdana" w:hAnsi="Verdana" w:cs="Arial"/>
                    <w:b/>
                    <w:bCs/>
                    <w:sz w:val="16"/>
                    <w:szCs w:val="16"/>
                  </w:rPr>
                  <w:t>Goulburn</w:t>
                </w:r>
              </w:smartTag>
              <w:r w:rsidRPr="0099686F">
                <w:rPr>
                  <w:rFonts w:ascii="Verdana" w:hAnsi="Verdana" w:cs="Arial"/>
                  <w:b/>
                  <w:bCs/>
                  <w:sz w:val="16"/>
                  <w:szCs w:val="16"/>
                </w:rPr>
                <w:t xml:space="preserve"> </w:t>
              </w:r>
              <w:smartTag w:uri="urn:schemas-microsoft-com:office:smarttags" w:element="PlaceType">
                <w:r w:rsidRPr="0099686F">
                  <w:rPr>
                    <w:rFonts w:ascii="Verdana" w:hAnsi="Verdana" w:cs="Arial"/>
                    <w:b/>
                    <w:bCs/>
                    <w:sz w:val="16"/>
                    <w:szCs w:val="16"/>
                  </w:rPr>
                  <w:t>Valley</w:t>
                </w:r>
              </w:smartTag>
            </w:smartTag>
          </w:p>
        </w:tc>
        <w:tc>
          <w:tcPr>
            <w:tcW w:w="1529"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112,005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168,007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8" w:space="0" w:color="auto"/>
            </w:tcBorders>
            <w:shd w:val="clear" w:color="auto" w:fill="auto"/>
            <w:noWrap/>
            <w:vAlign w:val="bottom"/>
          </w:tcPr>
          <w:p w:rsidR="0099686F" w:rsidRPr="0099686F" w:rsidRDefault="0099686F" w:rsidP="004C5AEB">
            <w:pPr>
              <w:ind w:firstLineChars="100" w:firstLine="161"/>
              <w:rPr>
                <w:rFonts w:ascii="Verdana" w:hAnsi="Verdana" w:cs="Arial"/>
                <w:b/>
                <w:bCs/>
                <w:sz w:val="16"/>
                <w:szCs w:val="16"/>
              </w:rPr>
            </w:pPr>
            <w:r w:rsidRPr="0099686F">
              <w:rPr>
                <w:rFonts w:ascii="Verdana" w:hAnsi="Verdana" w:cs="Arial"/>
                <w:b/>
                <w:bCs/>
                <w:sz w:val="16"/>
                <w:szCs w:val="16"/>
              </w:rPr>
              <w:t>Latrobe</w:t>
            </w:r>
          </w:p>
        </w:tc>
        <w:tc>
          <w:tcPr>
            <w:tcW w:w="1529" w:type="dxa"/>
            <w:tcBorders>
              <w:top w:val="nil"/>
              <w:left w:val="single" w:sz="4" w:space="0" w:color="auto"/>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4</w:t>
            </w:r>
          </w:p>
        </w:tc>
        <w:tc>
          <w:tcPr>
            <w:tcW w:w="168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c>
          <w:tcPr>
            <w:tcW w:w="1529"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c>
          <w:tcPr>
            <w:tcW w:w="48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c>
          <w:tcPr>
            <w:tcW w:w="1547"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c>
          <w:tcPr>
            <w:tcW w:w="2008" w:type="dxa"/>
            <w:tcBorders>
              <w:top w:val="nil"/>
              <w:left w:val="nil"/>
              <w:bottom w:val="single" w:sz="4" w:space="0" w:color="auto"/>
              <w:right w:val="single" w:sz="4" w:space="0" w:color="auto"/>
            </w:tcBorders>
            <w:shd w:val="clear" w:color="auto" w:fill="auto"/>
            <w:noWrap/>
            <w:vAlign w:val="bottom"/>
          </w:tcPr>
          <w:p w:rsidR="0099686F" w:rsidRPr="0099686F" w:rsidRDefault="0099686F" w:rsidP="0099686F">
            <w:pPr>
              <w:rPr>
                <w:rFonts w:ascii="Verdana" w:hAnsi="Verdana" w:cs="Arial"/>
                <w:b/>
                <w:bCs/>
                <w:sz w:val="16"/>
                <w:szCs w:val="16"/>
              </w:rPr>
            </w:pPr>
            <w:r w:rsidRPr="0099686F">
              <w:rPr>
                <w:rFonts w:ascii="Verdana" w:hAnsi="Verdana" w:cs="Arial"/>
                <w:b/>
                <w:bCs/>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Regional Total Beds</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Arial" w:hAnsi="Arial" w:cs="Arial"/>
                <w:sz w:val="16"/>
                <w:szCs w:val="16"/>
              </w:rPr>
            </w:pPr>
            <w:r w:rsidRPr="0099686F">
              <w:rPr>
                <w:rFonts w:ascii="Arial" w:hAnsi="Arial" w:cs="Arial"/>
                <w:sz w:val="16"/>
                <w:szCs w:val="16"/>
              </w:rPr>
              <w:t>4</w:t>
            </w:r>
          </w:p>
        </w:tc>
        <w:tc>
          <w:tcPr>
            <w:tcW w:w="168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Arial" w:hAnsi="Arial" w:cs="Arial"/>
                <w:sz w:val="16"/>
                <w:szCs w:val="16"/>
              </w:rPr>
            </w:pPr>
            <w:r w:rsidRPr="0099686F">
              <w:rPr>
                <w:rFonts w:ascii="Arial" w:hAnsi="Arial" w:cs="Arial"/>
                <w:sz w:val="16"/>
                <w:szCs w:val="16"/>
              </w:rPr>
              <w:t>11</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Arial" w:hAnsi="Arial" w:cs="Arial"/>
                <w:sz w:val="16"/>
                <w:szCs w:val="16"/>
              </w:rPr>
            </w:pPr>
            <w:r w:rsidRPr="0099686F">
              <w:rPr>
                <w:rFonts w:ascii="Arial" w:hAnsi="Arial" w:cs="Arial"/>
                <w:sz w:val="16"/>
                <w:szCs w:val="16"/>
              </w:rPr>
              <w:t>13</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Arial" w:hAnsi="Arial" w:cs="Arial"/>
                <w:sz w:val="16"/>
                <w:szCs w:val="16"/>
              </w:rPr>
            </w:pPr>
            <w:r w:rsidRPr="0099686F">
              <w:rPr>
                <w:rFonts w:ascii="Arial" w:hAnsi="Arial" w:cs="Arial"/>
                <w:sz w:val="16"/>
                <w:szCs w:val="16"/>
              </w:rPr>
              <w:t>3</w:t>
            </w:r>
          </w:p>
        </w:tc>
        <w:tc>
          <w:tcPr>
            <w:tcW w:w="48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Arial" w:hAnsi="Arial" w:cs="Arial"/>
                <w:sz w:val="16"/>
                <w:szCs w:val="16"/>
              </w:rPr>
            </w:pPr>
            <w:r w:rsidRPr="0099686F">
              <w:rPr>
                <w:rFonts w:ascii="Arial" w:hAnsi="Arial"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Arial" w:hAnsi="Arial" w:cs="Arial"/>
                <w:sz w:val="16"/>
                <w:szCs w:val="16"/>
              </w:rPr>
            </w:pPr>
            <w:r w:rsidRPr="0099686F">
              <w:rPr>
                <w:rFonts w:ascii="Arial" w:hAnsi="Arial"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Arial" w:hAnsi="Arial" w:cs="Arial"/>
                <w:sz w:val="16"/>
                <w:szCs w:val="16"/>
              </w:rPr>
            </w:pPr>
            <w:r w:rsidRPr="0099686F">
              <w:rPr>
                <w:rFonts w:ascii="Arial" w:hAnsi="Arial" w:cs="Arial"/>
                <w:sz w:val="16"/>
                <w:szCs w:val="16"/>
              </w:rPr>
              <w:t> </w:t>
            </w:r>
          </w:p>
        </w:tc>
        <w:tc>
          <w:tcPr>
            <w:tcW w:w="200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Arial" w:hAnsi="Arial" w:cs="Arial"/>
                <w:sz w:val="16"/>
                <w:szCs w:val="16"/>
              </w:rPr>
            </w:pPr>
            <w:r w:rsidRPr="0099686F">
              <w:rPr>
                <w:rFonts w:ascii="Arial" w:hAnsi="Arial" w:cs="Arial"/>
                <w:sz w:val="16"/>
                <w:szCs w:val="16"/>
              </w:rPr>
              <w:t> </w:t>
            </w:r>
          </w:p>
        </w:tc>
      </w:tr>
      <w:tr w:rsidR="0099686F" w:rsidRPr="0099686F" w:rsidTr="0099686F">
        <w:trPr>
          <w:trHeight w:val="225"/>
        </w:trPr>
        <w:tc>
          <w:tcPr>
            <w:tcW w:w="3098"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Regional Total Funding</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$817,600</w:t>
            </w:r>
          </w:p>
        </w:tc>
        <w:tc>
          <w:tcPr>
            <w:tcW w:w="168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$2,248,400</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$1,841,060</w:t>
            </w:r>
          </w:p>
        </w:tc>
        <w:tc>
          <w:tcPr>
            <w:tcW w:w="1529"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jc w:val="right"/>
              <w:rPr>
                <w:rFonts w:ascii="Verdana" w:hAnsi="Verdana" w:cs="Arial"/>
                <w:sz w:val="16"/>
                <w:szCs w:val="16"/>
              </w:rPr>
            </w:pPr>
            <w:r w:rsidRPr="0099686F">
              <w:rPr>
                <w:rFonts w:ascii="Verdana" w:hAnsi="Verdana" w:cs="Arial"/>
                <w:sz w:val="16"/>
                <w:szCs w:val="16"/>
              </w:rPr>
              <w:t>$631,815</w:t>
            </w:r>
          </w:p>
        </w:tc>
        <w:tc>
          <w:tcPr>
            <w:tcW w:w="48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Arial" w:hAnsi="Arial" w:cs="Arial"/>
                <w:sz w:val="16"/>
                <w:szCs w:val="16"/>
              </w:rPr>
            </w:pPr>
            <w:r w:rsidRPr="0099686F">
              <w:rPr>
                <w:rFonts w:ascii="Arial" w:hAnsi="Arial" w:cs="Arial"/>
                <w:sz w:val="16"/>
                <w:szCs w:val="16"/>
              </w:rPr>
              <w:t>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560,023 </w:t>
            </w:r>
          </w:p>
        </w:tc>
        <w:tc>
          <w:tcPr>
            <w:tcW w:w="1547"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952,038 </w:t>
            </w:r>
          </w:p>
        </w:tc>
        <w:tc>
          <w:tcPr>
            <w:tcW w:w="2008" w:type="dxa"/>
            <w:tcBorders>
              <w:top w:val="nil"/>
              <w:left w:val="nil"/>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xml:space="preserve"> $    7,050,936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Total Beds</w:t>
            </w:r>
          </w:p>
        </w:tc>
        <w:tc>
          <w:tcPr>
            <w:tcW w:w="1529" w:type="dxa"/>
            <w:tcBorders>
              <w:top w:val="nil"/>
              <w:left w:val="nil"/>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8</w:t>
            </w:r>
          </w:p>
        </w:tc>
        <w:tc>
          <w:tcPr>
            <w:tcW w:w="1689"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95</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57</w:t>
            </w:r>
          </w:p>
        </w:tc>
        <w:tc>
          <w:tcPr>
            <w:tcW w:w="1529"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10</w:t>
            </w:r>
          </w:p>
        </w:tc>
        <w:tc>
          <w:tcPr>
            <w:tcW w:w="488"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c>
          <w:tcPr>
            <w:tcW w:w="2008"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rPr>
                <w:rFonts w:ascii="Verdana" w:hAnsi="Verdana" w:cs="Arial"/>
                <w:sz w:val="16"/>
                <w:szCs w:val="16"/>
              </w:rPr>
            </w:pPr>
            <w:r w:rsidRPr="0099686F">
              <w:rPr>
                <w:rFonts w:ascii="Verdana" w:hAnsi="Verdana" w:cs="Arial"/>
                <w:sz w:val="16"/>
                <w:szCs w:val="16"/>
              </w:rPr>
              <w:t> </w:t>
            </w:r>
          </w:p>
        </w:tc>
      </w:tr>
      <w:tr w:rsidR="0099686F" w:rsidRPr="0099686F" w:rsidTr="0099686F">
        <w:trPr>
          <w:trHeight w:val="210"/>
        </w:trPr>
        <w:tc>
          <w:tcPr>
            <w:tcW w:w="3098" w:type="dxa"/>
            <w:tcBorders>
              <w:top w:val="nil"/>
              <w:left w:val="single" w:sz="4" w:space="0" w:color="auto"/>
              <w:bottom w:val="single" w:sz="4" w:space="0" w:color="auto"/>
              <w:right w:val="single" w:sz="4" w:space="0" w:color="auto"/>
            </w:tcBorders>
            <w:shd w:val="clear" w:color="000000" w:fill="C0C0C0"/>
            <w:noWrap/>
            <w:vAlign w:val="bottom"/>
          </w:tcPr>
          <w:p w:rsidR="0099686F" w:rsidRPr="0099686F" w:rsidRDefault="0099686F" w:rsidP="0099686F">
            <w:pPr>
              <w:rPr>
                <w:rFonts w:ascii="Verdana" w:hAnsi="Verdana" w:cs="Arial"/>
                <w:b/>
                <w:bCs/>
                <w:sz w:val="16"/>
                <w:szCs w:val="16"/>
                <w:u w:val="single"/>
              </w:rPr>
            </w:pPr>
            <w:r w:rsidRPr="0099686F">
              <w:rPr>
                <w:rFonts w:ascii="Verdana" w:hAnsi="Verdana" w:cs="Arial"/>
                <w:b/>
                <w:bCs/>
                <w:sz w:val="16"/>
                <w:szCs w:val="16"/>
                <w:u w:val="single"/>
              </w:rPr>
              <w:t>Total Funding 2012-13</w:t>
            </w:r>
          </w:p>
        </w:tc>
        <w:tc>
          <w:tcPr>
            <w:tcW w:w="1529" w:type="dxa"/>
            <w:tcBorders>
              <w:top w:val="nil"/>
              <w:left w:val="nil"/>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$2,627,708</w:t>
            </w:r>
          </w:p>
        </w:tc>
        <w:tc>
          <w:tcPr>
            <w:tcW w:w="1689"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$20,399,120</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$8,072,340</w:t>
            </w:r>
          </w:p>
        </w:tc>
        <w:tc>
          <w:tcPr>
            <w:tcW w:w="1529"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$2,093,275</w:t>
            </w:r>
          </w:p>
        </w:tc>
        <w:tc>
          <w:tcPr>
            <w:tcW w:w="488"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rPr>
                <w:rFonts w:ascii="Verdana" w:hAnsi="Verdana" w:cs="Arial"/>
                <w:b/>
                <w:bCs/>
                <w:i/>
                <w:iCs/>
                <w:sz w:val="16"/>
                <w:szCs w:val="16"/>
              </w:rPr>
            </w:pPr>
            <w:r w:rsidRPr="0099686F">
              <w:rPr>
                <w:rFonts w:ascii="Verdana" w:hAnsi="Verdana" w:cs="Arial"/>
                <w:b/>
                <w:bCs/>
                <w:i/>
                <w:iCs/>
                <w:sz w:val="16"/>
                <w:szCs w:val="16"/>
              </w:rPr>
              <w:t> </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$2,800,113</w:t>
            </w:r>
          </w:p>
        </w:tc>
        <w:tc>
          <w:tcPr>
            <w:tcW w:w="1547"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$2,800,113</w:t>
            </w:r>
          </w:p>
        </w:tc>
        <w:tc>
          <w:tcPr>
            <w:tcW w:w="2008" w:type="dxa"/>
            <w:tcBorders>
              <w:top w:val="nil"/>
              <w:left w:val="single" w:sz="4" w:space="0" w:color="auto"/>
              <w:bottom w:val="single" w:sz="4" w:space="0" w:color="auto"/>
              <w:right w:val="nil"/>
            </w:tcBorders>
            <w:shd w:val="clear" w:color="000000" w:fill="C0C0C0"/>
            <w:noWrap/>
            <w:vAlign w:val="bottom"/>
          </w:tcPr>
          <w:p w:rsidR="0099686F" w:rsidRPr="0099686F" w:rsidRDefault="0099686F" w:rsidP="0099686F">
            <w:pPr>
              <w:jc w:val="right"/>
              <w:rPr>
                <w:rFonts w:ascii="Verdana" w:hAnsi="Verdana" w:cs="Arial"/>
                <w:b/>
                <w:bCs/>
                <w:i/>
                <w:iCs/>
                <w:sz w:val="16"/>
                <w:szCs w:val="16"/>
              </w:rPr>
            </w:pPr>
            <w:r w:rsidRPr="0099686F">
              <w:rPr>
                <w:rFonts w:ascii="Verdana" w:hAnsi="Verdana" w:cs="Arial"/>
                <w:b/>
                <w:bCs/>
                <w:i/>
                <w:iCs/>
                <w:sz w:val="16"/>
                <w:szCs w:val="16"/>
              </w:rPr>
              <w:t>$38,792,669</w:t>
            </w:r>
          </w:p>
        </w:tc>
      </w:tr>
      <w:tr w:rsidR="0099686F" w:rsidRPr="0099686F" w:rsidTr="0099686F">
        <w:trPr>
          <w:trHeight w:val="210"/>
        </w:trPr>
        <w:tc>
          <w:tcPr>
            <w:tcW w:w="309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29"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i/>
                <w:iCs/>
                <w:sz w:val="16"/>
                <w:szCs w:val="16"/>
              </w:rPr>
            </w:pPr>
          </w:p>
        </w:tc>
        <w:tc>
          <w:tcPr>
            <w:tcW w:w="1689"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47"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29"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48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47"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1547"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c>
          <w:tcPr>
            <w:tcW w:w="2008" w:type="dxa"/>
            <w:tcBorders>
              <w:top w:val="nil"/>
              <w:left w:val="nil"/>
              <w:bottom w:val="nil"/>
              <w:right w:val="nil"/>
            </w:tcBorders>
            <w:shd w:val="clear" w:color="auto" w:fill="auto"/>
            <w:noWrap/>
            <w:vAlign w:val="bottom"/>
          </w:tcPr>
          <w:p w:rsidR="0099686F" w:rsidRPr="0099686F" w:rsidRDefault="0099686F" w:rsidP="0099686F">
            <w:pPr>
              <w:rPr>
                <w:rFonts w:ascii="Verdana" w:hAnsi="Verdana" w:cs="Arial"/>
                <w:sz w:val="16"/>
                <w:szCs w:val="16"/>
              </w:rPr>
            </w:pPr>
          </w:p>
        </w:tc>
      </w:tr>
    </w:tbl>
    <w:p w:rsidR="004564BB" w:rsidRDefault="004564BB" w:rsidP="009E1D93">
      <w:pPr>
        <w:tabs>
          <w:tab w:val="left" w:pos="567"/>
        </w:tabs>
        <w:rPr>
          <w:sz w:val="12"/>
          <w:szCs w:val="12"/>
        </w:rPr>
      </w:pPr>
    </w:p>
    <w:p w:rsidR="00011078" w:rsidRPr="009E1D93" w:rsidRDefault="00011078" w:rsidP="00011078">
      <w:pPr>
        <w:tabs>
          <w:tab w:val="left" w:pos="567"/>
        </w:tabs>
        <w:rPr>
          <w:sz w:val="12"/>
          <w:szCs w:val="12"/>
        </w:rPr>
      </w:pPr>
    </w:p>
    <w:sectPr w:rsidR="00011078" w:rsidRPr="009E1D93" w:rsidSect="00F517AA">
      <w:headerReference w:type="default" r:id="rId9"/>
      <w:footerReference w:type="default" r:id="rId10"/>
      <w:pgSz w:w="16837" w:h="11905" w:orient="landscape" w:code="9"/>
      <w:pgMar w:top="1418" w:right="1134" w:bottom="1418" w:left="1134" w:header="144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CA2" w:rsidRDefault="00917CA2">
      <w:r>
        <w:separator/>
      </w:r>
    </w:p>
  </w:endnote>
  <w:endnote w:type="continuationSeparator" w:id="0">
    <w:p w:rsidR="00917CA2" w:rsidRDefault="0091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A0" w:rsidRDefault="00B83FA0" w:rsidP="000110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CA2" w:rsidRDefault="00917CA2">
      <w:r>
        <w:separator/>
      </w:r>
    </w:p>
  </w:footnote>
  <w:footnote w:type="continuationSeparator" w:id="0">
    <w:p w:rsidR="00917CA2" w:rsidRDefault="0091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A0" w:rsidRPr="00AE0285" w:rsidRDefault="00B83FA0" w:rsidP="00AE0285">
    <w:pPr>
      <w:pStyle w:val="Header"/>
      <w:jc w:val="right"/>
      <w:rPr>
        <w:b/>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05D01"/>
    <w:multiLevelType w:val="multilevel"/>
    <w:tmpl w:val="0C09001F"/>
    <w:styleLink w:val="Style1-numberedlist"/>
    <w:lvl w:ilvl="0">
      <w:start w:val="1"/>
      <w:numFmt w:val="decimal"/>
      <w:lvlText w:val="%1."/>
      <w:lvlJc w:val="left"/>
      <w:pPr>
        <w:tabs>
          <w:tab w:val="num" w:pos="360"/>
        </w:tabs>
        <w:ind w:left="360" w:hanging="360"/>
      </w:pPr>
      <w:rPr>
        <w:rFonts w:ascii="Arial" w:hAnsi="Arial"/>
        <w:b/>
        <w:sz w:val="32"/>
        <w:szCs w:val="3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2E401C67"/>
    <w:multiLevelType w:val="hybridMultilevel"/>
    <w:tmpl w:val="87FEBE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A62027F"/>
    <w:multiLevelType w:val="multilevel"/>
    <w:tmpl w:val="F89E4650"/>
    <w:lvl w:ilvl="0">
      <w:start w:val="4"/>
      <w:numFmt w:val="upperLetter"/>
      <w:pStyle w:val="ScheduleNumberedPara"/>
      <w:lvlText w:val="%1"/>
      <w:lvlJc w:val="left"/>
      <w:pPr>
        <w:tabs>
          <w:tab w:val="num" w:pos="0"/>
        </w:tabs>
        <w:ind w:hanging="567"/>
      </w:pPr>
      <w:rPr>
        <w:rFonts w:cs="Times New Roman" w:hint="default"/>
      </w:rPr>
    </w:lvl>
    <w:lvl w:ilvl="1">
      <w:start w:val="1"/>
      <w:numFmt w:val="decimal"/>
      <w:pStyle w:val="ScheduleNumberedPara"/>
      <w:lvlText w:val="%1%2"/>
      <w:lvlJc w:val="left"/>
      <w:pPr>
        <w:tabs>
          <w:tab w:val="num" w:pos="851"/>
        </w:tabs>
        <w:ind w:left="851" w:hanging="567"/>
      </w:pPr>
      <w:rPr>
        <w:rFonts w:cs="Times New Roman" w:hint="default"/>
        <w:i w:val="0"/>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
    <w:nsid w:val="4BC875B6"/>
    <w:multiLevelType w:val="hybridMultilevel"/>
    <w:tmpl w:val="2B5234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32A0DCE"/>
    <w:multiLevelType w:val="hybridMultilevel"/>
    <w:tmpl w:val="9A30AC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68D21253"/>
    <w:multiLevelType w:val="hybridMultilevel"/>
    <w:tmpl w:val="5C4E82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CB11B80"/>
    <w:multiLevelType w:val="hybridMultilevel"/>
    <w:tmpl w:val="56F0B2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6F945297"/>
    <w:multiLevelType w:val="hybridMultilevel"/>
    <w:tmpl w:val="688C1E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78854AAC"/>
    <w:multiLevelType w:val="hybridMultilevel"/>
    <w:tmpl w:val="451E0452"/>
    <w:lvl w:ilvl="0" w:tplc="3814ABD4">
      <w:start w:val="1"/>
      <w:numFmt w:val="decimal"/>
      <w:pStyle w:val="Normalnumbered"/>
      <w:lvlText w:val="%1."/>
      <w:lvlJc w:val="left"/>
      <w:pPr>
        <w:tabs>
          <w:tab w:val="num" w:pos="567"/>
        </w:tabs>
        <w:ind w:left="567" w:hanging="567"/>
      </w:pPr>
      <w:rPr>
        <w:rFonts w:hint="default"/>
      </w:rPr>
    </w:lvl>
    <w:lvl w:ilvl="1" w:tplc="0C090003">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abstractNumId w:val="2"/>
  </w:num>
  <w:num w:numId="2">
    <w:abstractNumId w:val="8"/>
  </w:num>
  <w:num w:numId="3">
    <w:abstractNumId w:val="3"/>
  </w:num>
  <w:num w:numId="4">
    <w:abstractNumId w:val="7"/>
  </w:num>
  <w:num w:numId="5">
    <w:abstractNumId w:val="4"/>
  </w:num>
  <w:num w:numId="6">
    <w:abstractNumId w:val="1"/>
  </w:num>
  <w:num w:numId="7">
    <w:abstractNumId w:val="5"/>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083170-4240-490E-974B-863FEC59ED69}"/>
    <w:docVar w:name="dgnword-eventsink" w:val="22232304"/>
  </w:docVars>
  <w:rsids>
    <w:rsidRoot w:val="00B95697"/>
    <w:rsid w:val="00000A05"/>
    <w:rsid w:val="0000147E"/>
    <w:rsid w:val="00001D48"/>
    <w:rsid w:val="0000291D"/>
    <w:rsid w:val="000047BC"/>
    <w:rsid w:val="000101D0"/>
    <w:rsid w:val="00011078"/>
    <w:rsid w:val="00023D07"/>
    <w:rsid w:val="00041270"/>
    <w:rsid w:val="00042B5F"/>
    <w:rsid w:val="00052E76"/>
    <w:rsid w:val="000572F1"/>
    <w:rsid w:val="00062C22"/>
    <w:rsid w:val="00071FD9"/>
    <w:rsid w:val="00085293"/>
    <w:rsid w:val="00090C2C"/>
    <w:rsid w:val="000B4774"/>
    <w:rsid w:val="000B5B0F"/>
    <w:rsid w:val="000B7634"/>
    <w:rsid w:val="000C3950"/>
    <w:rsid w:val="000C6646"/>
    <w:rsid w:val="000D2A9F"/>
    <w:rsid w:val="000D6B08"/>
    <w:rsid w:val="000D7437"/>
    <w:rsid w:val="000E006F"/>
    <w:rsid w:val="000F63EC"/>
    <w:rsid w:val="0010000D"/>
    <w:rsid w:val="00100F35"/>
    <w:rsid w:val="001055A9"/>
    <w:rsid w:val="001123DE"/>
    <w:rsid w:val="001213EF"/>
    <w:rsid w:val="001359BA"/>
    <w:rsid w:val="001422D6"/>
    <w:rsid w:val="001439B4"/>
    <w:rsid w:val="00143F8F"/>
    <w:rsid w:val="001572B4"/>
    <w:rsid w:val="00160371"/>
    <w:rsid w:val="0016524E"/>
    <w:rsid w:val="00165387"/>
    <w:rsid w:val="00170D70"/>
    <w:rsid w:val="0018639D"/>
    <w:rsid w:val="0018656C"/>
    <w:rsid w:val="001903DA"/>
    <w:rsid w:val="001907F8"/>
    <w:rsid w:val="00197497"/>
    <w:rsid w:val="001A0D81"/>
    <w:rsid w:val="001A30EB"/>
    <w:rsid w:val="001B3B5C"/>
    <w:rsid w:val="001C5E73"/>
    <w:rsid w:val="001C62A9"/>
    <w:rsid w:val="001C67F5"/>
    <w:rsid w:val="001D2F94"/>
    <w:rsid w:val="001E0B9D"/>
    <w:rsid w:val="001E5056"/>
    <w:rsid w:val="001F0535"/>
    <w:rsid w:val="001F2F6A"/>
    <w:rsid w:val="001F5705"/>
    <w:rsid w:val="001F6B8C"/>
    <w:rsid w:val="0020484D"/>
    <w:rsid w:val="00215DE0"/>
    <w:rsid w:val="0022369D"/>
    <w:rsid w:val="00223847"/>
    <w:rsid w:val="002257C0"/>
    <w:rsid w:val="00226BA3"/>
    <w:rsid w:val="00241C20"/>
    <w:rsid w:val="0025053E"/>
    <w:rsid w:val="00260379"/>
    <w:rsid w:val="00266531"/>
    <w:rsid w:val="0028373F"/>
    <w:rsid w:val="00283D08"/>
    <w:rsid w:val="002A3692"/>
    <w:rsid w:val="002A4C38"/>
    <w:rsid w:val="002B6298"/>
    <w:rsid w:val="002C3788"/>
    <w:rsid w:val="002C4953"/>
    <w:rsid w:val="002C5AC5"/>
    <w:rsid w:val="002C7E46"/>
    <w:rsid w:val="002D06E4"/>
    <w:rsid w:val="002F3770"/>
    <w:rsid w:val="002F610B"/>
    <w:rsid w:val="00311097"/>
    <w:rsid w:val="003138F2"/>
    <w:rsid w:val="003146AD"/>
    <w:rsid w:val="00317D0E"/>
    <w:rsid w:val="00323C78"/>
    <w:rsid w:val="00324BC7"/>
    <w:rsid w:val="0033175F"/>
    <w:rsid w:val="00337633"/>
    <w:rsid w:val="0034784B"/>
    <w:rsid w:val="00352AF2"/>
    <w:rsid w:val="00360424"/>
    <w:rsid w:val="00361D4E"/>
    <w:rsid w:val="00371F11"/>
    <w:rsid w:val="00372DC5"/>
    <w:rsid w:val="003771D5"/>
    <w:rsid w:val="0038052E"/>
    <w:rsid w:val="00381C1C"/>
    <w:rsid w:val="003909A9"/>
    <w:rsid w:val="003A788A"/>
    <w:rsid w:val="003B1F82"/>
    <w:rsid w:val="003B208B"/>
    <w:rsid w:val="003B3722"/>
    <w:rsid w:val="003B4B04"/>
    <w:rsid w:val="003B4FF5"/>
    <w:rsid w:val="003B5E31"/>
    <w:rsid w:val="003C5495"/>
    <w:rsid w:val="003C7050"/>
    <w:rsid w:val="003C79E4"/>
    <w:rsid w:val="003D2D5B"/>
    <w:rsid w:val="003D3D17"/>
    <w:rsid w:val="003D42E3"/>
    <w:rsid w:val="003D4C87"/>
    <w:rsid w:val="003E2B1F"/>
    <w:rsid w:val="003E74BC"/>
    <w:rsid w:val="003F11A1"/>
    <w:rsid w:val="003F5D83"/>
    <w:rsid w:val="003F6EC7"/>
    <w:rsid w:val="004019A0"/>
    <w:rsid w:val="00402045"/>
    <w:rsid w:val="00404D1A"/>
    <w:rsid w:val="0041137B"/>
    <w:rsid w:val="0042214E"/>
    <w:rsid w:val="00426C33"/>
    <w:rsid w:val="00430BBE"/>
    <w:rsid w:val="00432183"/>
    <w:rsid w:val="004410E3"/>
    <w:rsid w:val="00446D1B"/>
    <w:rsid w:val="004564BB"/>
    <w:rsid w:val="00471B03"/>
    <w:rsid w:val="00476451"/>
    <w:rsid w:val="00476A90"/>
    <w:rsid w:val="004963B0"/>
    <w:rsid w:val="004A1221"/>
    <w:rsid w:val="004A772F"/>
    <w:rsid w:val="004B310D"/>
    <w:rsid w:val="004C5AEB"/>
    <w:rsid w:val="004D030F"/>
    <w:rsid w:val="004D5AFB"/>
    <w:rsid w:val="004E1F86"/>
    <w:rsid w:val="004E58A9"/>
    <w:rsid w:val="004E5C1E"/>
    <w:rsid w:val="004F4F94"/>
    <w:rsid w:val="004F7E92"/>
    <w:rsid w:val="00500525"/>
    <w:rsid w:val="00502428"/>
    <w:rsid w:val="0051150B"/>
    <w:rsid w:val="0052108E"/>
    <w:rsid w:val="00522590"/>
    <w:rsid w:val="00530E8E"/>
    <w:rsid w:val="005378E0"/>
    <w:rsid w:val="0054497E"/>
    <w:rsid w:val="005456AB"/>
    <w:rsid w:val="0055118D"/>
    <w:rsid w:val="00556710"/>
    <w:rsid w:val="005660B7"/>
    <w:rsid w:val="00574279"/>
    <w:rsid w:val="00580346"/>
    <w:rsid w:val="005865A8"/>
    <w:rsid w:val="005956D6"/>
    <w:rsid w:val="005A1883"/>
    <w:rsid w:val="005C08CA"/>
    <w:rsid w:val="005D10FA"/>
    <w:rsid w:val="005D3A72"/>
    <w:rsid w:val="005F0E76"/>
    <w:rsid w:val="005F1591"/>
    <w:rsid w:val="005F3F55"/>
    <w:rsid w:val="00601BBC"/>
    <w:rsid w:val="006152B4"/>
    <w:rsid w:val="00620720"/>
    <w:rsid w:val="006320AD"/>
    <w:rsid w:val="00655ED0"/>
    <w:rsid w:val="006669AA"/>
    <w:rsid w:val="00671842"/>
    <w:rsid w:val="00677C8A"/>
    <w:rsid w:val="00682E46"/>
    <w:rsid w:val="00691BC0"/>
    <w:rsid w:val="00693D38"/>
    <w:rsid w:val="006956B2"/>
    <w:rsid w:val="006966E6"/>
    <w:rsid w:val="00696C68"/>
    <w:rsid w:val="006A6F67"/>
    <w:rsid w:val="006A7A52"/>
    <w:rsid w:val="006B511E"/>
    <w:rsid w:val="006C0612"/>
    <w:rsid w:val="006C15EF"/>
    <w:rsid w:val="006D006D"/>
    <w:rsid w:val="006D0A45"/>
    <w:rsid w:val="006D55FB"/>
    <w:rsid w:val="006D596A"/>
    <w:rsid w:val="006D7B3E"/>
    <w:rsid w:val="006E30AF"/>
    <w:rsid w:val="006E5C94"/>
    <w:rsid w:val="006E5CA7"/>
    <w:rsid w:val="006F195F"/>
    <w:rsid w:val="006F2A8A"/>
    <w:rsid w:val="00714404"/>
    <w:rsid w:val="0071764D"/>
    <w:rsid w:val="00724BFA"/>
    <w:rsid w:val="00730671"/>
    <w:rsid w:val="00735264"/>
    <w:rsid w:val="0074387E"/>
    <w:rsid w:val="007503F6"/>
    <w:rsid w:val="00753751"/>
    <w:rsid w:val="00760908"/>
    <w:rsid w:val="00761C06"/>
    <w:rsid w:val="007623A9"/>
    <w:rsid w:val="00774CD9"/>
    <w:rsid w:val="00775B44"/>
    <w:rsid w:val="0077621A"/>
    <w:rsid w:val="007775EE"/>
    <w:rsid w:val="00777CE7"/>
    <w:rsid w:val="0079525C"/>
    <w:rsid w:val="00795EC1"/>
    <w:rsid w:val="00796115"/>
    <w:rsid w:val="007A6025"/>
    <w:rsid w:val="007B6415"/>
    <w:rsid w:val="007C74DD"/>
    <w:rsid w:val="007D21A1"/>
    <w:rsid w:val="007E046E"/>
    <w:rsid w:val="007F1D42"/>
    <w:rsid w:val="007F26CA"/>
    <w:rsid w:val="008013CB"/>
    <w:rsid w:val="008055F6"/>
    <w:rsid w:val="00806390"/>
    <w:rsid w:val="00812FFF"/>
    <w:rsid w:val="00817CE6"/>
    <w:rsid w:val="00821FC0"/>
    <w:rsid w:val="00827666"/>
    <w:rsid w:val="008276C5"/>
    <w:rsid w:val="008319C5"/>
    <w:rsid w:val="00837055"/>
    <w:rsid w:val="00851687"/>
    <w:rsid w:val="008652D9"/>
    <w:rsid w:val="00875D5C"/>
    <w:rsid w:val="00882000"/>
    <w:rsid w:val="00884555"/>
    <w:rsid w:val="00887071"/>
    <w:rsid w:val="00887461"/>
    <w:rsid w:val="00890FAB"/>
    <w:rsid w:val="008925DA"/>
    <w:rsid w:val="0089617B"/>
    <w:rsid w:val="00897B1B"/>
    <w:rsid w:val="008A22AD"/>
    <w:rsid w:val="008B2CAF"/>
    <w:rsid w:val="008B58EE"/>
    <w:rsid w:val="008B6E8C"/>
    <w:rsid w:val="008D4282"/>
    <w:rsid w:val="008D6FCE"/>
    <w:rsid w:val="008E39F4"/>
    <w:rsid w:val="008E7692"/>
    <w:rsid w:val="008F2FF0"/>
    <w:rsid w:val="009005E5"/>
    <w:rsid w:val="00917CA2"/>
    <w:rsid w:val="009225B3"/>
    <w:rsid w:val="00925016"/>
    <w:rsid w:val="0092773E"/>
    <w:rsid w:val="00934500"/>
    <w:rsid w:val="009370C9"/>
    <w:rsid w:val="00942DAB"/>
    <w:rsid w:val="0094615E"/>
    <w:rsid w:val="0096322D"/>
    <w:rsid w:val="009673D9"/>
    <w:rsid w:val="00974B1C"/>
    <w:rsid w:val="00980C08"/>
    <w:rsid w:val="00985F9E"/>
    <w:rsid w:val="0099686F"/>
    <w:rsid w:val="009A0143"/>
    <w:rsid w:val="009A1074"/>
    <w:rsid w:val="009B1648"/>
    <w:rsid w:val="009B3AA8"/>
    <w:rsid w:val="009B43DA"/>
    <w:rsid w:val="009B683B"/>
    <w:rsid w:val="009C3AA8"/>
    <w:rsid w:val="009D09F3"/>
    <w:rsid w:val="009D34E3"/>
    <w:rsid w:val="009D4E8F"/>
    <w:rsid w:val="009D5B25"/>
    <w:rsid w:val="009E1D93"/>
    <w:rsid w:val="009F1CA9"/>
    <w:rsid w:val="009F69CB"/>
    <w:rsid w:val="00A00652"/>
    <w:rsid w:val="00A22135"/>
    <w:rsid w:val="00A23360"/>
    <w:rsid w:val="00A3594B"/>
    <w:rsid w:val="00A56237"/>
    <w:rsid w:val="00A5796B"/>
    <w:rsid w:val="00A62DD7"/>
    <w:rsid w:val="00A66AA3"/>
    <w:rsid w:val="00A77F8A"/>
    <w:rsid w:val="00A81B75"/>
    <w:rsid w:val="00A825FC"/>
    <w:rsid w:val="00A86E44"/>
    <w:rsid w:val="00A91004"/>
    <w:rsid w:val="00A92D7F"/>
    <w:rsid w:val="00A94AC2"/>
    <w:rsid w:val="00A94CF2"/>
    <w:rsid w:val="00AA30A8"/>
    <w:rsid w:val="00AC54B6"/>
    <w:rsid w:val="00AC5B1F"/>
    <w:rsid w:val="00AD0712"/>
    <w:rsid w:val="00AD5C55"/>
    <w:rsid w:val="00AE0285"/>
    <w:rsid w:val="00AE4E6B"/>
    <w:rsid w:val="00AE6447"/>
    <w:rsid w:val="00AF3808"/>
    <w:rsid w:val="00AF3D2D"/>
    <w:rsid w:val="00AF6C1E"/>
    <w:rsid w:val="00B0380D"/>
    <w:rsid w:val="00B10C94"/>
    <w:rsid w:val="00B204D6"/>
    <w:rsid w:val="00B20543"/>
    <w:rsid w:val="00B212E4"/>
    <w:rsid w:val="00B21C3F"/>
    <w:rsid w:val="00B23AA0"/>
    <w:rsid w:val="00B325F6"/>
    <w:rsid w:val="00B371F5"/>
    <w:rsid w:val="00B41859"/>
    <w:rsid w:val="00B434B0"/>
    <w:rsid w:val="00B45561"/>
    <w:rsid w:val="00B50E17"/>
    <w:rsid w:val="00B569F1"/>
    <w:rsid w:val="00B57ECC"/>
    <w:rsid w:val="00B6200C"/>
    <w:rsid w:val="00B6786B"/>
    <w:rsid w:val="00B76CF4"/>
    <w:rsid w:val="00B80FAE"/>
    <w:rsid w:val="00B81A01"/>
    <w:rsid w:val="00B83FA0"/>
    <w:rsid w:val="00B87A9B"/>
    <w:rsid w:val="00B923AC"/>
    <w:rsid w:val="00B93E5E"/>
    <w:rsid w:val="00B95697"/>
    <w:rsid w:val="00BA6A49"/>
    <w:rsid w:val="00BB1CC5"/>
    <w:rsid w:val="00BB3C93"/>
    <w:rsid w:val="00BB5891"/>
    <w:rsid w:val="00BC44AD"/>
    <w:rsid w:val="00BD3B23"/>
    <w:rsid w:val="00BD6C03"/>
    <w:rsid w:val="00BF6398"/>
    <w:rsid w:val="00C0050D"/>
    <w:rsid w:val="00C01175"/>
    <w:rsid w:val="00C11F69"/>
    <w:rsid w:val="00C25E0A"/>
    <w:rsid w:val="00C300C3"/>
    <w:rsid w:val="00C33658"/>
    <w:rsid w:val="00C41346"/>
    <w:rsid w:val="00C450E9"/>
    <w:rsid w:val="00C51F91"/>
    <w:rsid w:val="00C52DDE"/>
    <w:rsid w:val="00C57B71"/>
    <w:rsid w:val="00C62A12"/>
    <w:rsid w:val="00C62CB0"/>
    <w:rsid w:val="00C67370"/>
    <w:rsid w:val="00C75A9F"/>
    <w:rsid w:val="00C766E9"/>
    <w:rsid w:val="00C83FA9"/>
    <w:rsid w:val="00C84AD3"/>
    <w:rsid w:val="00C9683B"/>
    <w:rsid w:val="00CA2445"/>
    <w:rsid w:val="00CA66DC"/>
    <w:rsid w:val="00CB1E12"/>
    <w:rsid w:val="00CB603B"/>
    <w:rsid w:val="00CB6459"/>
    <w:rsid w:val="00CB735E"/>
    <w:rsid w:val="00CD0784"/>
    <w:rsid w:val="00CE0363"/>
    <w:rsid w:val="00CE0B77"/>
    <w:rsid w:val="00CE15CA"/>
    <w:rsid w:val="00CE2865"/>
    <w:rsid w:val="00CE5C7E"/>
    <w:rsid w:val="00CF0058"/>
    <w:rsid w:val="00CF039D"/>
    <w:rsid w:val="00CF4485"/>
    <w:rsid w:val="00D003A5"/>
    <w:rsid w:val="00D00697"/>
    <w:rsid w:val="00D02796"/>
    <w:rsid w:val="00D07EE7"/>
    <w:rsid w:val="00D12FE3"/>
    <w:rsid w:val="00D13D2E"/>
    <w:rsid w:val="00D17C71"/>
    <w:rsid w:val="00D204EF"/>
    <w:rsid w:val="00D253BF"/>
    <w:rsid w:val="00D274B6"/>
    <w:rsid w:val="00D342C4"/>
    <w:rsid w:val="00D35CAE"/>
    <w:rsid w:val="00D36031"/>
    <w:rsid w:val="00D37E55"/>
    <w:rsid w:val="00D4627E"/>
    <w:rsid w:val="00D5150E"/>
    <w:rsid w:val="00D71C68"/>
    <w:rsid w:val="00D7223E"/>
    <w:rsid w:val="00D76702"/>
    <w:rsid w:val="00D8037E"/>
    <w:rsid w:val="00D8178A"/>
    <w:rsid w:val="00D90DB9"/>
    <w:rsid w:val="00D92AD4"/>
    <w:rsid w:val="00D938D0"/>
    <w:rsid w:val="00D95FAA"/>
    <w:rsid w:val="00D96B8D"/>
    <w:rsid w:val="00DA172C"/>
    <w:rsid w:val="00DA40B3"/>
    <w:rsid w:val="00DA50A4"/>
    <w:rsid w:val="00DB140F"/>
    <w:rsid w:val="00DB6645"/>
    <w:rsid w:val="00DC19F0"/>
    <w:rsid w:val="00DC707A"/>
    <w:rsid w:val="00DE5644"/>
    <w:rsid w:val="00E00AF8"/>
    <w:rsid w:val="00E07638"/>
    <w:rsid w:val="00E10522"/>
    <w:rsid w:val="00E1739F"/>
    <w:rsid w:val="00E2038B"/>
    <w:rsid w:val="00E44128"/>
    <w:rsid w:val="00E4487C"/>
    <w:rsid w:val="00E45C38"/>
    <w:rsid w:val="00E5044D"/>
    <w:rsid w:val="00E51414"/>
    <w:rsid w:val="00E63DF2"/>
    <w:rsid w:val="00E747C1"/>
    <w:rsid w:val="00E80654"/>
    <w:rsid w:val="00E81172"/>
    <w:rsid w:val="00E832F5"/>
    <w:rsid w:val="00E86EA2"/>
    <w:rsid w:val="00E90E76"/>
    <w:rsid w:val="00E91506"/>
    <w:rsid w:val="00E96844"/>
    <w:rsid w:val="00EA505C"/>
    <w:rsid w:val="00EB08CC"/>
    <w:rsid w:val="00EC03B2"/>
    <w:rsid w:val="00EC6858"/>
    <w:rsid w:val="00ED2F30"/>
    <w:rsid w:val="00ED6CB2"/>
    <w:rsid w:val="00EE48AA"/>
    <w:rsid w:val="00EE6575"/>
    <w:rsid w:val="00F14852"/>
    <w:rsid w:val="00F16929"/>
    <w:rsid w:val="00F224CF"/>
    <w:rsid w:val="00F31996"/>
    <w:rsid w:val="00F36D49"/>
    <w:rsid w:val="00F37C26"/>
    <w:rsid w:val="00F41E0E"/>
    <w:rsid w:val="00F43AB3"/>
    <w:rsid w:val="00F456AC"/>
    <w:rsid w:val="00F4592B"/>
    <w:rsid w:val="00F45ACA"/>
    <w:rsid w:val="00F46DD5"/>
    <w:rsid w:val="00F517AA"/>
    <w:rsid w:val="00F5279A"/>
    <w:rsid w:val="00F53483"/>
    <w:rsid w:val="00F56B5D"/>
    <w:rsid w:val="00F6424D"/>
    <w:rsid w:val="00F71DAE"/>
    <w:rsid w:val="00F77178"/>
    <w:rsid w:val="00F8114C"/>
    <w:rsid w:val="00F84F86"/>
    <w:rsid w:val="00FA175D"/>
    <w:rsid w:val="00FA5D4F"/>
    <w:rsid w:val="00FB5383"/>
    <w:rsid w:val="00FB7E6D"/>
    <w:rsid w:val="00FC13E5"/>
    <w:rsid w:val="00FE08BB"/>
    <w:rsid w:val="00FE2F1D"/>
    <w:rsid w:val="00FE4626"/>
    <w:rsid w:val="00FE5A92"/>
    <w:rsid w:val="00FE6627"/>
    <w:rsid w:val="00FF08F1"/>
    <w:rsid w:val="00FF39BD"/>
    <w:rsid w:val="00FF3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a">
    <w:basedOn w:val="Normal"/>
    <w:link w:val="DefaultParagraphFont"/>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 Char1 Char Char Char Char Char1 Char"/>
    <w:basedOn w:val="Normal"/>
    <w:rsid w:val="00CB603B"/>
    <w:rPr>
      <w:rFonts w:ascii="Arial" w:hAnsi="Arial" w:cs="Arial"/>
      <w:sz w:val="22"/>
      <w:szCs w:val="22"/>
      <w:lang w:eastAsia="en-US"/>
    </w:rPr>
  </w:style>
  <w:style w:type="paragraph" w:customStyle="1" w:styleId="a0">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locked/>
    <w:rsid w:val="00FF08F1"/>
    <w:rPr>
      <w:rFonts w:ascii="Corbel" w:hAnsi="Corbel" w:cs="Corbel"/>
      <w:color w:val="000000"/>
      <w:sz w:val="23"/>
      <w:szCs w:val="23"/>
      <w:lang w:val="en-AU" w:eastAsia="en-AU" w:bidi="ar-SA"/>
    </w:rPr>
  </w:style>
  <w:style w:type="character" w:styleId="Hyperlink">
    <w:name w:val="Hyperlink"/>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numbering" w:customStyle="1" w:styleId="Style1-numberedlist">
    <w:name w:val="Style1 - numbered list"/>
    <w:rsid w:val="003D3D17"/>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697"/>
    <w:rPr>
      <w:sz w:val="24"/>
    </w:rPr>
  </w:style>
  <w:style w:type="paragraph" w:styleId="Heading3">
    <w:name w:val="heading 3"/>
    <w:basedOn w:val="Normal"/>
    <w:next w:val="Normal"/>
    <w:qFormat/>
    <w:rsid w:val="009E1D93"/>
    <w:pPr>
      <w:keepNext/>
      <w:spacing w:before="240" w:after="60"/>
      <w:outlineLvl w:val="2"/>
    </w:pPr>
    <w:rPr>
      <w:rFonts w:ascii="Arial" w:hAnsi="Arial" w:cs="Arial"/>
      <w:b/>
      <w:bCs/>
      <w:sz w:val="26"/>
      <w:szCs w:val="26"/>
    </w:rPr>
  </w:style>
  <w:style w:type="paragraph" w:styleId="Heading5">
    <w:name w:val="heading 5"/>
    <w:basedOn w:val="Normal"/>
    <w:next w:val="Normal"/>
    <w:qFormat/>
    <w:rsid w:val="00B95697"/>
    <w:pPr>
      <w:keepNext/>
      <w:outlineLvl w:val="4"/>
    </w:pPr>
    <w:rPr>
      <w:b/>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95697"/>
    <w:pPr>
      <w:widowControl w:val="0"/>
      <w:tabs>
        <w:tab w:val="center" w:pos="4153"/>
        <w:tab w:val="right" w:pos="8306"/>
      </w:tabs>
    </w:pPr>
    <w:rPr>
      <w:snapToGrid w:val="0"/>
      <w:lang w:val="en-US" w:eastAsia="en-US"/>
    </w:rPr>
  </w:style>
  <w:style w:type="paragraph" w:styleId="Footer">
    <w:name w:val="footer"/>
    <w:basedOn w:val="Normal"/>
    <w:rsid w:val="00B95697"/>
    <w:pPr>
      <w:tabs>
        <w:tab w:val="center" w:pos="4153"/>
        <w:tab w:val="right" w:pos="8306"/>
      </w:tabs>
    </w:pPr>
  </w:style>
  <w:style w:type="character" w:styleId="PageNumber">
    <w:name w:val="page number"/>
    <w:basedOn w:val="DefaultParagraphFont"/>
    <w:rsid w:val="00B95697"/>
  </w:style>
  <w:style w:type="paragraph" w:styleId="BodyText">
    <w:name w:val="Body Text"/>
    <w:basedOn w:val="Normal"/>
    <w:rsid w:val="00B95697"/>
    <w:pPr>
      <w:tabs>
        <w:tab w:val="left" w:pos="720"/>
      </w:tabs>
    </w:pPr>
    <w:rPr>
      <w:sz w:val="28"/>
    </w:rPr>
  </w:style>
  <w:style w:type="paragraph" w:customStyle="1" w:styleId="a">
    <w:basedOn w:val="Normal"/>
    <w:link w:val="DefaultParagraphFont"/>
    <w:rsid w:val="00B95697"/>
    <w:rPr>
      <w:rFonts w:ascii="Arial" w:hAnsi="Arial" w:cs="Arial"/>
      <w:sz w:val="22"/>
      <w:szCs w:val="22"/>
      <w:lang w:eastAsia="en-US"/>
    </w:rPr>
  </w:style>
  <w:style w:type="paragraph" w:customStyle="1" w:styleId="NormalArial">
    <w:name w:val="Normal + Arial"/>
    <w:basedOn w:val="Normal"/>
    <w:rsid w:val="00B95697"/>
    <w:rPr>
      <w:szCs w:val="24"/>
      <w:lang w:eastAsia="en-US"/>
    </w:rPr>
  </w:style>
  <w:style w:type="paragraph" w:customStyle="1" w:styleId="ScheduleNumberedPara">
    <w:name w:val="ScheduleNumberedPara"/>
    <w:basedOn w:val="Normal"/>
    <w:rsid w:val="00B95697"/>
    <w:pPr>
      <w:numPr>
        <w:ilvl w:val="1"/>
        <w:numId w:val="1"/>
      </w:numPr>
      <w:tabs>
        <w:tab w:val="clear" w:pos="851"/>
        <w:tab w:val="num" w:pos="567"/>
      </w:tabs>
      <w:spacing w:after="240" w:line="260" w:lineRule="exact"/>
      <w:ind w:left="567"/>
      <w:jc w:val="both"/>
    </w:pPr>
    <w:rPr>
      <w:rFonts w:ascii="Corbel" w:hAnsi="Corbel"/>
      <w:color w:val="000000"/>
      <w:sz w:val="23"/>
    </w:rPr>
  </w:style>
  <w:style w:type="table" w:styleId="TableGrid">
    <w:name w:val="Table Grid"/>
    <w:basedOn w:val="TableNormal"/>
    <w:rsid w:val="00B956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CharChar1Char">
    <w:name w:val=" Char1 Char Char Char Char Char1 Char"/>
    <w:basedOn w:val="Normal"/>
    <w:rsid w:val="00CB603B"/>
    <w:rPr>
      <w:rFonts w:ascii="Arial" w:hAnsi="Arial" w:cs="Arial"/>
      <w:sz w:val="22"/>
      <w:szCs w:val="22"/>
      <w:lang w:eastAsia="en-US"/>
    </w:rPr>
  </w:style>
  <w:style w:type="paragraph" w:customStyle="1" w:styleId="a0">
    <w:name w:val="_"/>
    <w:basedOn w:val="Normal"/>
    <w:rsid w:val="0071764D"/>
    <w:pPr>
      <w:widowControl w:val="0"/>
      <w:ind w:left="770" w:hanging="770"/>
    </w:pPr>
    <w:rPr>
      <w:snapToGrid w:val="0"/>
      <w:lang w:val="en-US" w:eastAsia="en-US"/>
    </w:rPr>
  </w:style>
  <w:style w:type="paragraph" w:styleId="FootnoteText">
    <w:name w:val="footnote text"/>
    <w:basedOn w:val="Normal"/>
    <w:semiHidden/>
    <w:rsid w:val="00FE08BB"/>
    <w:rPr>
      <w:sz w:val="20"/>
    </w:rPr>
  </w:style>
  <w:style w:type="character" w:styleId="FootnoteReference">
    <w:name w:val="footnote reference"/>
    <w:semiHidden/>
    <w:rsid w:val="00FE08BB"/>
    <w:rPr>
      <w:vertAlign w:val="superscript"/>
    </w:rPr>
  </w:style>
  <w:style w:type="paragraph" w:customStyle="1" w:styleId="Char1">
    <w:name w:val="Char1"/>
    <w:basedOn w:val="Normal"/>
    <w:rsid w:val="00E07638"/>
    <w:rPr>
      <w:rFonts w:ascii="Arial" w:hAnsi="Arial" w:cs="Arial"/>
      <w:sz w:val="22"/>
      <w:szCs w:val="22"/>
      <w:lang w:eastAsia="en-US"/>
    </w:rPr>
  </w:style>
  <w:style w:type="paragraph" w:customStyle="1" w:styleId="TableTextLeft">
    <w:name w:val="Table Text Left"/>
    <w:basedOn w:val="Normal"/>
    <w:rsid w:val="00FF08F1"/>
    <w:pPr>
      <w:spacing w:before="40" w:after="40"/>
      <w:jc w:val="both"/>
    </w:pPr>
    <w:rPr>
      <w:rFonts w:ascii="Corbel" w:hAnsi="Corbel" w:cs="Corbel"/>
      <w:color w:val="000000"/>
      <w:sz w:val="21"/>
      <w:szCs w:val="21"/>
    </w:rPr>
  </w:style>
  <w:style w:type="paragraph" w:customStyle="1" w:styleId="Normalnumbered">
    <w:name w:val="Normal numbered"/>
    <w:basedOn w:val="Normal"/>
    <w:link w:val="NormalnumberedChar"/>
    <w:rsid w:val="00FF08F1"/>
    <w:pPr>
      <w:numPr>
        <w:numId w:val="2"/>
      </w:numPr>
      <w:spacing w:after="240" w:line="260" w:lineRule="exact"/>
      <w:jc w:val="both"/>
    </w:pPr>
    <w:rPr>
      <w:rFonts w:ascii="Corbel" w:hAnsi="Corbel" w:cs="Corbel"/>
      <w:color w:val="000000"/>
      <w:sz w:val="23"/>
      <w:szCs w:val="23"/>
    </w:rPr>
  </w:style>
  <w:style w:type="character" w:customStyle="1" w:styleId="NormalnumberedChar">
    <w:name w:val="Normal numbered Char"/>
    <w:link w:val="Normalnumbered"/>
    <w:locked/>
    <w:rsid w:val="00FF08F1"/>
    <w:rPr>
      <w:rFonts w:ascii="Corbel" w:hAnsi="Corbel" w:cs="Corbel"/>
      <w:color w:val="000000"/>
      <w:sz w:val="23"/>
      <w:szCs w:val="23"/>
      <w:lang w:val="en-AU" w:eastAsia="en-AU" w:bidi="ar-SA"/>
    </w:rPr>
  </w:style>
  <w:style w:type="character" w:styleId="Hyperlink">
    <w:name w:val="Hyperlink"/>
    <w:rsid w:val="00ED6CB2"/>
    <w:rPr>
      <w:color w:val="0000FF"/>
      <w:u w:val="single"/>
    </w:rPr>
  </w:style>
  <w:style w:type="paragraph" w:styleId="BalloonText">
    <w:name w:val="Balloon Text"/>
    <w:basedOn w:val="Normal"/>
    <w:semiHidden/>
    <w:rsid w:val="009E1D93"/>
    <w:rPr>
      <w:rFonts w:ascii="Tahoma" w:hAnsi="Tahoma" w:cs="Tahoma"/>
      <w:sz w:val="16"/>
      <w:szCs w:val="16"/>
    </w:rPr>
  </w:style>
  <w:style w:type="paragraph" w:customStyle="1" w:styleId="CharChar1CharCharCharChar">
    <w:name w:val="Char Char1 Char Char Char Char"/>
    <w:basedOn w:val="Normal"/>
    <w:rsid w:val="004564BB"/>
    <w:rPr>
      <w:rFonts w:ascii="Arial" w:hAnsi="Arial" w:cs="Arial"/>
      <w:b/>
      <w:sz w:val="22"/>
      <w:szCs w:val="22"/>
      <w:lang w:eastAsia="en-US"/>
    </w:rPr>
  </w:style>
  <w:style w:type="numbering" w:customStyle="1" w:styleId="Style1-numberedlist">
    <w:name w:val="Style1 - numbered list"/>
    <w:rsid w:val="003D3D1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16060">
      <w:bodyDiv w:val="1"/>
      <w:marLeft w:val="0"/>
      <w:marRight w:val="0"/>
      <w:marTop w:val="0"/>
      <w:marBottom w:val="0"/>
      <w:divBdr>
        <w:top w:val="none" w:sz="0" w:space="0" w:color="auto"/>
        <w:left w:val="none" w:sz="0" w:space="0" w:color="auto"/>
        <w:bottom w:val="none" w:sz="0" w:space="0" w:color="auto"/>
        <w:right w:val="none" w:sz="0" w:space="0" w:color="auto"/>
      </w:divBdr>
    </w:div>
    <w:div w:id="1159030374">
      <w:bodyDiv w:val="1"/>
      <w:marLeft w:val="0"/>
      <w:marRight w:val="0"/>
      <w:marTop w:val="0"/>
      <w:marBottom w:val="0"/>
      <w:divBdr>
        <w:top w:val="none" w:sz="0" w:space="0" w:color="auto"/>
        <w:left w:val="none" w:sz="0" w:space="0" w:color="auto"/>
        <w:bottom w:val="none" w:sz="0" w:space="0" w:color="auto"/>
        <w:right w:val="none" w:sz="0" w:space="0" w:color="auto"/>
      </w:divBdr>
    </w:div>
    <w:div w:id="1658535888">
      <w:bodyDiv w:val="1"/>
      <w:marLeft w:val="0"/>
      <w:marRight w:val="0"/>
      <w:marTop w:val="0"/>
      <w:marBottom w:val="0"/>
      <w:divBdr>
        <w:top w:val="none" w:sz="0" w:space="0" w:color="auto"/>
        <w:left w:val="none" w:sz="0" w:space="0" w:color="auto"/>
        <w:bottom w:val="none" w:sz="0" w:space="0" w:color="auto"/>
        <w:right w:val="none" w:sz="0" w:space="0" w:color="auto"/>
      </w:divBdr>
    </w:div>
    <w:div w:id="177432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1516</Words>
  <Characters>9423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2014-01-15T07:04:00Z</dcterms:created>
  <dcterms:modified xsi:type="dcterms:W3CDTF">2014-01-15T07:04:00Z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