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2A4" w:rsidRDefault="00EC32A4" w:rsidP="003715B0">
      <w:pPr>
        <w:pStyle w:val="BodyText"/>
        <w:rPr>
          <w:b/>
          <w:szCs w:val="26"/>
        </w:rPr>
      </w:pPr>
      <w:bookmarkStart w:id="0" w:name="ChapterTitle"/>
      <w:bookmarkStart w:id="1" w:name="_GoBack"/>
      <w:r>
        <w:rPr>
          <w:noProof/>
        </w:rPr>
        <w:drawing>
          <wp:anchor distT="0" distB="0" distL="114300" distR="114300" simplePos="0" relativeHeight="251658240" behindDoc="1" locked="0" layoutInCell="1" allowOverlap="1">
            <wp:simplePos x="1151467" y="1411111"/>
            <wp:positionH relativeFrom="page">
              <wp:align>center</wp:align>
            </wp:positionH>
            <wp:positionV relativeFrom="page">
              <wp:align>center</wp:align>
            </wp:positionV>
            <wp:extent cx="6480000" cy="9594000"/>
            <wp:effectExtent l="0" t="0" r="0" b="7620"/>
            <wp:wrapNone/>
            <wp:docPr id="1" name="Picture 1" descr="Cover image for the Australian Government Productivity Commission Staff Research Note titled 'On productivity: the influence of natural resource inputs'. By Vernon Topp and Tony Kulys. Published June 2013.&#10;&#10;The views expressed in this note are those of the staff involved and do notnecessarily reflect the views of the Productiv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cover-productivity.png"/>
                    <pic:cNvPicPr/>
                  </pic:nvPicPr>
                  <pic:blipFill>
                    <a:blip r:embed="rId9">
                      <a:extLst>
                        <a:ext uri="{28A0092B-C50C-407E-A947-70E740481C1C}">
                          <a14:useLocalDpi xmlns:a14="http://schemas.microsoft.com/office/drawing/2010/main" val="0"/>
                        </a:ext>
                      </a:extLst>
                    </a:blip>
                    <a:stretch>
                      <a:fillRect/>
                    </a:stretch>
                  </pic:blipFill>
                  <pic:spPr>
                    <a:xfrm>
                      <a:off x="0" y="0"/>
                      <a:ext cx="6480000" cy="9594000"/>
                    </a:xfrm>
                    <a:prstGeom prst="rect">
                      <a:avLst/>
                    </a:prstGeom>
                  </pic:spPr>
                </pic:pic>
              </a:graphicData>
            </a:graphic>
            <wp14:sizeRelH relativeFrom="margin">
              <wp14:pctWidth>0</wp14:pctWidth>
            </wp14:sizeRelH>
            <wp14:sizeRelV relativeFrom="margin">
              <wp14:pctHeight>0</wp14:pctHeight>
            </wp14:sizeRelV>
          </wp:anchor>
        </w:drawing>
      </w:r>
      <w:bookmarkEnd w:id="1"/>
      <w:r>
        <w:br w:type="page"/>
      </w:r>
    </w:p>
    <w:p w:rsidR="00EC32A4" w:rsidRPr="00F93917" w:rsidRDefault="00EC32A4" w:rsidP="003715B0">
      <w:pPr>
        <w:pStyle w:val="TOC1"/>
        <w:rPr>
          <w:caps w:val="0"/>
        </w:rPr>
      </w:pPr>
      <w:r w:rsidRPr="008C305F">
        <w:lastRenderedPageBreak/>
        <w:fldChar w:fldCharType="begin"/>
      </w:r>
      <w:r w:rsidRPr="008C305F">
        <w:instrText>SYMBOL 227 \f "Symbol"</w:instrText>
      </w:r>
      <w:r w:rsidRPr="008C305F">
        <w:fldChar w:fldCharType="end"/>
      </w:r>
      <w:r w:rsidRPr="008C305F">
        <w:t xml:space="preserve"> </w:t>
      </w:r>
      <w:r w:rsidRPr="00F93917">
        <w:rPr>
          <w:caps w:val="0"/>
        </w:rPr>
        <w:t>Commonwealth of Australia 2013</w:t>
      </w:r>
    </w:p>
    <w:p w:rsidR="00EC32A4" w:rsidRPr="007809B8" w:rsidRDefault="00EC32A4">
      <w:pPr>
        <w:pStyle w:val="BodyText"/>
        <w:tabs>
          <w:tab w:val="left" w:pos="851"/>
        </w:tabs>
        <w:spacing w:before="200" w:after="120"/>
        <w:jc w:val="left"/>
        <w:rPr>
          <w:b/>
          <w:sz w:val="24"/>
        </w:rPr>
      </w:pPr>
      <w:r>
        <w:rPr>
          <w:b/>
          <w:sz w:val="24"/>
        </w:rPr>
        <w:t>ISBN</w:t>
      </w:r>
      <w:r>
        <w:rPr>
          <w:b/>
          <w:sz w:val="24"/>
        </w:rPr>
        <w:tab/>
      </w:r>
      <w:r w:rsidRPr="00AE0922">
        <w:rPr>
          <w:b/>
          <w:sz w:val="24"/>
        </w:rPr>
        <w:t>978-1-74037-441-5</w:t>
      </w:r>
    </w:p>
    <w:p w:rsidR="00EC32A4" w:rsidRPr="00F4234E" w:rsidRDefault="00EC32A4" w:rsidP="003715B0">
      <w:pPr>
        <w:pStyle w:val="BodyText"/>
      </w:pPr>
      <w:r w:rsidRPr="00F4234E">
        <w:t>This work is copyright. Apart from any use as permitted under the</w:t>
      </w:r>
      <w:r>
        <w:rPr>
          <w:i/>
        </w:rPr>
        <w:t xml:space="preserve"> Copyright Act </w:t>
      </w:r>
      <w:r w:rsidRPr="00F4234E">
        <w:rPr>
          <w:i/>
        </w:rPr>
        <w:t>1968</w:t>
      </w:r>
      <w:r w:rsidRPr="00F4234E">
        <w:t>, the work may be reproduced in whole or in part for study or training purposes, subject to the inclusion of an acknowledgment of the source. Reproduction for commercial use or sale requires prior written permission from the Productivity Commission. Requests and inquiries concerning reproduction and rights should be addressed to Media and Publications (see below).</w:t>
      </w:r>
    </w:p>
    <w:p w:rsidR="00EC32A4" w:rsidRPr="00F4234E" w:rsidRDefault="00EC32A4" w:rsidP="003715B0">
      <w:pPr>
        <w:pStyle w:val="BodyText"/>
        <w:rPr>
          <w:i/>
        </w:rPr>
      </w:pPr>
      <w:r w:rsidRPr="00F4234E">
        <w:rPr>
          <w:i/>
        </w:rPr>
        <w:t>This publication is available from the Productivity Commission website at www.pc.gov.au. If you require part or all of this publication in a different format, please contact Media and Publications.</w:t>
      </w:r>
    </w:p>
    <w:p w:rsidR="00EC32A4" w:rsidRDefault="00EC32A4" w:rsidP="003715B0">
      <w:pPr>
        <w:pStyle w:val="BodyText"/>
        <w:spacing w:before="320"/>
        <w:rPr>
          <w:b/>
          <w:sz w:val="24"/>
        </w:rPr>
      </w:pPr>
      <w:r>
        <w:rPr>
          <w:b/>
          <w:sz w:val="24"/>
        </w:rPr>
        <w:t>Publications enquiries:</w:t>
      </w:r>
    </w:p>
    <w:p w:rsidR="00EC32A4" w:rsidRDefault="00EC32A4" w:rsidP="003715B0">
      <w:pPr>
        <w:pStyle w:val="BodyText"/>
        <w:spacing w:before="0" w:line="240" w:lineRule="auto"/>
        <w:rPr>
          <w:sz w:val="24"/>
        </w:rPr>
      </w:pPr>
      <w:r>
        <w:rPr>
          <w:sz w:val="24"/>
        </w:rPr>
        <w:t xml:space="preserve">Media and </w:t>
      </w:r>
      <w:r w:rsidRPr="00FD4728">
        <w:rPr>
          <w:snapToGrid w:val="0"/>
          <w:sz w:val="24"/>
        </w:rPr>
        <w:t>Publications</w:t>
      </w:r>
    </w:p>
    <w:p w:rsidR="00EC32A4" w:rsidRDefault="00EC32A4" w:rsidP="003715B0">
      <w:pPr>
        <w:pStyle w:val="BodyText"/>
        <w:spacing w:before="0" w:line="240" w:lineRule="auto"/>
        <w:rPr>
          <w:sz w:val="24"/>
        </w:rPr>
      </w:pPr>
      <w:r>
        <w:rPr>
          <w:sz w:val="24"/>
        </w:rPr>
        <w:t xml:space="preserve">Productivity </w:t>
      </w:r>
      <w:r w:rsidRPr="00FD4728">
        <w:rPr>
          <w:snapToGrid w:val="0"/>
          <w:sz w:val="24"/>
        </w:rPr>
        <w:t>Commission</w:t>
      </w:r>
    </w:p>
    <w:p w:rsidR="00EC32A4" w:rsidRDefault="00EC32A4" w:rsidP="003715B0">
      <w:pPr>
        <w:pStyle w:val="BodyText"/>
        <w:spacing w:before="0" w:line="240" w:lineRule="auto"/>
        <w:rPr>
          <w:sz w:val="24"/>
        </w:rPr>
      </w:pPr>
      <w:r>
        <w:rPr>
          <w:sz w:val="24"/>
        </w:rPr>
        <w:t xml:space="preserve">Locked Bag </w:t>
      </w:r>
      <w:smartTag w:uri="urn:schemas-microsoft-com:office:smarttags" w:element="Street">
        <w:smartTag w:uri="urn:schemas-microsoft-com:office:smarttags" w:element="address">
          <w:r>
            <w:rPr>
              <w:sz w:val="24"/>
            </w:rPr>
            <w:t xml:space="preserve">2 Collins </w:t>
          </w:r>
          <w:r w:rsidRPr="00FD4728">
            <w:rPr>
              <w:snapToGrid w:val="0"/>
              <w:sz w:val="24"/>
            </w:rPr>
            <w:t>Street</w:t>
          </w:r>
          <w:r>
            <w:rPr>
              <w:sz w:val="24"/>
            </w:rPr>
            <w:t xml:space="preserve"> East</w:t>
          </w:r>
        </w:smartTag>
      </w:smartTag>
    </w:p>
    <w:p w:rsidR="00EC32A4" w:rsidRDefault="00EC32A4" w:rsidP="003715B0">
      <w:pPr>
        <w:pStyle w:val="BodyText"/>
        <w:spacing w:before="0" w:after="120" w:line="240" w:lineRule="auto"/>
        <w:rPr>
          <w:sz w:val="24"/>
        </w:rPr>
      </w:pPr>
      <w:smartTag w:uri="urn:schemas-microsoft-com:office:smarttags" w:element="City">
        <w:smartTag w:uri="urn:schemas-microsoft-com:office:smarttags" w:element="place">
          <w:r>
            <w:rPr>
              <w:sz w:val="24"/>
            </w:rPr>
            <w:t>Melbourne</w:t>
          </w:r>
        </w:smartTag>
      </w:smartTag>
      <w:r>
        <w:rPr>
          <w:sz w:val="24"/>
        </w:rPr>
        <w:t xml:space="preserve">    VIC    </w:t>
      </w:r>
      <w:r w:rsidRPr="00FD4728">
        <w:rPr>
          <w:snapToGrid w:val="0"/>
          <w:sz w:val="24"/>
        </w:rPr>
        <w:t>8003</w:t>
      </w:r>
    </w:p>
    <w:p w:rsidR="00EC32A4" w:rsidRPr="00FD4728" w:rsidRDefault="00EC32A4" w:rsidP="003715B0">
      <w:pPr>
        <w:pStyle w:val="BodyText"/>
        <w:tabs>
          <w:tab w:val="left" w:pos="1134"/>
        </w:tabs>
        <w:spacing w:before="0" w:line="240" w:lineRule="auto"/>
        <w:rPr>
          <w:sz w:val="24"/>
          <w:szCs w:val="24"/>
        </w:rPr>
      </w:pPr>
      <w:r w:rsidRPr="00FD4728">
        <w:rPr>
          <w:sz w:val="24"/>
          <w:szCs w:val="24"/>
        </w:rPr>
        <w:t>Tel:</w:t>
      </w:r>
      <w:r w:rsidRPr="00FD4728">
        <w:rPr>
          <w:sz w:val="24"/>
          <w:szCs w:val="24"/>
        </w:rPr>
        <w:tab/>
        <w:t>(03) 9653 2244</w:t>
      </w:r>
    </w:p>
    <w:p w:rsidR="00EC32A4" w:rsidRDefault="00EC32A4" w:rsidP="003715B0">
      <w:pPr>
        <w:pStyle w:val="BodyText"/>
        <w:tabs>
          <w:tab w:val="left" w:pos="1134"/>
        </w:tabs>
        <w:spacing w:before="0" w:line="240" w:lineRule="auto"/>
        <w:jc w:val="left"/>
      </w:pPr>
      <w:r w:rsidRPr="00FD4728">
        <w:rPr>
          <w:sz w:val="24"/>
          <w:szCs w:val="24"/>
        </w:rPr>
        <w:t>Fax:</w:t>
      </w:r>
      <w:r w:rsidRPr="00FD4728">
        <w:rPr>
          <w:sz w:val="24"/>
          <w:szCs w:val="24"/>
        </w:rPr>
        <w:tab/>
        <w:t>(03) 9653 2303</w:t>
      </w:r>
      <w:r w:rsidRPr="00FD4728">
        <w:rPr>
          <w:sz w:val="24"/>
          <w:szCs w:val="24"/>
        </w:rPr>
        <w:br/>
      </w:r>
      <w:r w:rsidRPr="008F04C9">
        <w:rPr>
          <w:sz w:val="24"/>
          <w:szCs w:val="24"/>
        </w:rPr>
        <w:t>Email:</w:t>
      </w:r>
      <w:r w:rsidRPr="008F04C9">
        <w:rPr>
          <w:sz w:val="24"/>
          <w:szCs w:val="24"/>
        </w:rPr>
        <w:tab/>
      </w:r>
      <w:proofErr w:type="spellStart"/>
      <w:r w:rsidRPr="008F04C9">
        <w:rPr>
          <w:sz w:val="24"/>
          <w:szCs w:val="24"/>
        </w:rPr>
        <w:t>maps@pc.gov.au</w:t>
      </w:r>
      <w:proofErr w:type="spellEnd"/>
    </w:p>
    <w:p w:rsidR="00EC32A4" w:rsidRDefault="00EC32A4" w:rsidP="003715B0">
      <w:pPr>
        <w:pStyle w:val="BodyText"/>
        <w:spacing w:before="320"/>
        <w:rPr>
          <w:b/>
          <w:sz w:val="24"/>
        </w:rPr>
      </w:pPr>
      <w:r>
        <w:rPr>
          <w:b/>
          <w:sz w:val="24"/>
        </w:rPr>
        <w:t>General enquiries:</w:t>
      </w:r>
    </w:p>
    <w:p w:rsidR="00EC32A4" w:rsidRPr="008F04C9" w:rsidRDefault="00EC32A4" w:rsidP="003715B0">
      <w:pPr>
        <w:pStyle w:val="BodyText"/>
        <w:tabs>
          <w:tab w:val="left" w:pos="1134"/>
        </w:tabs>
        <w:spacing w:before="0" w:line="240" w:lineRule="auto"/>
        <w:rPr>
          <w:sz w:val="24"/>
          <w:szCs w:val="24"/>
        </w:rPr>
      </w:pPr>
      <w:r w:rsidRPr="008F04C9">
        <w:rPr>
          <w:sz w:val="24"/>
          <w:szCs w:val="24"/>
        </w:rPr>
        <w:t>Tel:</w:t>
      </w:r>
      <w:r w:rsidRPr="008F04C9">
        <w:rPr>
          <w:sz w:val="24"/>
          <w:szCs w:val="24"/>
        </w:rPr>
        <w:tab/>
        <w:t>(03) 9653 2100 or (02) 6240 3200</w:t>
      </w:r>
    </w:p>
    <w:p w:rsidR="00EC32A4" w:rsidRPr="008F04C9" w:rsidRDefault="00EC32A4" w:rsidP="003715B0">
      <w:pPr>
        <w:pStyle w:val="BodyText"/>
        <w:spacing w:before="360" w:line="240" w:lineRule="auto"/>
        <w:rPr>
          <w:b/>
          <w:sz w:val="24"/>
          <w:szCs w:val="24"/>
        </w:rPr>
      </w:pPr>
      <w:r w:rsidRPr="008F04C9">
        <w:rPr>
          <w:b/>
          <w:sz w:val="24"/>
          <w:szCs w:val="24"/>
        </w:rPr>
        <w:t>An appropriate citation for this paper is:</w:t>
      </w:r>
    </w:p>
    <w:p w:rsidR="00EC32A4" w:rsidRPr="00551FB8" w:rsidRDefault="00EC32A4" w:rsidP="003715B0">
      <w:pPr>
        <w:pStyle w:val="BodyText"/>
        <w:spacing w:before="160" w:after="120" w:line="240" w:lineRule="auto"/>
        <w:rPr>
          <w:sz w:val="24"/>
          <w:szCs w:val="24"/>
        </w:rPr>
      </w:pPr>
      <w:r>
        <w:rPr>
          <w:sz w:val="24"/>
          <w:szCs w:val="24"/>
        </w:rPr>
        <w:t xml:space="preserve">Topp, V. and Kulys, T. 2013, </w:t>
      </w:r>
      <w:r>
        <w:rPr>
          <w:i/>
          <w:sz w:val="24"/>
          <w:szCs w:val="24"/>
        </w:rPr>
        <w:t>On productivity: the influence of natural resource inputs,</w:t>
      </w:r>
      <w:r>
        <w:rPr>
          <w:sz w:val="24"/>
          <w:szCs w:val="24"/>
        </w:rPr>
        <w:t xml:space="preserve"> Staff Research Note, </w:t>
      </w:r>
      <w:r w:rsidRPr="000501C0">
        <w:rPr>
          <w:sz w:val="24"/>
          <w:szCs w:val="24"/>
        </w:rPr>
        <w:t>Productivity Commission</w:t>
      </w:r>
      <w:r>
        <w:rPr>
          <w:sz w:val="24"/>
          <w:szCs w:val="24"/>
        </w:rPr>
        <w:t>, Canberra.</w:t>
      </w:r>
    </w:p>
    <w:p w:rsidR="00EC32A4" w:rsidRPr="00DC75C7" w:rsidRDefault="00EC32A4" w:rsidP="003715B0">
      <w:pPr>
        <w:pStyle w:val="PCBoxHeading"/>
      </w:pPr>
      <w:r w:rsidRPr="00DC75C7">
        <w:t>The Productivity Commission</w:t>
      </w:r>
    </w:p>
    <w:p w:rsidR="00EC32A4" w:rsidRPr="00BB5DCF" w:rsidRDefault="00EC32A4" w:rsidP="003715B0">
      <w:pPr>
        <w:pStyle w:val="PCBoxtext"/>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EC32A4" w:rsidRPr="00BB5DCF" w:rsidRDefault="00EC32A4" w:rsidP="003715B0">
      <w:pPr>
        <w:pStyle w:val="PCBoxtext"/>
      </w:pPr>
      <w:r w:rsidRPr="00BB5DCF">
        <w:t>The Commission’s independence is underpinned by an Act of Parliament. Its processes and outputs are open to public scrutiny and are driven by concern for the wellbeing of the community as a whole.</w:t>
      </w:r>
    </w:p>
    <w:p w:rsidR="00EC32A4" w:rsidRPr="00BB5DCF" w:rsidRDefault="00EC32A4" w:rsidP="003715B0">
      <w:pPr>
        <w:pStyle w:val="BodyText"/>
        <w:pBdr>
          <w:top w:val="single" w:sz="4" w:space="5" w:color="auto"/>
          <w:left w:val="single" w:sz="4" w:space="8" w:color="auto"/>
          <w:bottom w:val="single" w:sz="4" w:space="14" w:color="auto"/>
          <w:right w:val="single" w:sz="4" w:space="8" w:color="auto"/>
        </w:pBdr>
        <w:spacing w:before="160" w:line="240" w:lineRule="auto"/>
        <w:ind w:left="284" w:right="284"/>
        <w:rPr>
          <w:sz w:val="24"/>
          <w:szCs w:val="24"/>
        </w:rPr>
      </w:pPr>
      <w:r w:rsidRPr="00BB5DCF">
        <w:rPr>
          <w:sz w:val="24"/>
          <w:szCs w:val="24"/>
        </w:rPr>
        <w:t xml:space="preserve">Further information on the Productivity Commission can be obtained from the Commission’s website (www.pc.gov.au) or by contacting Media and Publications on (03) 9653 2244 or email: </w:t>
      </w:r>
      <w:proofErr w:type="spellStart"/>
      <w:r w:rsidRPr="00BB5DCF">
        <w:rPr>
          <w:sz w:val="24"/>
          <w:szCs w:val="24"/>
        </w:rPr>
        <w:t>maps@pc.gov.au</w:t>
      </w:r>
      <w:proofErr w:type="spellEnd"/>
    </w:p>
    <w:p w:rsidR="00EC32A4" w:rsidRDefault="00EC32A4">
      <w:pPr>
        <w:pStyle w:val="BodyText"/>
        <w:sectPr w:rsidR="00EC32A4" w:rsidSect="003715B0">
          <w:type w:val="oddPage"/>
          <w:pgSz w:w="11907" w:h="16840" w:code="9"/>
          <w:pgMar w:top="1985" w:right="1304" w:bottom="1418" w:left="1814" w:header="1701" w:footer="567" w:gutter="0"/>
          <w:pgNumType w:start="1" w:chapSep="period"/>
          <w:cols w:space="720"/>
        </w:sectPr>
      </w:pPr>
      <w:bookmarkStart w:id="2" w:name="cov"/>
      <w:bookmarkEnd w:id="2"/>
    </w:p>
    <w:p w:rsidR="00781B27" w:rsidRPr="009A14F2" w:rsidRDefault="004D6BC4" w:rsidP="00DE0EE8">
      <w:pPr>
        <w:pStyle w:val="Heading1"/>
        <w:ind w:left="0" w:firstLine="0"/>
      </w:pPr>
      <w:bookmarkStart w:id="3" w:name="Contents"/>
      <w:bookmarkStart w:id="4" w:name="Glossary"/>
      <w:bookmarkEnd w:id="3"/>
      <w:bookmarkEnd w:id="4"/>
      <w:r>
        <w:lastRenderedPageBreak/>
        <w:t>On productivity: the influence of natural resource inputs</w:t>
      </w:r>
      <w:bookmarkStart w:id="5" w:name="ISSN"/>
      <w:bookmarkStart w:id="6" w:name="JEL"/>
      <w:bookmarkEnd w:id="0"/>
      <w:bookmarkEnd w:id="5"/>
      <w:bookmarkEnd w:id="6"/>
      <w:r w:rsidR="00C93893">
        <w:t xml:space="preserve"> </w:t>
      </w:r>
    </w:p>
    <w:p w:rsidR="008262F6" w:rsidRPr="00E10FD4" w:rsidRDefault="005C35E2" w:rsidP="00B855D8">
      <w:pPr>
        <w:pStyle w:val="BodyText"/>
      </w:pPr>
      <w:bookmarkStart w:id="7" w:name="begin"/>
      <w:bookmarkEnd w:id="7"/>
      <w:r w:rsidRPr="00E10FD4">
        <w:t xml:space="preserve">Multifactor productivity (MFP), which is measured as a residual (the growth in the volume of output not explained by the growth in the volume of labour and capital inputs), reflects other sources of change in the productive capacity of an industry or economy as well as technical change. This staff research note looks at the effect of one of these other possible sources of change — natural resource inputs. </w:t>
      </w:r>
    </w:p>
    <w:p w:rsidR="005C35E2" w:rsidRPr="00E10FD4" w:rsidRDefault="007E0FEA" w:rsidP="00B855D8">
      <w:pPr>
        <w:pStyle w:val="BodyText"/>
      </w:pPr>
      <w:r w:rsidRPr="00E10FD4">
        <w:t xml:space="preserve">Many natural resource inputs are not directly measured in the </w:t>
      </w:r>
      <w:r w:rsidR="00833D2B">
        <w:t>N</w:t>
      </w:r>
      <w:r w:rsidR="00833D2B" w:rsidRPr="00E10FD4">
        <w:t xml:space="preserve">ational </w:t>
      </w:r>
      <w:r w:rsidR="00833D2B">
        <w:t>A</w:t>
      </w:r>
      <w:r w:rsidR="00833D2B" w:rsidRPr="00E10FD4">
        <w:t>ccounts</w:t>
      </w:r>
      <w:r w:rsidRPr="00E10FD4">
        <w:t xml:space="preserve">, yet changes in their use in production or changes in their quality can affect measured value added and hence MFP estimates. </w:t>
      </w:r>
      <w:r w:rsidR="008262F6" w:rsidRPr="00E10FD4">
        <w:t>In recent years there has been strongly negative MFP growth in three imp</w:t>
      </w:r>
      <w:r w:rsidR="008C2B88">
        <w:t xml:space="preserve">ortant Australian industries — Mining, Agriculture, forestry and </w:t>
      </w:r>
      <w:r w:rsidR="00A45417">
        <w:t>fishing</w:t>
      </w:r>
      <w:r w:rsidR="008C2B88">
        <w:t>, and Utilities (E</w:t>
      </w:r>
      <w:r w:rsidR="008262F6" w:rsidRPr="00E10FD4">
        <w:t>lectricity, gas, water and waste services)</w:t>
      </w:r>
      <w:r w:rsidR="00CA138F">
        <w:t xml:space="preserve"> (figure 1). C</w:t>
      </w:r>
      <w:r w:rsidR="008262F6" w:rsidRPr="00E10FD4">
        <w:t xml:space="preserve">hanges in natural resource inputs appear to have been a major contributor. </w:t>
      </w:r>
      <w:r w:rsidR="005C35E2" w:rsidRPr="00E10FD4">
        <w:t>Th</w:t>
      </w:r>
      <w:r w:rsidR="008262F6" w:rsidRPr="00E10FD4">
        <w:t>is</w:t>
      </w:r>
      <w:r w:rsidR="005C35E2" w:rsidRPr="00E10FD4">
        <w:t xml:space="preserve"> paper draws heavily on two research studies undertaken by the Commission, that looked at the productivity performance of the Mining industry (Topp et al</w:t>
      </w:r>
      <w:r w:rsidR="000E0E38">
        <w:t>.</w:t>
      </w:r>
      <w:r w:rsidR="005C35E2" w:rsidRPr="00E10FD4">
        <w:t xml:space="preserve"> 2008), and the Utili</w:t>
      </w:r>
      <w:r w:rsidR="000E0E38">
        <w:t xml:space="preserve">ties industry </w:t>
      </w:r>
      <w:r w:rsidR="005C35E2" w:rsidRPr="00E10FD4">
        <w:t>(Topp and Kulys 2012).</w:t>
      </w:r>
    </w:p>
    <w:p w:rsidR="00FF640B" w:rsidRPr="00E10FD4" w:rsidRDefault="00E017E6" w:rsidP="00FF640B">
      <w:pPr>
        <w:pStyle w:val="BodyText"/>
      </w:pPr>
      <w:r w:rsidRPr="00E10FD4">
        <w:t>For</w:t>
      </w:r>
      <w:r w:rsidR="00471314" w:rsidRPr="00E10FD4">
        <w:t xml:space="preserve"> natural res</w:t>
      </w:r>
      <w:r w:rsidR="009920AA" w:rsidRPr="00E10FD4">
        <w:t>ourc</w:t>
      </w:r>
      <w:r w:rsidR="00492A00" w:rsidRPr="00E10FD4">
        <w:t xml:space="preserve">e inputs </w:t>
      </w:r>
      <w:r w:rsidRPr="00E10FD4">
        <w:t>to affect</w:t>
      </w:r>
      <w:r w:rsidR="00492A00" w:rsidRPr="00E10FD4">
        <w:t xml:space="preserve"> </w:t>
      </w:r>
      <w:r w:rsidRPr="00E10FD4">
        <w:t xml:space="preserve">the </w:t>
      </w:r>
      <w:r w:rsidR="00492A00" w:rsidRPr="00E10FD4">
        <w:t>MFP</w:t>
      </w:r>
      <w:r w:rsidRPr="00E10FD4">
        <w:t xml:space="preserve"> growth in an industry they must be changing, and they must be a significant input for the industry</w:t>
      </w:r>
      <w:r w:rsidR="00492A00" w:rsidRPr="00E10FD4">
        <w:t>.</w:t>
      </w:r>
      <w:r w:rsidR="00CF594B" w:rsidRPr="00E10FD4">
        <w:t xml:space="preserve"> That is</w:t>
      </w:r>
      <w:r w:rsidR="00471314" w:rsidRPr="00E10FD4">
        <w:t>,</w:t>
      </w:r>
      <w:r w:rsidR="00CF594B" w:rsidRPr="00E10FD4">
        <w:t xml:space="preserve"> the production of output must depend on the</w:t>
      </w:r>
      <w:r w:rsidR="00471314" w:rsidRPr="00E10FD4">
        <w:t xml:space="preserve"> availability and/</w:t>
      </w:r>
      <w:r w:rsidR="00CF594B" w:rsidRPr="00E10FD4">
        <w:t xml:space="preserve">or quality of the resource input. </w:t>
      </w:r>
      <w:r w:rsidR="00FF640B" w:rsidRPr="00E10FD4">
        <w:t xml:space="preserve">The most straightforward example </w:t>
      </w:r>
      <w:r w:rsidR="00CF594B" w:rsidRPr="00E10FD4">
        <w:t>of industry reliance on a natural resource input</w:t>
      </w:r>
      <w:r w:rsidR="008C2B88">
        <w:t xml:space="preserve"> is rainfall in A</w:t>
      </w:r>
      <w:r w:rsidR="00FF640B" w:rsidRPr="00E10FD4">
        <w:t>griculture</w:t>
      </w:r>
      <w:r w:rsidR="008C2B88">
        <w:t xml:space="preserve">, forestry and </w:t>
      </w:r>
      <w:r w:rsidR="00A45417">
        <w:t>fishing</w:t>
      </w:r>
      <w:r w:rsidR="008C2B88">
        <w:t xml:space="preserve"> (</w:t>
      </w:r>
      <w:proofErr w:type="spellStart"/>
      <w:r w:rsidR="008C2B88">
        <w:t>AFF</w:t>
      </w:r>
      <w:proofErr w:type="spellEnd"/>
      <w:r w:rsidR="008C2B88">
        <w:t>)</w:t>
      </w:r>
      <w:r w:rsidR="00FF640B" w:rsidRPr="00E10FD4">
        <w:t xml:space="preserve">. </w:t>
      </w:r>
      <w:r w:rsidR="00D1410F" w:rsidRPr="00E10FD4">
        <w:t>R</w:t>
      </w:r>
      <w:r w:rsidR="00FF640B" w:rsidRPr="00E10FD4">
        <w:t xml:space="preserve">ainfall is </w:t>
      </w:r>
      <w:r w:rsidR="00FF640B" w:rsidRPr="00E10FD4">
        <w:rPr>
          <w:i/>
        </w:rPr>
        <w:t>not</w:t>
      </w:r>
      <w:r w:rsidR="00FF640B" w:rsidRPr="00E10FD4">
        <w:t xml:space="preserve"> included </w:t>
      </w:r>
      <w:r w:rsidR="00CF594B" w:rsidRPr="00E10FD4">
        <w:t>in the measures of</w:t>
      </w:r>
      <w:r w:rsidR="00FF640B" w:rsidRPr="00E10FD4">
        <w:t xml:space="preserve"> input</w:t>
      </w:r>
      <w:r w:rsidR="00CF594B" w:rsidRPr="00E10FD4">
        <w:t>s</w:t>
      </w:r>
      <w:r w:rsidR="00FF640B" w:rsidRPr="00E10FD4">
        <w:t xml:space="preserve"> to production</w:t>
      </w:r>
      <w:r w:rsidR="00AF55EE" w:rsidRPr="00E10FD4">
        <w:t xml:space="preserve"> </w:t>
      </w:r>
      <w:r w:rsidR="005236A1" w:rsidRPr="00E10FD4">
        <w:t>when</w:t>
      </w:r>
      <w:r w:rsidR="00FF640B" w:rsidRPr="00E10FD4">
        <w:t xml:space="preserve"> MFP</w:t>
      </w:r>
      <w:r w:rsidR="00A8111B" w:rsidRPr="00E10FD4">
        <w:t xml:space="preserve"> </w:t>
      </w:r>
      <w:r w:rsidR="005236A1" w:rsidRPr="00E10FD4">
        <w:t xml:space="preserve">is estimated </w:t>
      </w:r>
      <w:r w:rsidR="00A8111B" w:rsidRPr="00E10FD4">
        <w:t>for this industry</w:t>
      </w:r>
      <w:r w:rsidR="00CF594B" w:rsidRPr="00E10FD4">
        <w:t xml:space="preserve"> although</w:t>
      </w:r>
      <w:r w:rsidR="00F11624" w:rsidRPr="00E10FD4">
        <w:t xml:space="preserve"> </w:t>
      </w:r>
      <w:r w:rsidR="0075676B" w:rsidRPr="00E10FD4">
        <w:t xml:space="preserve">changes in </w:t>
      </w:r>
      <w:r w:rsidR="00A8111B" w:rsidRPr="00E10FD4">
        <w:t>rainfall</w:t>
      </w:r>
      <w:r w:rsidR="00F11624" w:rsidRPr="00E10FD4">
        <w:t xml:space="preserve"> have </w:t>
      </w:r>
      <w:r w:rsidR="00CF594B" w:rsidRPr="00E10FD4">
        <w:t xml:space="preserve">a direct influence </w:t>
      </w:r>
      <w:r w:rsidR="00F11624" w:rsidRPr="00E10FD4">
        <w:t>on</w:t>
      </w:r>
      <w:r w:rsidR="00A8111B" w:rsidRPr="00E10FD4">
        <w:t xml:space="preserve"> </w:t>
      </w:r>
      <w:r w:rsidR="0075676B" w:rsidRPr="00E10FD4">
        <w:t xml:space="preserve">agricultural </w:t>
      </w:r>
      <w:r w:rsidR="00F13793" w:rsidRPr="00E10FD4">
        <w:t>output</w:t>
      </w:r>
      <w:r w:rsidR="0075676B" w:rsidRPr="00E10FD4">
        <w:t xml:space="preserve"> each year</w:t>
      </w:r>
      <w:r w:rsidR="00D1410F" w:rsidRPr="00E10FD4">
        <w:t xml:space="preserve">. </w:t>
      </w:r>
      <w:r w:rsidR="00375CDF" w:rsidRPr="00E10FD4">
        <w:t xml:space="preserve">As a result, </w:t>
      </w:r>
      <w:r w:rsidR="00FF640B" w:rsidRPr="00E10FD4">
        <w:t xml:space="preserve">rainfall </w:t>
      </w:r>
      <w:r w:rsidR="00F11624" w:rsidRPr="00E10FD4">
        <w:t xml:space="preserve">variability </w:t>
      </w:r>
      <w:r w:rsidR="00FF640B" w:rsidRPr="00E10FD4">
        <w:t>shows up as variability</w:t>
      </w:r>
      <w:r w:rsidR="00AE3D45" w:rsidRPr="00E10FD4">
        <w:t xml:space="preserve"> of output and hence</w:t>
      </w:r>
      <w:r w:rsidR="00FF640B" w:rsidRPr="00E10FD4">
        <w:t xml:space="preserve"> </w:t>
      </w:r>
      <w:r w:rsidR="00774EE6" w:rsidRPr="00E10FD4">
        <w:t xml:space="preserve">measured </w:t>
      </w:r>
      <w:r w:rsidR="0075676B" w:rsidRPr="00E10FD4">
        <w:t>MFP</w:t>
      </w:r>
      <w:r w:rsidR="00FF640B" w:rsidRPr="00E10FD4">
        <w:t>, rather than as variability in t</w:t>
      </w:r>
      <w:r w:rsidR="00774EE6" w:rsidRPr="00E10FD4">
        <w:t>he total quantity of inputs use</w:t>
      </w:r>
      <w:r w:rsidR="00D1410F" w:rsidRPr="00E10FD4">
        <w:t>d</w:t>
      </w:r>
      <w:r w:rsidR="00FF640B" w:rsidRPr="00E10FD4">
        <w:t xml:space="preserve">. </w:t>
      </w:r>
      <w:r w:rsidR="009D2200" w:rsidRPr="00E10FD4">
        <w:t>M</w:t>
      </w:r>
      <w:r w:rsidR="00E82BBA" w:rsidRPr="00E10FD4">
        <w:t>FP</w:t>
      </w:r>
      <w:r w:rsidR="008F54C8" w:rsidRPr="00E10FD4">
        <w:t xml:space="preserve"> growth in </w:t>
      </w:r>
      <w:proofErr w:type="spellStart"/>
      <w:r w:rsidR="008C2B88">
        <w:t>AFF</w:t>
      </w:r>
      <w:proofErr w:type="spellEnd"/>
      <w:r w:rsidR="008F54C8" w:rsidRPr="00E10FD4">
        <w:t xml:space="preserve"> was </w:t>
      </w:r>
      <w:r w:rsidR="008E07AE" w:rsidRPr="00E10FD4">
        <w:t>negative at times during the last decade</w:t>
      </w:r>
      <w:r w:rsidR="009D2200" w:rsidRPr="00E10FD4">
        <w:t xml:space="preserve"> or so</w:t>
      </w:r>
      <w:r w:rsidR="008E07AE" w:rsidRPr="00E10FD4">
        <w:t xml:space="preserve">, not because farmers became less </w:t>
      </w:r>
      <w:r w:rsidR="00977DD9" w:rsidRPr="00E10FD4">
        <w:rPr>
          <w:i/>
        </w:rPr>
        <w:t>technically efficient</w:t>
      </w:r>
      <w:r w:rsidR="009D2200" w:rsidRPr="00E10FD4">
        <w:t xml:space="preserve">, </w:t>
      </w:r>
      <w:r w:rsidR="008E07AE" w:rsidRPr="00E10FD4">
        <w:t xml:space="preserve">but </w:t>
      </w:r>
      <w:r w:rsidR="008F54C8" w:rsidRPr="00E10FD4">
        <w:t>because</w:t>
      </w:r>
      <w:r w:rsidR="009D2200" w:rsidRPr="00E10FD4">
        <w:t xml:space="preserve"> it didn’t rain as much</w:t>
      </w:r>
      <w:r w:rsidR="008F54C8" w:rsidRPr="00E10FD4">
        <w:t>.</w:t>
      </w:r>
    </w:p>
    <w:p w:rsidR="00AA5040" w:rsidRDefault="00AA5040" w:rsidP="00AA5040">
      <w:pPr>
        <w:pStyle w:val="FigureTitle"/>
      </w:pPr>
      <w:r>
        <w:rPr>
          <w:b w:val="0"/>
        </w:rPr>
        <w:t xml:space="preserve">Figure </w:t>
      </w:r>
      <w:r w:rsidR="00C93893">
        <w:rPr>
          <w:b w:val="0"/>
        </w:rPr>
        <w:t>1</w:t>
      </w:r>
      <w:r>
        <w:tab/>
        <w:t>Multifactor productivity growth in Australia</w:t>
      </w:r>
      <w:r w:rsidRPr="0007444B">
        <w:rPr>
          <w:rStyle w:val="NoteLabel"/>
          <w:b/>
        </w:rPr>
        <w:t>a</w:t>
      </w:r>
    </w:p>
    <w:p w:rsidR="00AA5040" w:rsidRDefault="00AA5040" w:rsidP="00AA5040">
      <w:pPr>
        <w:pStyle w:val="Subtitle"/>
      </w:pPr>
      <w:r>
        <w:t>Indexes (1985-86=100)</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AA5040" w:rsidTr="00AA5040">
        <w:tc>
          <w:tcPr>
            <w:tcW w:w="8777" w:type="dxa"/>
          </w:tcPr>
          <w:p w:rsidR="00AA5040" w:rsidRDefault="000A2FD0" w:rsidP="00AA5040">
            <w:pPr>
              <w:pStyle w:val="Figur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1  Multifactor productivity growth in Australia.  Line graph showing multifactor productivity growth indexes for the Market Sector, and three industries: Agriculture, Mining and Utilities. The period covered is 1989-90 to 2011-12" style="width:425.35pt;height:226.4pt;mso-position-vertical:absolute">
                  <v:imagedata r:id="rId10" o:title=""/>
                </v:shape>
              </w:pict>
            </w:r>
          </w:p>
        </w:tc>
      </w:tr>
    </w:tbl>
    <w:p w:rsidR="00AA5040" w:rsidRDefault="00AA5040" w:rsidP="00AA5040">
      <w:pPr>
        <w:pStyle w:val="Note"/>
      </w:pPr>
      <w:proofErr w:type="spellStart"/>
      <w:r>
        <w:rPr>
          <w:rStyle w:val="NoteLabel"/>
        </w:rPr>
        <w:t>a</w:t>
      </w:r>
      <w:proofErr w:type="spellEnd"/>
      <w:r>
        <w:sym w:font="Symbol" w:char="F020"/>
      </w:r>
      <w:r>
        <w:t xml:space="preserve">The MFP estimates in this figure are </w:t>
      </w:r>
      <w:r w:rsidR="00E96465" w:rsidRPr="00880862">
        <w:rPr>
          <w:i/>
        </w:rPr>
        <w:t>v</w:t>
      </w:r>
      <w:r w:rsidR="00880862" w:rsidRPr="00880862">
        <w:rPr>
          <w:i/>
        </w:rPr>
        <w:t xml:space="preserve">alue added </w:t>
      </w:r>
      <w:r w:rsidR="00880862" w:rsidRPr="00880862">
        <w:t>MFP</w:t>
      </w:r>
      <w:r w:rsidR="00880862">
        <w:t xml:space="preserve">, rather than </w:t>
      </w:r>
      <w:r w:rsidR="00E96465" w:rsidRPr="00880862">
        <w:rPr>
          <w:i/>
        </w:rPr>
        <w:t>g</w:t>
      </w:r>
      <w:r w:rsidR="00880862" w:rsidRPr="00880862">
        <w:rPr>
          <w:i/>
        </w:rPr>
        <w:t>ross output</w:t>
      </w:r>
      <w:r w:rsidRPr="00880862">
        <w:rPr>
          <w:i/>
        </w:rPr>
        <w:t xml:space="preserve"> </w:t>
      </w:r>
      <w:r w:rsidRPr="00880862">
        <w:t>MFP</w:t>
      </w:r>
      <w:r>
        <w:t xml:space="preserve"> (see box</w:t>
      </w:r>
      <w:r w:rsidR="001910A7">
        <w:t xml:space="preserve"> </w:t>
      </w:r>
      <w:r w:rsidR="0007444B">
        <w:t>1</w:t>
      </w:r>
      <w:r>
        <w:t xml:space="preserve">). The Market </w:t>
      </w:r>
      <w:r w:rsidR="00E96465">
        <w:t>s</w:t>
      </w:r>
      <w:r>
        <w:t>ector consists of 12 selected industries (</w:t>
      </w:r>
      <w:proofErr w:type="spellStart"/>
      <w:r>
        <w:t>ANZSIC06</w:t>
      </w:r>
      <w:proofErr w:type="spellEnd"/>
      <w:r>
        <w:t xml:space="preserve"> Divisions A to K and R).</w:t>
      </w:r>
      <w:r>
        <w:sym w:font="Symbol" w:char="F020"/>
      </w:r>
    </w:p>
    <w:p w:rsidR="00AA5040" w:rsidRPr="00B94FCD" w:rsidRDefault="00B640A7" w:rsidP="00AA5040">
      <w:pPr>
        <w:pStyle w:val="Note"/>
      </w:pPr>
      <w:r>
        <w:rPr>
          <w:i/>
        </w:rPr>
        <w:t>Data s</w:t>
      </w:r>
      <w:r w:rsidR="00AA5040" w:rsidRPr="00B92D8A">
        <w:rPr>
          <w:i/>
        </w:rPr>
        <w:t>ource</w:t>
      </w:r>
      <w:r w:rsidR="00AA5040">
        <w:t xml:space="preserve">: ABS </w:t>
      </w:r>
      <w:proofErr w:type="spellStart"/>
      <w:r w:rsidR="00EF6BFD">
        <w:t>2012</w:t>
      </w:r>
      <w:r w:rsidR="00CB74CB">
        <w:t>b</w:t>
      </w:r>
      <w:proofErr w:type="spellEnd"/>
      <w:r w:rsidR="00EF6BFD">
        <w:t xml:space="preserve"> </w:t>
      </w:r>
      <w:r w:rsidR="00AA5040">
        <w:t>(</w:t>
      </w:r>
      <w:r w:rsidR="00EF6BFD" w:rsidRPr="00E96465">
        <w:rPr>
          <w:i/>
        </w:rPr>
        <w:t>Estimates of Industry Mult</w:t>
      </w:r>
      <w:r w:rsidR="00E96465" w:rsidRPr="00E96465">
        <w:rPr>
          <w:i/>
        </w:rPr>
        <w:t>ifactor Productivity, 2011-12</w:t>
      </w:r>
      <w:r w:rsidR="00E96465">
        <w:t xml:space="preserve">, Cat. no. </w:t>
      </w:r>
      <w:r w:rsidR="00E96465" w:rsidRPr="00EF6BFD">
        <w:t>5260.0.55.002</w:t>
      </w:r>
      <w:r w:rsidR="00E96465">
        <w:t>, December 2012</w:t>
      </w:r>
      <w:r w:rsidR="00AA5040">
        <w:t>)</w:t>
      </w:r>
      <w:r w:rsidR="009B1EDB">
        <w:t>.</w:t>
      </w:r>
    </w:p>
    <w:p w:rsidR="00AF55EE" w:rsidRDefault="00F2468A" w:rsidP="0046038C">
      <w:pPr>
        <w:pStyle w:val="BodyText"/>
      </w:pPr>
      <w:r>
        <w:t>R</w:t>
      </w:r>
      <w:r w:rsidR="00BF5AFB">
        <w:t xml:space="preserve">ecent periods of slow or negative MFP growth </w:t>
      </w:r>
      <w:r>
        <w:t xml:space="preserve">in all three industries </w:t>
      </w:r>
      <w:r w:rsidR="00471314">
        <w:t xml:space="preserve">mentioned </w:t>
      </w:r>
      <w:r w:rsidR="006C5130">
        <w:t>can be</w:t>
      </w:r>
      <w:r w:rsidR="00BF5AFB">
        <w:t xml:space="preserve"> attribut</w:t>
      </w:r>
      <w:r w:rsidR="006C5130">
        <w:t>ed</w:t>
      </w:r>
      <w:r w:rsidR="00FC40EE">
        <w:t xml:space="preserve">, </w:t>
      </w:r>
      <w:r w:rsidR="00BF5AFB">
        <w:t>at least in part</w:t>
      </w:r>
      <w:r w:rsidR="00FC40EE">
        <w:t>,</w:t>
      </w:r>
      <w:r w:rsidR="00BF5AFB">
        <w:t xml:space="preserve"> to </w:t>
      </w:r>
      <w:r w:rsidR="00A8111B">
        <w:t xml:space="preserve">large </w:t>
      </w:r>
      <w:r w:rsidR="000A00C0">
        <w:t>reductions in the quantities</w:t>
      </w:r>
      <w:r w:rsidR="00AA5040">
        <w:t xml:space="preserve"> (or qual</w:t>
      </w:r>
      <w:r w:rsidR="005236A1">
        <w:t>ities)</w:t>
      </w:r>
      <w:r w:rsidR="000A00C0">
        <w:t xml:space="preserve"> of </w:t>
      </w:r>
      <w:r w:rsidR="00A8111B">
        <w:t>natural resource inputs</w:t>
      </w:r>
      <w:r w:rsidR="000A00C0">
        <w:t xml:space="preserve"> being used in production</w:t>
      </w:r>
      <w:r w:rsidR="00A8111B">
        <w:t>.</w:t>
      </w:r>
      <w:r w:rsidR="00F13793">
        <w:t xml:space="preserve"> </w:t>
      </w:r>
      <w:r w:rsidR="005236A1">
        <w:t xml:space="preserve">If the quality or quantity of </w:t>
      </w:r>
      <w:r>
        <w:t xml:space="preserve">unmeasured </w:t>
      </w:r>
      <w:r w:rsidR="005236A1">
        <w:t xml:space="preserve">inputs is declining over time relative to measured inputs, </w:t>
      </w:r>
      <w:r w:rsidR="001A758C">
        <w:t>estimates</w:t>
      </w:r>
      <w:r>
        <w:t xml:space="preserve"> of </w:t>
      </w:r>
      <w:r w:rsidR="005236A1">
        <w:t xml:space="preserve">MFP growth will </w:t>
      </w:r>
      <w:r w:rsidR="0059050D">
        <w:t>understate</w:t>
      </w:r>
      <w:r w:rsidR="00471314">
        <w:t xml:space="preserve"> </w:t>
      </w:r>
      <w:r w:rsidR="0088799F">
        <w:t>technical progress</w:t>
      </w:r>
      <w:r w:rsidR="005236A1">
        <w:t xml:space="preserve">. </w:t>
      </w:r>
      <w:r>
        <w:t>Conversely, i</w:t>
      </w:r>
      <w:r w:rsidR="005236A1">
        <w:t xml:space="preserve">f the </w:t>
      </w:r>
      <w:r>
        <w:t xml:space="preserve">relative </w:t>
      </w:r>
      <w:r w:rsidR="005236A1">
        <w:t xml:space="preserve">quality or quantity of natural resource inputs </w:t>
      </w:r>
      <w:r w:rsidR="007923A1">
        <w:t>increases</w:t>
      </w:r>
      <w:r w:rsidR="005236A1">
        <w:t xml:space="preserve">, </w:t>
      </w:r>
      <w:r w:rsidR="00C40955">
        <w:t xml:space="preserve">estimates of </w:t>
      </w:r>
      <w:r w:rsidR="005236A1">
        <w:t xml:space="preserve">MFP growth will </w:t>
      </w:r>
      <w:r w:rsidR="00471314">
        <w:t xml:space="preserve">overstate </w:t>
      </w:r>
      <w:r w:rsidR="0088799F">
        <w:t>technical progress</w:t>
      </w:r>
      <w:r>
        <w:t xml:space="preserve">, giving an impression </w:t>
      </w:r>
      <w:r w:rsidR="00471314">
        <w:t xml:space="preserve">that </w:t>
      </w:r>
      <w:r w:rsidR="00C40955">
        <w:t xml:space="preserve">an </w:t>
      </w:r>
      <w:r w:rsidR="00A47C32">
        <w:t xml:space="preserve">industry </w:t>
      </w:r>
      <w:r w:rsidR="00471314">
        <w:t xml:space="preserve">has </w:t>
      </w:r>
      <w:r w:rsidR="0088799F">
        <w:t>achieved greater technical progress</w:t>
      </w:r>
      <w:r w:rsidR="00471314">
        <w:t xml:space="preserve"> </w:t>
      </w:r>
      <w:r w:rsidR="00A97542">
        <w:t>than is actually the case</w:t>
      </w:r>
      <w:r w:rsidR="005236A1">
        <w:t>.</w:t>
      </w:r>
    </w:p>
    <w:p w:rsidR="00C93893" w:rsidRDefault="00C93893">
      <w:pPr>
        <w:rPr>
          <w:szCs w:val="20"/>
        </w:rPr>
      </w:pPr>
      <w:r>
        <w:br w:type="page"/>
      </w:r>
    </w:p>
    <w:p w:rsidR="00227EE9" w:rsidRDefault="00227EE9" w:rsidP="00C40955">
      <w:pPr>
        <w:pStyle w:val="BodyText"/>
      </w:pPr>
      <w:r>
        <w:t xml:space="preserve">Declines in MFP growth that are the result of a decline in the availability or quality of a natural resource input </w:t>
      </w:r>
      <w:r w:rsidR="00833D2B">
        <w:t xml:space="preserve">do, however, </w:t>
      </w:r>
      <w:r>
        <w:t>reflect a real increase in the costs of production</w:t>
      </w:r>
      <w:r w:rsidR="009B1EDB">
        <w:t>.</w:t>
      </w:r>
      <w:r w:rsidR="00E20981">
        <w:rPr>
          <w:rStyle w:val="FootnoteReference"/>
        </w:rPr>
        <w:footnoteReference w:id="1"/>
      </w:r>
      <w:r>
        <w:t xml:space="preserve"> Hence, </w:t>
      </w:r>
      <w:r w:rsidR="00E20981">
        <w:t>while this decline</w:t>
      </w:r>
      <w:r>
        <w:t xml:space="preserve"> in MFP </w:t>
      </w:r>
      <w:r w:rsidR="00E20981">
        <w:t>does</w:t>
      </w:r>
      <w:r>
        <w:t xml:space="preserve"> </w:t>
      </w:r>
      <w:r w:rsidRPr="00C40955">
        <w:rPr>
          <w:u w:val="single"/>
        </w:rPr>
        <w:t>not</w:t>
      </w:r>
      <w:r>
        <w:t xml:space="preserve"> reflect </w:t>
      </w:r>
      <w:r w:rsidR="0088799F">
        <w:t>technical regress</w:t>
      </w:r>
      <w:r>
        <w:t xml:space="preserve">, </w:t>
      </w:r>
      <w:r w:rsidR="00E20981">
        <w:t>it</w:t>
      </w:r>
      <w:r>
        <w:t xml:space="preserve"> do</w:t>
      </w:r>
      <w:r w:rsidR="00E20981">
        <w:t>es</w:t>
      </w:r>
      <w:r>
        <w:t xml:space="preserve"> reflect a </w:t>
      </w:r>
      <w:r w:rsidR="00E20981">
        <w:t>decline</w:t>
      </w:r>
      <w:r>
        <w:t xml:space="preserve"> in the</w:t>
      </w:r>
      <w:r w:rsidR="00546E16">
        <w:t xml:space="preserve"> output</w:t>
      </w:r>
      <w:r>
        <w:t xml:space="preserve"> that can be produced by the economy</w:t>
      </w:r>
      <w:r w:rsidR="00E20981">
        <w:t xml:space="preserve"> (all else equal)</w:t>
      </w:r>
      <w:r>
        <w:t xml:space="preserve">. </w:t>
      </w:r>
      <w:r w:rsidR="00E20981">
        <w:t>This can be interpreted as a loss in productivity that is not caused by a loss in productive efficiency. Rather it is caused by a decline in natural resource inputs.</w:t>
      </w:r>
    </w:p>
    <w:p w:rsidR="002869CF" w:rsidRPr="00227EE9" w:rsidRDefault="002869CF" w:rsidP="0060647A">
      <w:pPr>
        <w:pStyle w:val="BodyText"/>
        <w:spacing w:before="200"/>
      </w:pPr>
      <w:r>
        <w:t>There are three main reasons why the quality or quantity of natural resources available as input</w:t>
      </w:r>
      <w:r w:rsidR="00B03DB1">
        <w:t>s</w:t>
      </w:r>
      <w:r>
        <w:t xml:space="preserve"> to production can decline: natural variability, depletion through use</w:t>
      </w:r>
      <w:r w:rsidR="00B03DB1">
        <w:t xml:space="preserve"> or natural processes</w:t>
      </w:r>
      <w:r>
        <w:t>, and diversion to competing uses. Whether any of these pose a problem is dependent on the particular situation. The three industries provide some good examples of the contingent nature of this issue.</w:t>
      </w:r>
    </w:p>
    <w:p w:rsidR="00307890" w:rsidRDefault="007B2662" w:rsidP="0060647A">
      <w:pPr>
        <w:pStyle w:val="BodyText"/>
        <w:spacing w:before="200"/>
      </w:pPr>
      <w:r>
        <w:t xml:space="preserve">The remainder of this paper </w:t>
      </w:r>
      <w:r w:rsidR="00675F0B">
        <w:t>explores</w:t>
      </w:r>
      <w:r>
        <w:t xml:space="preserve"> the</w:t>
      </w:r>
      <w:r w:rsidR="00A97542">
        <w:t xml:space="preserve">se </w:t>
      </w:r>
      <w:r>
        <w:t>issues in more detail</w:t>
      </w:r>
      <w:r w:rsidR="0024276C">
        <w:t xml:space="preserve">, beginning with </w:t>
      </w:r>
      <w:r w:rsidR="00744720">
        <w:t>why</w:t>
      </w:r>
      <w:r w:rsidR="00C40955">
        <w:t>,</w:t>
      </w:r>
      <w:r w:rsidR="00744720">
        <w:t xml:space="preserve"> when there are significant natural resource inputs</w:t>
      </w:r>
      <w:r w:rsidR="00C40955">
        <w:t>,</w:t>
      </w:r>
      <w:r w:rsidR="0024276C">
        <w:t xml:space="preserve"> the </w:t>
      </w:r>
      <w:r w:rsidR="003D7719">
        <w:t xml:space="preserve">methodology used by the </w:t>
      </w:r>
      <w:r w:rsidR="0024276C">
        <w:t xml:space="preserve">ABS </w:t>
      </w:r>
      <w:r w:rsidR="003D7719">
        <w:t xml:space="preserve">to </w:t>
      </w:r>
      <w:r w:rsidR="0024276C">
        <w:t>estimate MFP growth</w:t>
      </w:r>
      <w:r w:rsidR="00744720">
        <w:t xml:space="preserve"> can be a poor measure of technical </w:t>
      </w:r>
      <w:r w:rsidR="00A55239">
        <w:t>progress</w:t>
      </w:r>
      <w:r w:rsidR="00744720">
        <w:t>. The following section</w:t>
      </w:r>
      <w:r w:rsidR="0088799F">
        <w:t>s</w:t>
      </w:r>
      <w:r w:rsidR="00744720">
        <w:t xml:space="preserve"> examine the role of natural resource inputs in the three industries</w:t>
      </w:r>
      <w:r w:rsidR="00B03DB1">
        <w:t xml:space="preserve"> and why they are changing</w:t>
      </w:r>
      <w:r w:rsidR="0088799F">
        <w:t xml:space="preserve">, and </w:t>
      </w:r>
      <w:r w:rsidR="00B03DB1">
        <w:t xml:space="preserve">the effect that these changes have had on measured productivity growth in these industries. </w:t>
      </w:r>
      <w:r w:rsidR="0088799F">
        <w:t xml:space="preserve">The final section </w:t>
      </w:r>
      <w:r w:rsidR="00225059">
        <w:t xml:space="preserve">explores </w:t>
      </w:r>
      <w:r w:rsidR="007E0FEA">
        <w:t xml:space="preserve">possible </w:t>
      </w:r>
      <w:r w:rsidR="00225059">
        <w:t xml:space="preserve">implications for </w:t>
      </w:r>
      <w:r w:rsidR="0088799F">
        <w:t>productivity measurement.</w:t>
      </w:r>
    </w:p>
    <w:p w:rsidR="001D4614" w:rsidRDefault="00F65C8F" w:rsidP="0010168E">
      <w:pPr>
        <w:pStyle w:val="Heading3"/>
      </w:pPr>
      <w:r>
        <w:t>How MFP is measured</w:t>
      </w:r>
    </w:p>
    <w:p w:rsidR="009265FB" w:rsidRDefault="0024276C" w:rsidP="0060647A">
      <w:pPr>
        <w:pStyle w:val="BodyText"/>
        <w:spacing w:before="200"/>
      </w:pPr>
      <w:r>
        <w:t>T</w:t>
      </w:r>
      <w:r w:rsidR="007F29D5">
        <w:t xml:space="preserve">he ABS uses </w:t>
      </w:r>
      <w:r>
        <w:t xml:space="preserve">what is </w:t>
      </w:r>
      <w:r w:rsidR="00B1114E">
        <w:t xml:space="preserve">commonly </w:t>
      </w:r>
      <w:r>
        <w:t xml:space="preserve">known as the </w:t>
      </w:r>
      <w:r w:rsidR="007F29D5">
        <w:t>‘growth-accounting’</w:t>
      </w:r>
      <w:r>
        <w:t xml:space="preserve"> approach to derive estimates of </w:t>
      </w:r>
      <w:r w:rsidR="00B03DB1">
        <w:t>MFP</w:t>
      </w:r>
      <w:r>
        <w:t xml:space="preserve">. Under this approach, </w:t>
      </w:r>
      <w:r w:rsidR="006C062E">
        <w:t xml:space="preserve">the annual rate of </w:t>
      </w:r>
      <w:r w:rsidR="007F29D5">
        <w:t xml:space="preserve">MFP growth is measured </w:t>
      </w:r>
      <w:r w:rsidR="000450CB">
        <w:t xml:space="preserve">as a </w:t>
      </w:r>
      <w:r w:rsidR="007F29D5">
        <w:t>residual</w:t>
      </w:r>
      <w:r w:rsidR="000450CB">
        <w:t xml:space="preserve"> — that is, it is </w:t>
      </w:r>
      <w:r w:rsidR="007F29D5">
        <w:t xml:space="preserve">the difference between the </w:t>
      </w:r>
      <w:r w:rsidR="00625375">
        <w:t xml:space="preserve">growth </w:t>
      </w:r>
      <w:r w:rsidR="00D05E1E">
        <w:t xml:space="preserve">rate of </w:t>
      </w:r>
      <w:r w:rsidR="007F29D5">
        <w:t>outpu</w:t>
      </w:r>
      <w:r w:rsidR="00FC096A">
        <w:t xml:space="preserve">t and the </w:t>
      </w:r>
      <w:r w:rsidR="00625375">
        <w:t xml:space="preserve">growth rate </w:t>
      </w:r>
      <w:r w:rsidR="008C0BC3">
        <w:t xml:space="preserve">of </w:t>
      </w:r>
      <w:r w:rsidR="000450CB">
        <w:t xml:space="preserve">(measured) </w:t>
      </w:r>
      <w:r w:rsidR="00F11624">
        <w:t>inputs</w:t>
      </w:r>
      <w:r w:rsidR="00625375">
        <w:t>. B</w:t>
      </w:r>
      <w:r w:rsidR="006315C6">
        <w:t>oth o</w:t>
      </w:r>
      <w:r w:rsidR="00E70BDC">
        <w:t>utput and input</w:t>
      </w:r>
      <w:r w:rsidR="005E55F1">
        <w:t>s</w:t>
      </w:r>
      <w:r w:rsidR="00E70BDC">
        <w:t xml:space="preserve"> </w:t>
      </w:r>
      <w:r w:rsidR="00993589">
        <w:t>are</w:t>
      </w:r>
      <w:r w:rsidR="00625375">
        <w:t xml:space="preserve"> </w:t>
      </w:r>
      <w:r w:rsidR="007B2662">
        <w:t xml:space="preserve">measured in volume </w:t>
      </w:r>
      <w:r w:rsidR="00E07F92">
        <w:t xml:space="preserve">or quantity </w:t>
      </w:r>
      <w:r w:rsidR="007B2662">
        <w:t>terms</w:t>
      </w:r>
      <w:r w:rsidR="00F11624">
        <w:t>, and are represented using index numbers</w:t>
      </w:r>
      <w:r w:rsidR="00B1114E">
        <w:t xml:space="preserve">. </w:t>
      </w:r>
      <w:r w:rsidR="003429FA">
        <w:t xml:space="preserve">(Box </w:t>
      </w:r>
      <w:r w:rsidR="0007444B">
        <w:t>1</w:t>
      </w:r>
      <w:r w:rsidR="001910A7">
        <w:t xml:space="preserve"> </w:t>
      </w:r>
      <w:r w:rsidR="003429FA">
        <w:t>contains more information on the growth-accounting approach.)</w:t>
      </w:r>
    </w:p>
    <w:p w:rsidR="0060647A" w:rsidRDefault="0060647A" w:rsidP="0060647A">
      <w:pPr>
        <w:pStyle w:val="BodyText"/>
        <w:spacing w:before="200"/>
      </w:pPr>
      <w:r>
        <w:t xml:space="preserve">The standard interpretation of MFP growth is that it traces </w:t>
      </w:r>
      <w:r w:rsidRPr="00F72255">
        <w:rPr>
          <w:i/>
        </w:rPr>
        <w:t>disembodied technological progress</w:t>
      </w:r>
      <w:r>
        <w:t xml:space="preserve">, such as improvements in the way businesses organise their production processes that allow them to reduce input requirements per unit of output, or to produce a greater quantity of output from a given quantity of inputs (see ABS </w:t>
      </w:r>
      <w:proofErr w:type="spellStart"/>
      <w:r>
        <w:t>2012a</w:t>
      </w:r>
      <w:proofErr w:type="spellEnd"/>
      <w:r>
        <w:t>, p. 429). In practice</w:t>
      </w:r>
      <w:r w:rsidR="00833D2B">
        <w:t>,</w:t>
      </w:r>
      <w:r>
        <w:t xml:space="preserve"> however, the conventional growth-accounting estimates of MFP reflect the combined influence of any number of factors that might lead to a difference between measured output growth and measured input growth during a particular year or period. According to the OECD many factors other than technology are reflected in the MFP residual, including adjustment costs, scale and cyclical effects, pure changes in efficiency</w:t>
      </w:r>
      <w:r w:rsidR="00E82FA0">
        <w:t>,</w:t>
      </w:r>
      <w:r>
        <w:t xml:space="preserve"> and measurement errors (see OECD 2001</w:t>
      </w:r>
      <w:r w:rsidR="00F64166">
        <w:t>,</w:t>
      </w:r>
      <w:r>
        <w:t xml:space="preserve"> p. 20). </w:t>
      </w:r>
    </w:p>
    <w:p w:rsidR="00BA4E94" w:rsidRDefault="00BA4E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9265FB" w:rsidTr="00BA55B1">
        <w:tc>
          <w:tcPr>
            <w:tcW w:w="8771" w:type="dxa"/>
            <w:tcBorders>
              <w:top w:val="single" w:sz="6" w:space="0" w:color="auto"/>
              <w:bottom w:val="nil"/>
            </w:tcBorders>
          </w:tcPr>
          <w:p w:rsidR="009265FB" w:rsidRDefault="009265FB" w:rsidP="0007444B">
            <w:pPr>
              <w:pStyle w:val="BoxTitle"/>
            </w:pPr>
            <w:r>
              <w:rPr>
                <w:b w:val="0"/>
              </w:rPr>
              <w:t xml:space="preserve">Box </w:t>
            </w:r>
            <w:bookmarkStart w:id="8" w:name="OLE_LINK12"/>
            <w:r w:rsidR="00C93893">
              <w:rPr>
                <w:b w:val="0"/>
                <w:noProof/>
              </w:rPr>
              <w:t>1</w:t>
            </w:r>
            <w:bookmarkEnd w:id="8"/>
            <w:r>
              <w:tab/>
              <w:t>Multifactor productivity growth measurement</w:t>
            </w:r>
          </w:p>
        </w:tc>
      </w:tr>
      <w:tr w:rsidR="009265FB" w:rsidTr="00BA55B1">
        <w:trPr>
          <w:cantSplit/>
        </w:trPr>
        <w:tc>
          <w:tcPr>
            <w:tcW w:w="8771" w:type="dxa"/>
            <w:tcBorders>
              <w:top w:val="nil"/>
              <w:left w:val="single" w:sz="6" w:space="0" w:color="auto"/>
              <w:bottom w:val="nil"/>
              <w:right w:val="single" w:sz="6" w:space="0" w:color="auto"/>
            </w:tcBorders>
          </w:tcPr>
          <w:p w:rsidR="009265FB" w:rsidRDefault="009265FB" w:rsidP="00BA55B1">
            <w:pPr>
              <w:pStyle w:val="Box"/>
            </w:pPr>
            <w:r>
              <w:t xml:space="preserve">The ABS </w:t>
            </w:r>
            <w:r w:rsidR="0046070F">
              <w:t>generates</w:t>
            </w:r>
            <w:r>
              <w:t xml:space="preserve"> estimates of industry MFP using a conventional growth accounting framework outlined in ABS (2007) and </w:t>
            </w:r>
            <w:proofErr w:type="spellStart"/>
            <w:r>
              <w:t>Zheng</w:t>
            </w:r>
            <w:proofErr w:type="spellEnd"/>
            <w:r>
              <w:t xml:space="preserve"> (2005), and recommended by the OECD (2001). Underlying the approach is an assumed production function: </w:t>
            </w:r>
          </w:p>
          <w:p w:rsidR="009265FB" w:rsidRPr="00F55E74" w:rsidRDefault="000A2FD0" w:rsidP="0008784E">
            <w:pPr>
              <w:tabs>
                <w:tab w:val="left" w:pos="6782"/>
              </w:tabs>
              <w:spacing w:before="240"/>
              <w:jc w:val="center"/>
              <w:rPr>
                <w:sz w:val="22"/>
                <w:szCs w:val="22"/>
              </w:rPr>
            </w:pPr>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f(</m:t>
              </m:r>
              <m:sSub>
                <m:sSubPr>
                  <m:ctrlPr>
                    <w:rPr>
                      <w:rFonts w:ascii="Cambria Math" w:hAnsi="Cambria Math"/>
                      <w:i/>
                    </w:rPr>
                  </m:ctrlPr>
                </m:sSubPr>
                <m:e>
                  <m:r>
                    <w:rPr>
                      <w:rFonts w:ascii="Cambria Math" w:hAnsi="Cambria Math"/>
                    </w:rPr>
                    <m:t>K</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t</m:t>
                  </m:r>
                </m:sub>
              </m:sSub>
            </m:oMath>
            <w:r w:rsidR="00B50218">
              <w:rPr>
                <w:rFonts w:eastAsiaTheme="minorEastAsia"/>
              </w:rPr>
              <w:t>)</w:t>
            </w:r>
            <w:r w:rsidR="009265FB">
              <w:rPr>
                <w:rFonts w:eastAsiaTheme="minorEastAsia"/>
              </w:rPr>
              <w:tab/>
            </w:r>
            <w:r w:rsidR="009265FB" w:rsidRPr="00F55E74">
              <w:rPr>
                <w:rFonts w:ascii="Arial" w:eastAsiaTheme="minorEastAsia" w:hAnsi="Arial" w:cs="Arial"/>
                <w:sz w:val="22"/>
                <w:szCs w:val="22"/>
              </w:rPr>
              <w:t>(1)</w:t>
            </w:r>
          </w:p>
          <w:p w:rsidR="00802E1D" w:rsidRDefault="009265FB" w:rsidP="00B50218">
            <w:pPr>
              <w:pStyle w:val="Box"/>
            </w:pPr>
            <w:r>
              <w:t xml:space="preserve">where </w:t>
            </w:r>
            <m:oMath>
              <m:sSub>
                <m:sSubPr>
                  <m:ctrlPr>
                    <w:rPr>
                      <w:rFonts w:ascii="Cambria Math" w:hAnsi="Cambria Math"/>
                      <w:i/>
                    </w:rPr>
                  </m:ctrlPr>
                </m:sSubPr>
                <m:e>
                  <m:r>
                    <w:rPr>
                      <w:rFonts w:ascii="Cambria Math" w:hAnsi="Cambria Math"/>
                    </w:rPr>
                    <m:t>Y</m:t>
                  </m:r>
                </m:e>
                <m:sub>
                  <m:r>
                    <w:rPr>
                      <w:rFonts w:ascii="Cambria Math" w:hAnsi="Cambria Math"/>
                    </w:rPr>
                    <m:t>t</m:t>
                  </m:r>
                </m:sub>
              </m:sSub>
            </m:oMath>
            <w:r w:rsidRPr="00021725">
              <w:rPr>
                <w:i/>
              </w:rPr>
              <w:t>,</w:t>
            </w:r>
            <m:oMath>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t</m:t>
                  </m:r>
                </m:sub>
              </m:sSub>
            </m:oMath>
            <w:r w:rsidRPr="00021725">
              <w:rPr>
                <w:i/>
              </w:rPr>
              <w:t xml:space="preserve"> ,</w:t>
            </w:r>
            <m:oMath>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t</m:t>
                  </m:r>
                </m:sub>
              </m:sSub>
            </m:oMath>
            <w:r w:rsidRPr="00021725">
              <w:rPr>
                <w:i/>
              </w:rPr>
              <w:t xml:space="preserve"> </w:t>
            </w:r>
            <w:r>
              <w:rPr>
                <w:i/>
              </w:rPr>
              <w:t xml:space="preserve">, </w:t>
            </w:r>
            <w:r w:rsidRPr="002C07D5">
              <w:t>and</w:t>
            </w:r>
            <w:r>
              <w:rPr>
                <w:i/>
              </w:rPr>
              <w:t xml:space="preserve"> </w:t>
            </w:r>
            <m:oMath>
              <m:sSub>
                <m:sSubPr>
                  <m:ctrlPr>
                    <w:rPr>
                      <w:rFonts w:ascii="Cambria Math" w:hAnsi="Cambria Math"/>
                      <w:i/>
                    </w:rPr>
                  </m:ctrlPr>
                </m:sSubPr>
                <m:e>
                  <m:r>
                    <w:rPr>
                      <w:rFonts w:ascii="Cambria Math" w:hAnsi="Cambria Math"/>
                    </w:rPr>
                    <m:t>I</m:t>
                  </m:r>
                </m:e>
                <m:sub>
                  <m:r>
                    <w:rPr>
                      <w:rFonts w:ascii="Cambria Math" w:hAnsi="Cambria Math"/>
                    </w:rPr>
                    <m:t>t</m:t>
                  </m:r>
                </m:sub>
              </m:sSub>
            </m:oMath>
            <w:r>
              <w:t xml:space="preserve"> represent output, capital, labour, and intermediate inputs (energy, materials and services</w:t>
            </w:r>
            <w:r w:rsidR="0008784E">
              <w:t xml:space="preserve"> inputs</w:t>
            </w:r>
            <w:r>
              <w:t xml:space="preserve">) </w:t>
            </w:r>
            <w:r w:rsidR="0008784E">
              <w:t xml:space="preserve">in </w:t>
            </w:r>
            <w:r w:rsidR="00802E1D">
              <w:t>year</w:t>
            </w:r>
            <w:r w:rsidR="0008784E">
              <w:t xml:space="preserve"> </w:t>
            </w:r>
            <w:r w:rsidR="0008784E" w:rsidRPr="00802E1D">
              <w:rPr>
                <w:i/>
              </w:rPr>
              <w:t>t</w:t>
            </w:r>
            <w:r w:rsidR="0008784E">
              <w:t xml:space="preserve"> </w:t>
            </w:r>
            <w:r>
              <w:t xml:space="preserve">respectively, and </w:t>
            </w:r>
            <m:oMath>
              <m:sSub>
                <m:sSubPr>
                  <m:ctrlPr>
                    <w:rPr>
                      <w:rFonts w:ascii="Cambria Math" w:hAnsi="Cambria Math"/>
                      <w:i/>
                    </w:rPr>
                  </m:ctrlPr>
                </m:sSubPr>
                <m:e>
                  <m:r>
                    <w:rPr>
                      <w:rFonts w:ascii="Cambria Math" w:hAnsi="Cambria Math"/>
                    </w:rPr>
                    <m:t>A</m:t>
                  </m:r>
                </m:e>
                <m:sub>
                  <m:r>
                    <w:rPr>
                      <w:rFonts w:ascii="Cambria Math" w:hAnsi="Cambria Math"/>
                    </w:rPr>
                    <m:t>t</m:t>
                  </m:r>
                </m:sub>
              </m:sSub>
            </m:oMath>
            <w:r>
              <w:t xml:space="preserve"> represents </w:t>
            </w:r>
            <w:r w:rsidR="00935AF8">
              <w:t>multifactor productivity</w:t>
            </w:r>
            <w:r w:rsidR="0008784E">
              <w:t xml:space="preserve"> in </w:t>
            </w:r>
            <w:r w:rsidR="00802E1D">
              <w:t>year</w:t>
            </w:r>
            <w:r w:rsidR="0008784E">
              <w:t xml:space="preserve"> </w:t>
            </w:r>
            <w:r w:rsidR="0008784E" w:rsidRPr="00802E1D">
              <w:rPr>
                <w:i/>
              </w:rPr>
              <w:t>t</w:t>
            </w:r>
            <w:r>
              <w:t xml:space="preserve">. </w:t>
            </w:r>
          </w:p>
          <w:p w:rsidR="00B50218" w:rsidRDefault="00802E1D" w:rsidP="00B50218">
            <w:pPr>
              <w:pStyle w:val="Box"/>
            </w:pPr>
            <w:r>
              <w:t>After differentiating equation (1) with respect to time and making a number of assumptions regarding the underlying production function,</w:t>
            </w:r>
            <m:oMath>
              <m:r>
                <w:rPr>
                  <w:rFonts w:ascii="Cambria Math" w:hAnsi="Cambria Math"/>
                </w:rPr>
                <m:t>f</m:t>
              </m:r>
            </m:oMath>
            <w:r>
              <w:t xml:space="preserve">, </w:t>
            </w:r>
            <w:r w:rsidR="00B82063">
              <w:t xml:space="preserve">the ABS derives </w:t>
            </w:r>
            <w:r>
              <w:t>a</w:t>
            </w:r>
            <w:r w:rsidR="00D83271">
              <w:t xml:space="preserve">n index of MFP </w:t>
            </w:r>
            <w:r w:rsidR="001A758C">
              <w:t xml:space="preserve">growth that is </w:t>
            </w:r>
            <w:r w:rsidR="00D83271">
              <w:t>calculated from the equation</w:t>
            </w:r>
            <w:r w:rsidR="009265FB">
              <w:t xml:space="preserve">: </w:t>
            </w:r>
          </w:p>
          <w:p w:rsidR="009265FB" w:rsidRPr="00B50218" w:rsidRDefault="000A2FD0" w:rsidP="0008784E">
            <w:pPr>
              <w:pStyle w:val="Box"/>
              <w:tabs>
                <w:tab w:val="left" w:pos="6782"/>
              </w:tabs>
              <w:jc w:val="center"/>
              <w:rPr>
                <w:rFonts w:eastAsiaTheme="minorEastAsia"/>
              </w:rPr>
            </w:pPr>
            <m:oMath>
              <m:func>
                <m:funcPr>
                  <m:ctrlPr>
                    <w:rPr>
                      <w:rFonts w:ascii="Cambria Math" w:hAnsi="Cambria Math"/>
                      <w:szCs w:val="22"/>
                    </w:rPr>
                  </m:ctrlPr>
                </m:funcPr>
                <m:fName>
                  <m:r>
                    <m:rPr>
                      <m:sty m:val="p"/>
                    </m:rPr>
                    <w:rPr>
                      <w:rFonts w:ascii="Cambria Math" w:hAnsi="Cambria Math"/>
                      <w:szCs w:val="22"/>
                    </w:rPr>
                    <m:t>ln</m:t>
                  </m:r>
                </m:fName>
                <m:e>
                  <m:d>
                    <m:dPr>
                      <m:ctrlPr>
                        <w:rPr>
                          <w:rFonts w:ascii="Cambria Math" w:hAnsi="Cambria Math"/>
                          <w:i/>
                          <w:szCs w:val="22"/>
                        </w:rPr>
                      </m:ctrlPr>
                    </m:dPr>
                    <m:e>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A</m:t>
                              </m:r>
                            </m:e>
                            <m:sub>
                              <m:r>
                                <w:rPr>
                                  <w:rFonts w:ascii="Cambria Math" w:hAnsi="Cambria Math"/>
                                  <w:szCs w:val="22"/>
                                </w:rPr>
                                <m:t>t</m:t>
                              </m:r>
                            </m:sub>
                          </m:sSub>
                        </m:num>
                        <m:den>
                          <m:sSub>
                            <m:sSubPr>
                              <m:ctrlPr>
                                <w:rPr>
                                  <w:rFonts w:ascii="Cambria Math" w:hAnsi="Cambria Math"/>
                                  <w:i/>
                                  <w:szCs w:val="22"/>
                                </w:rPr>
                              </m:ctrlPr>
                            </m:sSubPr>
                            <m:e>
                              <m:r>
                                <w:rPr>
                                  <w:rFonts w:ascii="Cambria Math" w:hAnsi="Cambria Math"/>
                                  <w:szCs w:val="22"/>
                                </w:rPr>
                                <m:t>A</m:t>
                              </m:r>
                            </m:e>
                            <m:sub>
                              <m:r>
                                <w:rPr>
                                  <w:rFonts w:ascii="Cambria Math" w:hAnsi="Cambria Math"/>
                                  <w:szCs w:val="22"/>
                                </w:rPr>
                                <m:t>t-1</m:t>
                              </m:r>
                            </m:sub>
                          </m:sSub>
                        </m:den>
                      </m:f>
                    </m:e>
                  </m:d>
                </m:e>
              </m:func>
              <m:r>
                <w:rPr>
                  <w:rFonts w:ascii="Cambria Math" w:hAnsi="Cambria Math"/>
                  <w:szCs w:val="22"/>
                </w:rPr>
                <m:t>=</m:t>
              </m:r>
              <m:func>
                <m:funcPr>
                  <m:ctrlPr>
                    <w:rPr>
                      <w:rFonts w:ascii="Cambria Math" w:hAnsi="Cambria Math"/>
                      <w:szCs w:val="22"/>
                    </w:rPr>
                  </m:ctrlPr>
                </m:funcPr>
                <m:fName>
                  <m:r>
                    <m:rPr>
                      <m:sty m:val="p"/>
                    </m:rPr>
                    <w:rPr>
                      <w:rFonts w:ascii="Cambria Math" w:hAnsi="Cambria Math"/>
                      <w:szCs w:val="22"/>
                    </w:rPr>
                    <m:t>ln</m:t>
                  </m:r>
                  <m:ctrlPr>
                    <w:rPr>
                      <w:rFonts w:ascii="Cambria Math" w:hAnsi="Cambria Math"/>
                      <w:i/>
                      <w:szCs w:val="22"/>
                    </w:rPr>
                  </m:ctrlPr>
                </m:fName>
                <m:e>
                  <m:d>
                    <m:dPr>
                      <m:ctrlPr>
                        <w:rPr>
                          <w:rFonts w:ascii="Cambria Math" w:hAnsi="Cambria Math"/>
                          <w:i/>
                          <w:szCs w:val="22"/>
                        </w:rPr>
                      </m:ctrlPr>
                    </m:dPr>
                    <m:e>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Y</m:t>
                              </m:r>
                            </m:e>
                            <m:sub>
                              <m:r>
                                <w:rPr>
                                  <w:rFonts w:ascii="Cambria Math" w:hAnsi="Cambria Math"/>
                                  <w:szCs w:val="22"/>
                                </w:rPr>
                                <m:t>t</m:t>
                              </m:r>
                            </m:sub>
                          </m:sSub>
                        </m:num>
                        <m:den>
                          <m:sSub>
                            <m:sSubPr>
                              <m:ctrlPr>
                                <w:rPr>
                                  <w:rFonts w:ascii="Cambria Math" w:hAnsi="Cambria Math"/>
                                  <w:i/>
                                  <w:szCs w:val="22"/>
                                </w:rPr>
                              </m:ctrlPr>
                            </m:sSubPr>
                            <m:e>
                              <m:r>
                                <w:rPr>
                                  <w:rFonts w:ascii="Cambria Math" w:hAnsi="Cambria Math"/>
                                  <w:szCs w:val="22"/>
                                </w:rPr>
                                <m:t>Y</m:t>
                              </m:r>
                            </m:e>
                            <m:sub>
                              <m:r>
                                <w:rPr>
                                  <w:rFonts w:ascii="Cambria Math" w:hAnsi="Cambria Math"/>
                                  <w:szCs w:val="22"/>
                                </w:rPr>
                                <m:t>t-1</m:t>
                              </m:r>
                            </m:sub>
                          </m:sSub>
                        </m:den>
                      </m:f>
                    </m:e>
                  </m:d>
                </m:e>
              </m:func>
              <m:r>
                <w:rPr>
                  <w:rFonts w:ascii="Cambria Math" w:hAnsi="Cambria Math"/>
                  <w:szCs w:val="22"/>
                </w:rPr>
                <m:t>-</m:t>
              </m:r>
              <m:sSub>
                <m:sSubPr>
                  <m:ctrlPr>
                    <w:rPr>
                      <w:rFonts w:ascii="Cambria Math" w:hAnsi="Cambria Math"/>
                      <w:i/>
                      <w:szCs w:val="22"/>
                    </w:rPr>
                  </m:ctrlPr>
                </m:sSubPr>
                <m:e>
                  <m:r>
                    <w:rPr>
                      <w:rFonts w:ascii="Cambria Math" w:hAnsi="Cambria Math"/>
                      <w:szCs w:val="22"/>
                    </w:rPr>
                    <m:t>S</m:t>
                  </m:r>
                </m:e>
                <m:sub>
                  <m:r>
                    <w:rPr>
                      <w:rFonts w:ascii="Cambria Math" w:hAnsi="Cambria Math"/>
                      <w:szCs w:val="22"/>
                    </w:rPr>
                    <m:t xml:space="preserve">K </m:t>
                  </m:r>
                </m:sub>
              </m:sSub>
              <m:func>
                <m:funcPr>
                  <m:ctrlPr>
                    <w:rPr>
                      <w:rFonts w:ascii="Cambria Math" w:hAnsi="Cambria Math"/>
                      <w:szCs w:val="22"/>
                    </w:rPr>
                  </m:ctrlPr>
                </m:funcPr>
                <m:fName>
                  <m:r>
                    <m:rPr>
                      <m:sty m:val="p"/>
                    </m:rPr>
                    <w:rPr>
                      <w:rFonts w:ascii="Cambria Math" w:hAnsi="Cambria Math"/>
                      <w:szCs w:val="22"/>
                    </w:rPr>
                    <m:t>ln</m:t>
                  </m:r>
                </m:fName>
                <m:e>
                  <m:d>
                    <m:dPr>
                      <m:ctrlPr>
                        <w:rPr>
                          <w:rFonts w:ascii="Cambria Math" w:hAnsi="Cambria Math"/>
                          <w:i/>
                          <w:szCs w:val="22"/>
                        </w:rPr>
                      </m:ctrlPr>
                    </m:dPr>
                    <m:e>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K</m:t>
                              </m:r>
                            </m:e>
                            <m:sub>
                              <m:r>
                                <w:rPr>
                                  <w:rFonts w:ascii="Cambria Math" w:hAnsi="Cambria Math"/>
                                  <w:szCs w:val="22"/>
                                </w:rPr>
                                <m:t>t</m:t>
                              </m:r>
                            </m:sub>
                          </m:sSub>
                        </m:num>
                        <m:den>
                          <m:sSub>
                            <m:sSubPr>
                              <m:ctrlPr>
                                <w:rPr>
                                  <w:rFonts w:ascii="Cambria Math" w:hAnsi="Cambria Math"/>
                                  <w:i/>
                                  <w:szCs w:val="22"/>
                                </w:rPr>
                              </m:ctrlPr>
                            </m:sSubPr>
                            <m:e>
                              <m:r>
                                <w:rPr>
                                  <w:rFonts w:ascii="Cambria Math" w:hAnsi="Cambria Math"/>
                                  <w:szCs w:val="22"/>
                                </w:rPr>
                                <m:t>K</m:t>
                              </m:r>
                            </m:e>
                            <m:sub>
                              <m:r>
                                <w:rPr>
                                  <w:rFonts w:ascii="Cambria Math" w:hAnsi="Cambria Math"/>
                                  <w:szCs w:val="22"/>
                                </w:rPr>
                                <m:t>t-1</m:t>
                              </m:r>
                            </m:sub>
                          </m:sSub>
                        </m:den>
                      </m:f>
                    </m:e>
                  </m:d>
                </m:e>
              </m:func>
              <m:r>
                <w:rPr>
                  <w:rFonts w:ascii="Cambria Math" w:hAnsi="Cambria Math"/>
                  <w:szCs w:val="22"/>
                </w:rPr>
                <m:t>-</m:t>
              </m:r>
              <m:sSub>
                <m:sSubPr>
                  <m:ctrlPr>
                    <w:rPr>
                      <w:rFonts w:ascii="Cambria Math" w:hAnsi="Cambria Math"/>
                      <w:i/>
                      <w:szCs w:val="22"/>
                    </w:rPr>
                  </m:ctrlPr>
                </m:sSubPr>
                <m:e>
                  <m:r>
                    <w:rPr>
                      <w:rFonts w:ascii="Cambria Math" w:hAnsi="Cambria Math"/>
                      <w:szCs w:val="22"/>
                    </w:rPr>
                    <m:t>S</m:t>
                  </m:r>
                </m:e>
                <m:sub>
                  <m:r>
                    <w:rPr>
                      <w:rFonts w:ascii="Cambria Math" w:hAnsi="Cambria Math"/>
                      <w:szCs w:val="22"/>
                    </w:rPr>
                    <m:t>L</m:t>
                  </m:r>
                </m:sub>
              </m:sSub>
              <m:func>
                <m:funcPr>
                  <m:ctrlPr>
                    <w:rPr>
                      <w:rFonts w:ascii="Cambria Math" w:hAnsi="Cambria Math"/>
                      <w:i/>
                      <w:szCs w:val="22"/>
                    </w:rPr>
                  </m:ctrlPr>
                </m:funcPr>
                <m:fName>
                  <m:r>
                    <m:rPr>
                      <m:sty m:val="p"/>
                    </m:rPr>
                    <w:rPr>
                      <w:rFonts w:ascii="Cambria Math" w:hAnsi="Cambria Math"/>
                      <w:szCs w:val="22"/>
                    </w:rPr>
                    <m:t>ln</m:t>
                  </m:r>
                </m:fName>
                <m:e>
                  <m:d>
                    <m:dPr>
                      <m:ctrlPr>
                        <w:rPr>
                          <w:rFonts w:ascii="Cambria Math" w:hAnsi="Cambria Math"/>
                          <w:i/>
                          <w:szCs w:val="22"/>
                        </w:rPr>
                      </m:ctrlPr>
                    </m:dPr>
                    <m:e>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L</m:t>
                              </m:r>
                            </m:e>
                            <m:sub>
                              <m:r>
                                <w:rPr>
                                  <w:rFonts w:ascii="Cambria Math" w:hAnsi="Cambria Math"/>
                                  <w:szCs w:val="22"/>
                                </w:rPr>
                                <m:t>t</m:t>
                              </m:r>
                            </m:sub>
                          </m:sSub>
                        </m:num>
                        <m:den>
                          <m:sSub>
                            <m:sSubPr>
                              <m:ctrlPr>
                                <w:rPr>
                                  <w:rFonts w:ascii="Cambria Math" w:hAnsi="Cambria Math"/>
                                  <w:i/>
                                  <w:szCs w:val="22"/>
                                </w:rPr>
                              </m:ctrlPr>
                            </m:sSubPr>
                            <m:e>
                              <m:r>
                                <w:rPr>
                                  <w:rFonts w:ascii="Cambria Math" w:hAnsi="Cambria Math"/>
                                  <w:szCs w:val="22"/>
                                </w:rPr>
                                <m:t>L</m:t>
                              </m:r>
                            </m:e>
                            <m:sub>
                              <m:r>
                                <w:rPr>
                                  <w:rFonts w:ascii="Cambria Math" w:hAnsi="Cambria Math"/>
                                  <w:szCs w:val="22"/>
                                </w:rPr>
                                <m:t>t-1</m:t>
                              </m:r>
                            </m:sub>
                          </m:sSub>
                        </m:den>
                      </m:f>
                    </m:e>
                  </m:d>
                </m:e>
              </m:func>
              <m:r>
                <w:rPr>
                  <w:rFonts w:ascii="Cambria Math" w:hAnsi="Cambria Math"/>
                  <w:szCs w:val="22"/>
                </w:rPr>
                <m:t>-</m:t>
              </m:r>
              <m:sSub>
                <m:sSubPr>
                  <m:ctrlPr>
                    <w:rPr>
                      <w:rFonts w:ascii="Cambria Math" w:hAnsi="Cambria Math"/>
                      <w:i/>
                      <w:szCs w:val="22"/>
                    </w:rPr>
                  </m:ctrlPr>
                </m:sSubPr>
                <m:e>
                  <m:r>
                    <w:rPr>
                      <w:rFonts w:ascii="Cambria Math" w:hAnsi="Cambria Math"/>
                      <w:szCs w:val="22"/>
                    </w:rPr>
                    <m:t>S</m:t>
                  </m:r>
                </m:e>
                <m:sub>
                  <m:r>
                    <w:rPr>
                      <w:rFonts w:ascii="Cambria Math" w:hAnsi="Cambria Math"/>
                      <w:szCs w:val="22"/>
                    </w:rPr>
                    <m:t>I</m:t>
                  </m:r>
                </m:sub>
              </m:sSub>
              <m:func>
                <m:funcPr>
                  <m:ctrlPr>
                    <w:rPr>
                      <w:rFonts w:ascii="Cambria Math" w:hAnsi="Cambria Math"/>
                      <w:i/>
                      <w:szCs w:val="22"/>
                    </w:rPr>
                  </m:ctrlPr>
                </m:funcPr>
                <m:fName>
                  <m:r>
                    <m:rPr>
                      <m:sty m:val="p"/>
                    </m:rPr>
                    <w:rPr>
                      <w:rFonts w:ascii="Cambria Math" w:hAnsi="Cambria Math"/>
                      <w:szCs w:val="22"/>
                    </w:rPr>
                    <m:t>ln</m:t>
                  </m:r>
                </m:fName>
                <m:e>
                  <m:d>
                    <m:dPr>
                      <m:ctrlPr>
                        <w:rPr>
                          <w:rFonts w:ascii="Cambria Math" w:hAnsi="Cambria Math"/>
                          <w:i/>
                          <w:szCs w:val="22"/>
                        </w:rPr>
                      </m:ctrlPr>
                    </m:dPr>
                    <m:e>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I</m:t>
                              </m:r>
                            </m:e>
                            <m:sub>
                              <m:r>
                                <w:rPr>
                                  <w:rFonts w:ascii="Cambria Math" w:hAnsi="Cambria Math"/>
                                  <w:szCs w:val="22"/>
                                </w:rPr>
                                <m:t>t</m:t>
                              </m:r>
                            </m:sub>
                          </m:sSub>
                        </m:num>
                        <m:den>
                          <m:sSub>
                            <m:sSubPr>
                              <m:ctrlPr>
                                <w:rPr>
                                  <w:rFonts w:ascii="Cambria Math" w:hAnsi="Cambria Math"/>
                                  <w:i/>
                                  <w:szCs w:val="22"/>
                                </w:rPr>
                              </m:ctrlPr>
                            </m:sSubPr>
                            <m:e>
                              <m:r>
                                <w:rPr>
                                  <w:rFonts w:ascii="Cambria Math" w:hAnsi="Cambria Math"/>
                                  <w:szCs w:val="22"/>
                                </w:rPr>
                                <m:t>I</m:t>
                              </m:r>
                            </m:e>
                            <m:sub>
                              <m:r>
                                <w:rPr>
                                  <w:rFonts w:ascii="Cambria Math" w:hAnsi="Cambria Math"/>
                                  <w:szCs w:val="22"/>
                                </w:rPr>
                                <m:t>t-1</m:t>
                              </m:r>
                            </m:sub>
                          </m:sSub>
                        </m:den>
                      </m:f>
                    </m:e>
                  </m:d>
                </m:e>
              </m:func>
            </m:oMath>
            <w:r w:rsidR="00D83271">
              <w:rPr>
                <w:rFonts w:eastAsiaTheme="minorEastAsia"/>
                <w:szCs w:val="22"/>
              </w:rPr>
              <w:t xml:space="preserve"> </w:t>
            </w:r>
            <w:r w:rsidR="009265FB">
              <w:rPr>
                <w:rFonts w:eastAsiaTheme="minorEastAsia"/>
              </w:rPr>
              <w:tab/>
              <w:t>(2)</w:t>
            </w:r>
          </w:p>
          <w:p w:rsidR="0046070F" w:rsidRDefault="009265FB" w:rsidP="00BA55B1">
            <w:pPr>
              <w:pStyle w:val="Box"/>
              <w:rPr>
                <w:rFonts w:eastAsiaTheme="minorEastAsia"/>
              </w:rPr>
            </w:pPr>
            <w:r>
              <w:t xml:space="preserve">where </w:t>
            </w:r>
            <w:r w:rsidR="00802E1D" w:rsidRPr="00802E1D">
              <w:rPr>
                <w:rFonts w:ascii="Times New Roman" w:hAnsi="Times New Roman"/>
                <w:i/>
              </w:rPr>
              <w:t>Y, K, L</w:t>
            </w:r>
            <w:r w:rsidR="00802E1D" w:rsidRPr="00802E1D">
              <w:rPr>
                <w:rFonts w:ascii="Times New Roman" w:hAnsi="Times New Roman"/>
              </w:rPr>
              <w:t xml:space="preserve"> </w:t>
            </w:r>
            <w:r w:rsidR="00802E1D" w:rsidRPr="00802E1D">
              <w:rPr>
                <w:rFonts w:cs="Arial"/>
              </w:rPr>
              <w:t>and</w:t>
            </w:r>
            <w:r w:rsidR="00802E1D" w:rsidRPr="00802E1D">
              <w:rPr>
                <w:rFonts w:ascii="Times New Roman" w:hAnsi="Times New Roman"/>
              </w:rPr>
              <w:t xml:space="preserve"> </w:t>
            </w:r>
            <w:r w:rsidR="00802E1D" w:rsidRPr="00802E1D">
              <w:rPr>
                <w:rFonts w:ascii="Times New Roman" w:hAnsi="Times New Roman"/>
                <w:i/>
              </w:rPr>
              <w:t>I</w:t>
            </w:r>
            <w:r w:rsidR="00802E1D">
              <w:t xml:space="preserve"> are as above, and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0008784E">
              <w:t xml:space="preserve">, </w:t>
            </w:r>
            <m:oMath>
              <m:sSub>
                <m:sSubPr>
                  <m:ctrlPr>
                    <w:rPr>
                      <w:rFonts w:ascii="Cambria Math" w:hAnsi="Cambria Math"/>
                      <w:i/>
                    </w:rPr>
                  </m:ctrlPr>
                </m:sSubPr>
                <m:e>
                  <m:r>
                    <w:rPr>
                      <w:rFonts w:ascii="Cambria Math" w:hAnsi="Cambria Math"/>
                    </w:rPr>
                    <m:t>S</m:t>
                  </m:r>
                </m:e>
                <m:sub>
                  <m:r>
                    <w:rPr>
                      <w:rFonts w:ascii="Cambria Math" w:hAnsi="Cambria Math"/>
                    </w:rPr>
                    <m:t>L</m:t>
                  </m:r>
                </m:sub>
              </m:sSub>
            </m:oMath>
            <w:r w:rsidR="0008784E">
              <w:t xml:space="preserve">, and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rFonts w:eastAsiaTheme="minorEastAsia"/>
              </w:rPr>
              <w:t xml:space="preserve"> </w:t>
            </w:r>
            <w:r w:rsidR="0008784E">
              <w:rPr>
                <w:rFonts w:eastAsiaTheme="minorEastAsia"/>
              </w:rPr>
              <w:t xml:space="preserve">are </w:t>
            </w:r>
            <w:r w:rsidR="00802E1D">
              <w:rPr>
                <w:rFonts w:eastAsiaTheme="minorEastAsia"/>
              </w:rPr>
              <w:t>weights used for each input type</w:t>
            </w:r>
            <w:r w:rsidR="00C92D4B">
              <w:rPr>
                <w:rFonts w:eastAsiaTheme="minorEastAsia"/>
              </w:rPr>
              <w:t xml:space="preserve"> reflecting their contributions to total industry income</w:t>
            </w:r>
            <w:r w:rsidR="00B82063">
              <w:rPr>
                <w:rFonts w:eastAsiaTheme="minorEastAsia"/>
              </w:rPr>
              <w:t xml:space="preserve"> (</w:t>
            </w:r>
            <w:r w:rsidR="002B16E1">
              <w:rPr>
                <w:rFonts w:eastAsiaTheme="minorEastAsia"/>
              </w:rPr>
              <w:t>and</w:t>
            </w:r>
            <w:r w:rsidR="0046070F">
              <w:rPr>
                <w:rFonts w:eastAsiaTheme="minorEastAsia"/>
              </w:rPr>
              <w:t xml:space="preserve"> which</w:t>
            </w:r>
            <w:r w:rsidR="002B16E1">
              <w:rPr>
                <w:rFonts w:eastAsiaTheme="minorEastAsia"/>
              </w:rPr>
              <w:t xml:space="preserve"> </w:t>
            </w:r>
            <w:r w:rsidR="00802E1D">
              <w:rPr>
                <w:rFonts w:eastAsiaTheme="minorEastAsia"/>
              </w:rPr>
              <w:t>collectively sum to 1</w:t>
            </w:r>
            <w:r w:rsidR="00B82063">
              <w:rPr>
                <w:rFonts w:eastAsiaTheme="minorEastAsia"/>
              </w:rPr>
              <w:t>)</w:t>
            </w:r>
            <w:r w:rsidR="00802E1D">
              <w:rPr>
                <w:rFonts w:eastAsiaTheme="minorEastAsia"/>
              </w:rPr>
              <w:t xml:space="preserve">. </w:t>
            </w:r>
          </w:p>
          <w:p w:rsidR="00E705B8" w:rsidRDefault="00A43FEB" w:rsidP="00BA55B1">
            <w:pPr>
              <w:pStyle w:val="Box"/>
              <w:rPr>
                <w:rFonts w:eastAsiaTheme="minorEastAsia"/>
              </w:rPr>
            </w:pPr>
            <w:r>
              <w:rPr>
                <w:rFonts w:eastAsiaTheme="minorEastAsia"/>
              </w:rPr>
              <w:t>MFP</w:t>
            </w:r>
            <w:r w:rsidR="00D84E29">
              <w:rPr>
                <w:rFonts w:eastAsiaTheme="minorEastAsia"/>
              </w:rPr>
              <w:t xml:space="preserve"> </w:t>
            </w:r>
            <w:r>
              <w:rPr>
                <w:rFonts w:eastAsiaTheme="minorEastAsia"/>
              </w:rPr>
              <w:t xml:space="preserve">growth </w:t>
            </w:r>
            <w:r w:rsidR="0046070F">
              <w:rPr>
                <w:rFonts w:eastAsiaTheme="minorEastAsia"/>
              </w:rPr>
              <w:t xml:space="preserve">is thereby calculated </w:t>
            </w:r>
            <w:r w:rsidR="00AA5040">
              <w:rPr>
                <w:rFonts w:eastAsiaTheme="minorEastAsia"/>
              </w:rPr>
              <w:t xml:space="preserve">as a </w:t>
            </w:r>
            <w:r w:rsidR="0046070F">
              <w:rPr>
                <w:rFonts w:eastAsiaTheme="minorEastAsia"/>
              </w:rPr>
              <w:t>residual, and r</w:t>
            </w:r>
            <w:r w:rsidR="00134E70">
              <w:rPr>
                <w:rFonts w:eastAsiaTheme="minorEastAsia"/>
              </w:rPr>
              <w:t>eflects</w:t>
            </w:r>
            <w:r w:rsidR="009265FB">
              <w:rPr>
                <w:rFonts w:eastAsiaTheme="minorEastAsia"/>
              </w:rPr>
              <w:t xml:space="preserve"> that part of the </w:t>
            </w:r>
            <w:r w:rsidR="008747F7">
              <w:rPr>
                <w:rFonts w:eastAsiaTheme="minorEastAsia"/>
              </w:rPr>
              <w:t>change in</w:t>
            </w:r>
            <w:r w:rsidR="009265FB">
              <w:rPr>
                <w:rFonts w:eastAsiaTheme="minorEastAsia"/>
              </w:rPr>
              <w:t xml:space="preserve"> output from one year to the next that cannot be explained by the observed </w:t>
            </w:r>
            <w:r w:rsidR="008747F7">
              <w:rPr>
                <w:rFonts w:eastAsiaTheme="minorEastAsia"/>
              </w:rPr>
              <w:t xml:space="preserve">change </w:t>
            </w:r>
            <w:r w:rsidR="009265FB">
              <w:rPr>
                <w:rFonts w:eastAsiaTheme="minorEastAsia"/>
              </w:rPr>
              <w:t xml:space="preserve">in inputs. </w:t>
            </w:r>
          </w:p>
          <w:p w:rsidR="009265FB" w:rsidRDefault="009265FB" w:rsidP="00BA55B1">
            <w:pPr>
              <w:pStyle w:val="Box"/>
              <w:rPr>
                <w:rFonts w:eastAsiaTheme="minorEastAsia"/>
              </w:rPr>
            </w:pPr>
            <w:r>
              <w:rPr>
                <w:rFonts w:eastAsiaTheme="minorEastAsia"/>
              </w:rPr>
              <w:t xml:space="preserve">When MFP growth is negative, it implies a </w:t>
            </w:r>
            <w:r w:rsidR="00AA5040">
              <w:rPr>
                <w:rFonts w:eastAsiaTheme="minorEastAsia"/>
              </w:rPr>
              <w:t xml:space="preserve">decline </w:t>
            </w:r>
            <w:r>
              <w:rPr>
                <w:rFonts w:eastAsiaTheme="minorEastAsia"/>
              </w:rPr>
              <w:t xml:space="preserve">in the efficiency of production — that is, </w:t>
            </w:r>
            <w:r w:rsidR="008747F7">
              <w:rPr>
                <w:rFonts w:eastAsiaTheme="minorEastAsia"/>
              </w:rPr>
              <w:t>an increase in</w:t>
            </w:r>
            <w:r>
              <w:rPr>
                <w:rFonts w:eastAsiaTheme="minorEastAsia"/>
              </w:rPr>
              <w:t xml:space="preserve"> the </w:t>
            </w:r>
            <w:r w:rsidR="00AE3D45">
              <w:rPr>
                <w:rFonts w:eastAsiaTheme="minorEastAsia"/>
              </w:rPr>
              <w:t xml:space="preserve">overall </w:t>
            </w:r>
            <w:r>
              <w:rPr>
                <w:rFonts w:eastAsiaTheme="minorEastAsia"/>
              </w:rPr>
              <w:t xml:space="preserve">quantity of inputs </w:t>
            </w:r>
            <w:r w:rsidR="00AA5040">
              <w:rPr>
                <w:rFonts w:eastAsiaTheme="minorEastAsia"/>
              </w:rPr>
              <w:t xml:space="preserve">is </w:t>
            </w:r>
            <w:r>
              <w:rPr>
                <w:rFonts w:eastAsiaTheme="minorEastAsia"/>
              </w:rPr>
              <w:t>required to produce each unit of output</w:t>
            </w:r>
            <w:r w:rsidR="00D84E29">
              <w:rPr>
                <w:rFonts w:eastAsiaTheme="minorEastAsia"/>
              </w:rPr>
              <w:t xml:space="preserve"> — and vice versa.</w:t>
            </w:r>
            <w:r>
              <w:rPr>
                <w:rFonts w:eastAsiaTheme="minorEastAsia"/>
              </w:rPr>
              <w:t xml:space="preserve"> </w:t>
            </w:r>
          </w:p>
          <w:p w:rsidR="00977DD9" w:rsidRDefault="009265FB" w:rsidP="00BA55B1">
            <w:pPr>
              <w:pStyle w:val="Box"/>
            </w:pPr>
            <w:r>
              <w:rPr>
                <w:rFonts w:eastAsiaTheme="minorEastAsia"/>
              </w:rPr>
              <w:t>Th</w:t>
            </w:r>
            <w:r>
              <w:t>e ABS also produces an alternative form of MFP which uses real Value Added (</w:t>
            </w:r>
            <w:r w:rsidR="00476A96">
              <w:t xml:space="preserve">real </w:t>
            </w:r>
            <w:r>
              <w:t xml:space="preserve">gross output minus </w:t>
            </w:r>
            <w:r w:rsidR="00476A96">
              <w:t xml:space="preserve">real </w:t>
            </w:r>
            <w:r>
              <w:t>intermediate inputs) as the output variable, with only labour and capital in</w:t>
            </w:r>
            <w:r w:rsidR="009D4D0C">
              <w:t xml:space="preserve">puts appearing explicitly </w:t>
            </w:r>
            <w:r w:rsidR="00B5573F">
              <w:t xml:space="preserve">in the production function </w:t>
            </w:r>
            <w:r w:rsidR="009D4D0C">
              <w:t>as inputs</w:t>
            </w:r>
            <w:r>
              <w:t>. The findings reported in this paper are general and applicable to both forms of MFP.</w:t>
            </w:r>
            <w:r w:rsidR="00977DD9">
              <w:t xml:space="preserve"> </w:t>
            </w:r>
          </w:p>
          <w:p w:rsidR="009265FB" w:rsidRDefault="009265FB" w:rsidP="008F2BE7">
            <w:pPr>
              <w:pStyle w:val="Box"/>
            </w:pPr>
            <w:r>
              <w:t xml:space="preserve">For more information regarding the way outputs and inputs are measured, data sources, index number </w:t>
            </w:r>
            <w:r w:rsidR="004F5B48">
              <w:t>formulas</w:t>
            </w:r>
            <w:r>
              <w:t>, and the construction of weights, see OECD (2001), ABS (2007</w:t>
            </w:r>
            <w:r w:rsidR="00CB74CB">
              <w:t xml:space="preserve"> and </w:t>
            </w:r>
            <w:proofErr w:type="spellStart"/>
            <w:r w:rsidR="00CB74CB">
              <w:t>2012a</w:t>
            </w:r>
            <w:proofErr w:type="spellEnd"/>
            <w:r>
              <w:t xml:space="preserve">), and </w:t>
            </w:r>
            <w:proofErr w:type="spellStart"/>
            <w:r>
              <w:t>Zheng</w:t>
            </w:r>
            <w:proofErr w:type="spellEnd"/>
            <w:r>
              <w:t xml:space="preserve"> (2005).</w:t>
            </w:r>
          </w:p>
        </w:tc>
      </w:tr>
      <w:tr w:rsidR="009265FB" w:rsidTr="00BA55B1">
        <w:trPr>
          <w:cantSplit/>
        </w:trPr>
        <w:tc>
          <w:tcPr>
            <w:tcW w:w="8771" w:type="dxa"/>
            <w:tcBorders>
              <w:top w:val="nil"/>
              <w:left w:val="single" w:sz="6" w:space="0" w:color="auto"/>
              <w:bottom w:val="single" w:sz="6" w:space="0" w:color="auto"/>
              <w:right w:val="single" w:sz="6" w:space="0" w:color="auto"/>
            </w:tcBorders>
          </w:tcPr>
          <w:p w:rsidR="009265FB" w:rsidRDefault="009265FB" w:rsidP="00BA55B1">
            <w:pPr>
              <w:pStyle w:val="Box"/>
              <w:spacing w:before="0" w:line="120" w:lineRule="exact"/>
            </w:pPr>
          </w:p>
        </w:tc>
      </w:tr>
      <w:tr w:rsidR="009265FB" w:rsidRPr="004D6BC4" w:rsidTr="00BA55B1">
        <w:tc>
          <w:tcPr>
            <w:tcW w:w="8771" w:type="dxa"/>
            <w:tcBorders>
              <w:top w:val="nil"/>
              <w:left w:val="nil"/>
              <w:bottom w:val="nil"/>
              <w:right w:val="nil"/>
            </w:tcBorders>
          </w:tcPr>
          <w:p w:rsidR="009265FB" w:rsidRPr="004D6BC4" w:rsidRDefault="009265FB" w:rsidP="00BA55B1">
            <w:pPr>
              <w:pStyle w:val="Box"/>
              <w:keepNext w:val="0"/>
              <w:spacing w:before="60" w:after="60" w:line="80" w:lineRule="exact"/>
              <w:rPr>
                <w:b/>
                <w:sz w:val="14"/>
              </w:rPr>
            </w:pPr>
          </w:p>
        </w:tc>
      </w:tr>
    </w:tbl>
    <w:p w:rsidR="00657BD8" w:rsidRDefault="00A023D9" w:rsidP="00C93893">
      <w:pPr>
        <w:pStyle w:val="Heading3"/>
      </w:pPr>
      <w:r>
        <w:t>The problem of unmeasured inputs</w:t>
      </w:r>
      <w:r w:rsidR="0088799F">
        <w:t xml:space="preserve"> when</w:t>
      </w:r>
      <w:r w:rsidR="009920AA">
        <w:t xml:space="preserve"> measuring technical progress</w:t>
      </w:r>
    </w:p>
    <w:p w:rsidR="009502BD" w:rsidRDefault="002C3721" w:rsidP="00C64B22">
      <w:pPr>
        <w:pStyle w:val="BodyText"/>
        <w:tabs>
          <w:tab w:val="left" w:pos="2685"/>
          <w:tab w:val="center" w:pos="4394"/>
        </w:tabs>
      </w:pPr>
      <w:r>
        <w:t xml:space="preserve">To the extent that </w:t>
      </w:r>
      <w:r w:rsidR="00E23E7A">
        <w:t xml:space="preserve">some </w:t>
      </w:r>
      <w:r w:rsidR="00C23200">
        <w:t>important</w:t>
      </w:r>
      <w:r w:rsidR="00A44C56">
        <w:t xml:space="preserve"> </w:t>
      </w:r>
      <w:r w:rsidR="008D6CF7">
        <w:t xml:space="preserve">natural resource </w:t>
      </w:r>
      <w:r>
        <w:t>inputs are either mismeasured or not measured at all</w:t>
      </w:r>
      <w:r w:rsidR="00527509">
        <w:t xml:space="preserve"> </w:t>
      </w:r>
      <w:r w:rsidR="00E23E7A">
        <w:t>before estimates of</w:t>
      </w:r>
      <w:r w:rsidR="001E2AEB">
        <w:t xml:space="preserve"> MFP</w:t>
      </w:r>
      <w:r w:rsidR="00E23E7A">
        <w:t xml:space="preserve"> growth</w:t>
      </w:r>
      <w:r w:rsidR="007D07B4">
        <w:t xml:space="preserve"> are </w:t>
      </w:r>
      <w:r w:rsidR="00400375">
        <w:t>calculated</w:t>
      </w:r>
      <w:r>
        <w:t xml:space="preserve">, </w:t>
      </w:r>
      <w:r w:rsidR="001E2AEB">
        <w:t xml:space="preserve">the ‘technical progress’ view of MFP is </w:t>
      </w:r>
      <w:r w:rsidR="00A31648">
        <w:t xml:space="preserve">confounded. </w:t>
      </w:r>
    </w:p>
    <w:p w:rsidR="009265FB" w:rsidRDefault="00DA706D" w:rsidP="00C64B22">
      <w:pPr>
        <w:pStyle w:val="BodyText"/>
        <w:tabs>
          <w:tab w:val="left" w:pos="2685"/>
          <w:tab w:val="center" w:pos="4394"/>
        </w:tabs>
      </w:pPr>
      <w:r>
        <w:t xml:space="preserve">In </w:t>
      </w:r>
      <w:r w:rsidR="00A023D9">
        <w:t>this case</w:t>
      </w:r>
      <w:r w:rsidR="008D6CF7">
        <w:t>,</w:t>
      </w:r>
      <w:r w:rsidR="008616A8">
        <w:t xml:space="preserve"> better estimates of technical progress could be obtained by </w:t>
      </w:r>
      <w:r w:rsidR="00126A62">
        <w:t xml:space="preserve">directly accounting for any changes in the quantities of </w:t>
      </w:r>
      <w:r w:rsidR="008D6CF7">
        <w:t>natural resource inputs</w:t>
      </w:r>
      <w:r w:rsidR="009C6A45">
        <w:t xml:space="preserve"> </w:t>
      </w:r>
      <w:r w:rsidR="00030A39">
        <w:t xml:space="preserve">used </w:t>
      </w:r>
      <w:r w:rsidR="00126A62">
        <w:t>in</w:t>
      </w:r>
      <w:r w:rsidR="001A2DC1">
        <w:t xml:space="preserve"> production</w:t>
      </w:r>
      <w:r w:rsidR="00126A62">
        <w:t xml:space="preserve"> before </w:t>
      </w:r>
      <w:r w:rsidR="001A2DC1">
        <w:t>the productivity</w:t>
      </w:r>
      <w:r w:rsidR="008616A8">
        <w:t xml:space="preserve"> residual</w:t>
      </w:r>
      <w:r w:rsidR="00BA3785">
        <w:t xml:space="preserve"> is calculated</w:t>
      </w:r>
      <w:r w:rsidR="008616A8">
        <w:t xml:space="preserve">. This would remove the influence of fluctuations in </w:t>
      </w:r>
      <w:r w:rsidR="007B4978">
        <w:t>the</w:t>
      </w:r>
      <w:r w:rsidR="000142E0">
        <w:t>se</w:t>
      </w:r>
      <w:r w:rsidR="00126A62">
        <w:t xml:space="preserve"> i</w:t>
      </w:r>
      <w:r w:rsidR="007B4978">
        <w:t>nputs</w:t>
      </w:r>
      <w:r w:rsidR="008616A8">
        <w:t xml:space="preserve"> from </w:t>
      </w:r>
      <w:r w:rsidR="009920AA">
        <w:t>the residual so that it would better reflect technical change</w:t>
      </w:r>
      <w:r w:rsidR="0088799F">
        <w:t xml:space="preserve"> (although other sources of change would still be reflected in the residual)</w:t>
      </w:r>
      <w:r w:rsidR="008616A8">
        <w:t xml:space="preserve">. A more formal description of </w:t>
      </w:r>
      <w:r w:rsidR="009C6A45">
        <w:t>such a</w:t>
      </w:r>
      <w:r w:rsidR="00C93893">
        <w:t xml:space="preserve"> process is outlined in b</w:t>
      </w:r>
      <w:r w:rsidR="008616A8">
        <w:t>ox</w:t>
      </w:r>
      <w:r w:rsidR="001910A7">
        <w:t xml:space="preserve"> </w:t>
      </w:r>
      <w:r w:rsidR="0007444B">
        <w:t>2</w:t>
      </w:r>
      <w:r w:rsidR="008616A8">
        <w:t xml:space="preserve">. </w:t>
      </w:r>
    </w:p>
    <w:p w:rsidR="00916DD7" w:rsidRDefault="00DC0ACB" w:rsidP="00C64B22">
      <w:pPr>
        <w:pStyle w:val="BodyText"/>
        <w:tabs>
          <w:tab w:val="left" w:pos="2685"/>
          <w:tab w:val="center" w:pos="4394"/>
        </w:tabs>
      </w:pPr>
      <w:r w:rsidRPr="00E10FD4">
        <w:t xml:space="preserve">An adjustment such as this would make the resulting MFP estimates better indicators of technical progress, but </w:t>
      </w:r>
      <w:r w:rsidR="00205818" w:rsidRPr="00E10FD4">
        <w:t xml:space="preserve">the </w:t>
      </w:r>
      <w:r w:rsidR="0059050D" w:rsidRPr="00E10FD4">
        <w:t>tradeoff</w:t>
      </w:r>
      <w:r w:rsidR="00205818" w:rsidRPr="00E10FD4">
        <w:t xml:space="preserve"> would be that they no longer accurately reflect </w:t>
      </w:r>
      <w:r w:rsidR="00916DD7" w:rsidRPr="00E10FD4">
        <w:t>‘real costs’. That</w:t>
      </w:r>
      <w:r w:rsidR="00205818" w:rsidRPr="00E10FD4">
        <w:t xml:space="preserve"> is, </w:t>
      </w:r>
      <w:r w:rsidR="00A54E5D" w:rsidRPr="00E10FD4">
        <w:t xml:space="preserve">they would no longer indicate changes in </w:t>
      </w:r>
      <w:r w:rsidR="00205818" w:rsidRPr="00E10FD4">
        <w:t xml:space="preserve">the average quantities of </w:t>
      </w:r>
      <w:r w:rsidR="00A54E5D" w:rsidRPr="00E10FD4">
        <w:rPr>
          <w:i/>
        </w:rPr>
        <w:t>purchased</w:t>
      </w:r>
      <w:r w:rsidR="00A54E5D" w:rsidRPr="00E10FD4">
        <w:t xml:space="preserve"> inputs (</w:t>
      </w:r>
      <w:r w:rsidR="00205818" w:rsidRPr="00E10FD4">
        <w:t>capital, labour and intermediate inputs</w:t>
      </w:r>
      <w:r w:rsidR="00A54E5D" w:rsidRPr="00E10FD4">
        <w:t>)</w:t>
      </w:r>
      <w:r w:rsidR="00205818" w:rsidRPr="00E10FD4">
        <w:t xml:space="preserve"> </w:t>
      </w:r>
      <w:r w:rsidR="00A54E5D" w:rsidRPr="00E10FD4">
        <w:t xml:space="preserve">used to </w:t>
      </w:r>
      <w:r w:rsidR="00205818" w:rsidRPr="00E10FD4">
        <w:t xml:space="preserve">produce each unit of industry output. </w:t>
      </w:r>
    </w:p>
    <w:p w:rsidR="0060647A" w:rsidRDefault="0060647A" w:rsidP="0060647A">
      <w:pPr>
        <w:pStyle w:val="Heading3"/>
      </w:pPr>
      <w:r>
        <w:t>The scope of the effect</w:t>
      </w:r>
    </w:p>
    <w:p w:rsidR="0060647A" w:rsidRDefault="0060647A" w:rsidP="0060647A">
      <w:pPr>
        <w:pStyle w:val="BodyText"/>
        <w:tabs>
          <w:tab w:val="left" w:pos="2685"/>
          <w:tab w:val="center" w:pos="4394"/>
        </w:tabs>
      </w:pPr>
      <w:r>
        <w:t xml:space="preserve">As mentioned, natural resource input quantity and/or quality can change through natural variability, depletion through use or natural processes, and diversion to competing uses. Both non-renewable resources (such a mineral deposits) and renewable natural resources (such as </w:t>
      </w:r>
      <w:r w:rsidR="00E82FA0">
        <w:t>fisheries</w:t>
      </w:r>
      <w:r>
        <w:t xml:space="preserve">) can have natural variability. Both can also be depleted by use, but for renewable resources this can be prevented if the resource is used at sustainable levels. Non-renewable resources, on the other hand, by definition will be depleted, although the impact on the quantity and quality of remaining resources available to industry will depend on the rate of discovery relative to use. </w:t>
      </w:r>
    </w:p>
    <w:p w:rsidR="0060647A" w:rsidRDefault="0060647A" w:rsidP="0060647A">
      <w:pPr>
        <w:pStyle w:val="BodyText"/>
        <w:tabs>
          <w:tab w:val="left" w:pos="2685"/>
          <w:tab w:val="center" w:pos="4394"/>
        </w:tabs>
      </w:pPr>
      <w:r>
        <w:t>Regardless of whether a resource is renewable or not, the use by industry can be restricted if the resource is diverted to other uses. At an economywide level this affects productivity mainly if it reduces their use in the market economy.</w:t>
      </w:r>
      <w:r>
        <w:rPr>
          <w:rStyle w:val="FootnoteReference"/>
        </w:rPr>
        <w:footnoteReference w:id="2"/>
      </w:r>
      <w:r>
        <w:t xml:space="preserve"> Where there are competing non-market uses of the inputs, the main source of change is when governments introduce (or increase) restrictions on the use of the resource by industry.</w:t>
      </w:r>
    </w:p>
    <w:p w:rsidR="0060647A" w:rsidRDefault="0060647A" w:rsidP="0060647A">
      <w:pPr>
        <w:pStyle w:val="BodyText"/>
        <w:tabs>
          <w:tab w:val="left" w:pos="2685"/>
          <w:tab w:val="center" w:pos="4394"/>
        </w:tabs>
      </w:pPr>
      <w:r>
        <w:t xml:space="preserve">Examples of the natural resource inputs that are important to production in each of the three industries are provided below. While all of these inputs are similar in the sense that they are ‘unmeasured’ inputs to production in the respective industries, they are quite different in regard to the reasons why their use in production can change over time. </w:t>
      </w:r>
    </w:p>
    <w:p w:rsidR="0060647A" w:rsidRDefault="0060647A">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BA55B1" w:rsidTr="00BA55B1">
        <w:tc>
          <w:tcPr>
            <w:tcW w:w="8771" w:type="dxa"/>
            <w:tcBorders>
              <w:top w:val="single" w:sz="6" w:space="0" w:color="auto"/>
              <w:bottom w:val="nil"/>
            </w:tcBorders>
          </w:tcPr>
          <w:p w:rsidR="00BA55B1" w:rsidRDefault="00BA55B1" w:rsidP="0007444B">
            <w:pPr>
              <w:pStyle w:val="BoxTitle"/>
            </w:pPr>
            <w:r>
              <w:rPr>
                <w:b w:val="0"/>
              </w:rPr>
              <w:t xml:space="preserve">Box </w:t>
            </w:r>
            <w:bookmarkStart w:id="9" w:name="OLE_LINK2"/>
            <w:r w:rsidR="00C93893">
              <w:rPr>
                <w:b w:val="0"/>
                <w:noProof/>
              </w:rPr>
              <w:t>2</w:t>
            </w:r>
            <w:bookmarkEnd w:id="9"/>
            <w:r>
              <w:tab/>
              <w:t xml:space="preserve">MFP growth estimates </w:t>
            </w:r>
            <w:r w:rsidR="009C6A45">
              <w:t>when</w:t>
            </w:r>
            <w:r>
              <w:t xml:space="preserve"> resource inputs</w:t>
            </w:r>
            <w:r w:rsidR="009C6A45">
              <w:t xml:space="preserve"> are significant</w:t>
            </w:r>
          </w:p>
        </w:tc>
      </w:tr>
      <w:tr w:rsidR="00BA55B1" w:rsidTr="00BA55B1">
        <w:trPr>
          <w:cantSplit/>
        </w:trPr>
        <w:tc>
          <w:tcPr>
            <w:tcW w:w="8771" w:type="dxa"/>
            <w:tcBorders>
              <w:top w:val="nil"/>
              <w:left w:val="single" w:sz="6" w:space="0" w:color="auto"/>
              <w:bottom w:val="nil"/>
              <w:right w:val="single" w:sz="6" w:space="0" w:color="auto"/>
            </w:tcBorders>
          </w:tcPr>
          <w:p w:rsidR="00BA55B1" w:rsidRDefault="00BA55B1" w:rsidP="00BA55B1">
            <w:pPr>
              <w:pStyle w:val="Box"/>
            </w:pPr>
            <w:r>
              <w:t>For industries that use significant quantities of natural resource inputs in production a more realistic production function would be:</w:t>
            </w:r>
          </w:p>
          <w:p w:rsidR="002D793E" w:rsidRDefault="000A2FD0" w:rsidP="0027467B">
            <w:pPr>
              <w:pStyle w:val="Box"/>
              <w:tabs>
                <w:tab w:val="left" w:pos="7491"/>
              </w:tabs>
              <w:jc w:val="center"/>
              <w:rPr>
                <w:rFonts w:eastAsiaTheme="minorEastAsia" w:cs="Arial"/>
                <w:szCs w:val="22"/>
              </w:rPr>
            </w:pPr>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f(</m:t>
              </m:r>
              <m:sSub>
                <m:sSubPr>
                  <m:ctrlPr>
                    <w:rPr>
                      <w:rFonts w:ascii="Cambria Math" w:hAnsi="Cambria Math"/>
                      <w:i/>
                    </w:rPr>
                  </m:ctrlPr>
                </m:sSubPr>
                <m:e>
                  <m:r>
                    <w:rPr>
                      <w:rFonts w:ascii="Cambria Math" w:hAnsi="Cambria Math"/>
                    </w:rPr>
                    <m:t>K</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t</m:t>
                  </m:r>
                </m:sub>
              </m:sSub>
            </m:oMath>
            <w:r w:rsidR="002D793E">
              <w:rPr>
                <w:rFonts w:eastAsiaTheme="minorEastAsia"/>
              </w:rPr>
              <w:t>)</w:t>
            </w:r>
            <w:r w:rsidR="002D793E">
              <w:rPr>
                <w:rFonts w:eastAsiaTheme="minorEastAsia"/>
              </w:rPr>
              <w:tab/>
            </w:r>
            <w:r w:rsidR="002D793E" w:rsidRPr="00F55E74">
              <w:rPr>
                <w:rFonts w:eastAsiaTheme="minorEastAsia" w:cs="Arial"/>
                <w:szCs w:val="22"/>
              </w:rPr>
              <w:t>(</w:t>
            </w:r>
            <w:r w:rsidR="002D793E">
              <w:rPr>
                <w:rFonts w:eastAsiaTheme="minorEastAsia" w:cs="Arial"/>
                <w:szCs w:val="22"/>
              </w:rPr>
              <w:t>3</w:t>
            </w:r>
            <w:r w:rsidR="002D793E" w:rsidRPr="00F55E74">
              <w:rPr>
                <w:rFonts w:eastAsiaTheme="minorEastAsia" w:cs="Arial"/>
                <w:szCs w:val="22"/>
              </w:rPr>
              <w:t>)</w:t>
            </w:r>
          </w:p>
          <w:p w:rsidR="001B7834" w:rsidRDefault="00BA55B1" w:rsidP="00BA55B1">
            <w:pPr>
              <w:pStyle w:val="Box"/>
            </w:pPr>
            <w:r>
              <w:t xml:space="preserve">where </w:t>
            </w:r>
            <w:r w:rsidRPr="006756BB">
              <w:rPr>
                <w:i/>
              </w:rPr>
              <w:t>Y</w:t>
            </w:r>
            <w:r>
              <w:t xml:space="preserve">, </w:t>
            </w:r>
            <w:r w:rsidRPr="006756BB">
              <w:rPr>
                <w:i/>
              </w:rPr>
              <w:t>K</w:t>
            </w:r>
            <w:r>
              <w:t xml:space="preserve">, </w:t>
            </w:r>
            <w:r w:rsidRPr="006756BB">
              <w:rPr>
                <w:i/>
              </w:rPr>
              <w:t>L</w:t>
            </w:r>
            <w:r>
              <w:t xml:space="preserve">, </w:t>
            </w:r>
            <w:r w:rsidRPr="006756BB">
              <w:rPr>
                <w:i/>
              </w:rPr>
              <w:t>I</w:t>
            </w:r>
            <w:r w:rsidR="002D793E">
              <w:rPr>
                <w:i/>
              </w:rPr>
              <w:t>,</w:t>
            </w:r>
            <w:r>
              <w:t xml:space="preserve"> and </w:t>
            </w:r>
            <w:r w:rsidRPr="006756BB">
              <w:rPr>
                <w:i/>
              </w:rPr>
              <w:t>A</w:t>
            </w:r>
            <w:r>
              <w:t xml:space="preserve"> are as defined in box 1, and </w:t>
            </w:r>
            <w:r>
              <w:rPr>
                <w:i/>
              </w:rPr>
              <w:t>R</w:t>
            </w:r>
            <w:r>
              <w:t xml:space="preserve"> represents </w:t>
            </w:r>
            <w:r w:rsidR="00CE3E61">
              <w:t xml:space="preserve">the volume of </w:t>
            </w:r>
            <w:r>
              <w:t xml:space="preserve">inputs of natural resources and/or environmental services used in production. </w:t>
            </w:r>
            <w:r w:rsidR="002D793E">
              <w:t xml:space="preserve">An index of </w:t>
            </w:r>
            <w:r w:rsidR="001B7834">
              <w:t xml:space="preserve">MFP </w:t>
            </w:r>
            <w:r w:rsidR="001A758C">
              <w:t xml:space="preserve">growth </w:t>
            </w:r>
            <w:r w:rsidR="001B7834">
              <w:t>would be derived as:</w:t>
            </w:r>
          </w:p>
          <w:p w:rsidR="002D793E" w:rsidRPr="00B50218" w:rsidRDefault="000A2FD0" w:rsidP="0027467B">
            <w:pPr>
              <w:pStyle w:val="Box"/>
              <w:tabs>
                <w:tab w:val="left" w:pos="7491"/>
              </w:tabs>
              <w:jc w:val="center"/>
              <w:rPr>
                <w:rFonts w:eastAsiaTheme="minorEastAsia"/>
              </w:rPr>
            </w:pPr>
            <m:oMath>
              <m:func>
                <m:funcPr>
                  <m:ctrlPr>
                    <w:rPr>
                      <w:rFonts w:ascii="Cambria Math" w:hAnsi="Cambria Math"/>
                      <w:szCs w:val="22"/>
                    </w:rPr>
                  </m:ctrlPr>
                </m:funcPr>
                <m:fName>
                  <m:r>
                    <m:rPr>
                      <m:sty m:val="p"/>
                    </m:rPr>
                    <w:rPr>
                      <w:rFonts w:ascii="Cambria Math" w:hAnsi="Cambria Math"/>
                      <w:szCs w:val="22"/>
                    </w:rPr>
                    <m:t>ln</m:t>
                  </m:r>
                </m:fName>
                <m:e>
                  <m:d>
                    <m:dPr>
                      <m:ctrlPr>
                        <w:rPr>
                          <w:rFonts w:ascii="Cambria Math" w:hAnsi="Cambria Math"/>
                          <w:i/>
                          <w:szCs w:val="22"/>
                        </w:rPr>
                      </m:ctrlPr>
                    </m:dPr>
                    <m:e>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A</m:t>
                              </m:r>
                            </m:e>
                            <m:sub>
                              <m:r>
                                <w:rPr>
                                  <w:rFonts w:ascii="Cambria Math" w:hAnsi="Cambria Math"/>
                                  <w:szCs w:val="22"/>
                                </w:rPr>
                                <m:t>t</m:t>
                              </m:r>
                            </m:sub>
                          </m:sSub>
                        </m:num>
                        <m:den>
                          <m:sSub>
                            <m:sSubPr>
                              <m:ctrlPr>
                                <w:rPr>
                                  <w:rFonts w:ascii="Cambria Math" w:hAnsi="Cambria Math"/>
                                  <w:i/>
                                  <w:szCs w:val="22"/>
                                </w:rPr>
                              </m:ctrlPr>
                            </m:sSubPr>
                            <m:e>
                              <m:r>
                                <w:rPr>
                                  <w:rFonts w:ascii="Cambria Math" w:hAnsi="Cambria Math"/>
                                  <w:szCs w:val="22"/>
                                </w:rPr>
                                <m:t>A</m:t>
                              </m:r>
                            </m:e>
                            <m:sub>
                              <m:r>
                                <w:rPr>
                                  <w:rFonts w:ascii="Cambria Math" w:hAnsi="Cambria Math"/>
                                  <w:szCs w:val="22"/>
                                </w:rPr>
                                <m:t>t-1</m:t>
                              </m:r>
                            </m:sub>
                          </m:sSub>
                        </m:den>
                      </m:f>
                    </m:e>
                  </m:d>
                </m:e>
              </m:func>
              <m:r>
                <w:rPr>
                  <w:rFonts w:ascii="Cambria Math" w:hAnsi="Cambria Math"/>
                  <w:szCs w:val="22"/>
                </w:rPr>
                <m:t>=</m:t>
              </m:r>
              <m:func>
                <m:funcPr>
                  <m:ctrlPr>
                    <w:rPr>
                      <w:rFonts w:ascii="Cambria Math" w:hAnsi="Cambria Math"/>
                      <w:szCs w:val="22"/>
                    </w:rPr>
                  </m:ctrlPr>
                </m:funcPr>
                <m:fName>
                  <m:r>
                    <m:rPr>
                      <m:sty m:val="p"/>
                    </m:rPr>
                    <w:rPr>
                      <w:rFonts w:ascii="Cambria Math" w:hAnsi="Cambria Math"/>
                      <w:szCs w:val="22"/>
                    </w:rPr>
                    <m:t>ln</m:t>
                  </m:r>
                  <m:ctrlPr>
                    <w:rPr>
                      <w:rFonts w:ascii="Cambria Math" w:hAnsi="Cambria Math"/>
                      <w:i/>
                      <w:szCs w:val="22"/>
                    </w:rPr>
                  </m:ctrlPr>
                </m:fName>
                <m:e>
                  <m:d>
                    <m:dPr>
                      <m:ctrlPr>
                        <w:rPr>
                          <w:rFonts w:ascii="Cambria Math" w:hAnsi="Cambria Math"/>
                          <w:i/>
                          <w:szCs w:val="22"/>
                        </w:rPr>
                      </m:ctrlPr>
                    </m:dPr>
                    <m:e>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Y</m:t>
                              </m:r>
                            </m:e>
                            <m:sub>
                              <m:r>
                                <w:rPr>
                                  <w:rFonts w:ascii="Cambria Math" w:hAnsi="Cambria Math"/>
                                  <w:szCs w:val="22"/>
                                </w:rPr>
                                <m:t>t</m:t>
                              </m:r>
                            </m:sub>
                          </m:sSub>
                        </m:num>
                        <m:den>
                          <m:sSub>
                            <m:sSubPr>
                              <m:ctrlPr>
                                <w:rPr>
                                  <w:rFonts w:ascii="Cambria Math" w:hAnsi="Cambria Math"/>
                                  <w:i/>
                                  <w:szCs w:val="22"/>
                                </w:rPr>
                              </m:ctrlPr>
                            </m:sSubPr>
                            <m:e>
                              <m:r>
                                <w:rPr>
                                  <w:rFonts w:ascii="Cambria Math" w:hAnsi="Cambria Math"/>
                                  <w:szCs w:val="22"/>
                                </w:rPr>
                                <m:t>Y</m:t>
                              </m:r>
                            </m:e>
                            <m:sub>
                              <m:r>
                                <w:rPr>
                                  <w:rFonts w:ascii="Cambria Math" w:hAnsi="Cambria Math"/>
                                  <w:szCs w:val="22"/>
                                </w:rPr>
                                <m:t>t-1</m:t>
                              </m:r>
                            </m:sub>
                          </m:sSub>
                        </m:den>
                      </m:f>
                    </m:e>
                  </m:d>
                </m:e>
              </m:func>
              <m:r>
                <w:rPr>
                  <w:rFonts w:ascii="Cambria Math" w:hAnsi="Cambria Math"/>
                  <w:szCs w:val="22"/>
                </w:rPr>
                <m:t>-</m:t>
              </m:r>
              <m:sSub>
                <m:sSubPr>
                  <m:ctrlPr>
                    <w:rPr>
                      <w:rFonts w:ascii="Cambria Math" w:hAnsi="Cambria Math"/>
                      <w:i/>
                      <w:szCs w:val="22"/>
                    </w:rPr>
                  </m:ctrlPr>
                </m:sSubPr>
                <m:e>
                  <m:r>
                    <w:rPr>
                      <w:rFonts w:ascii="Cambria Math" w:hAnsi="Cambria Math"/>
                      <w:szCs w:val="22"/>
                    </w:rPr>
                    <m:t>S</m:t>
                  </m:r>
                </m:e>
                <m:sub>
                  <m:r>
                    <w:rPr>
                      <w:rFonts w:ascii="Cambria Math" w:hAnsi="Cambria Math"/>
                      <w:szCs w:val="22"/>
                    </w:rPr>
                    <m:t xml:space="preserve">K </m:t>
                  </m:r>
                </m:sub>
              </m:sSub>
              <m:func>
                <m:funcPr>
                  <m:ctrlPr>
                    <w:rPr>
                      <w:rFonts w:ascii="Cambria Math" w:hAnsi="Cambria Math"/>
                      <w:szCs w:val="22"/>
                    </w:rPr>
                  </m:ctrlPr>
                </m:funcPr>
                <m:fName>
                  <m:r>
                    <m:rPr>
                      <m:sty m:val="p"/>
                    </m:rPr>
                    <w:rPr>
                      <w:rFonts w:ascii="Cambria Math" w:hAnsi="Cambria Math"/>
                      <w:szCs w:val="22"/>
                    </w:rPr>
                    <m:t>ln</m:t>
                  </m:r>
                </m:fName>
                <m:e>
                  <m:d>
                    <m:dPr>
                      <m:ctrlPr>
                        <w:rPr>
                          <w:rFonts w:ascii="Cambria Math" w:hAnsi="Cambria Math"/>
                          <w:i/>
                          <w:szCs w:val="22"/>
                        </w:rPr>
                      </m:ctrlPr>
                    </m:dPr>
                    <m:e>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K</m:t>
                              </m:r>
                            </m:e>
                            <m:sub>
                              <m:r>
                                <w:rPr>
                                  <w:rFonts w:ascii="Cambria Math" w:hAnsi="Cambria Math"/>
                                  <w:szCs w:val="22"/>
                                </w:rPr>
                                <m:t>t</m:t>
                              </m:r>
                            </m:sub>
                          </m:sSub>
                        </m:num>
                        <m:den>
                          <m:sSub>
                            <m:sSubPr>
                              <m:ctrlPr>
                                <w:rPr>
                                  <w:rFonts w:ascii="Cambria Math" w:hAnsi="Cambria Math"/>
                                  <w:i/>
                                  <w:szCs w:val="22"/>
                                </w:rPr>
                              </m:ctrlPr>
                            </m:sSubPr>
                            <m:e>
                              <m:r>
                                <w:rPr>
                                  <w:rFonts w:ascii="Cambria Math" w:hAnsi="Cambria Math"/>
                                  <w:szCs w:val="22"/>
                                </w:rPr>
                                <m:t>K</m:t>
                              </m:r>
                            </m:e>
                            <m:sub>
                              <m:r>
                                <w:rPr>
                                  <w:rFonts w:ascii="Cambria Math" w:hAnsi="Cambria Math"/>
                                  <w:szCs w:val="22"/>
                                </w:rPr>
                                <m:t>t-1</m:t>
                              </m:r>
                            </m:sub>
                          </m:sSub>
                        </m:den>
                      </m:f>
                    </m:e>
                  </m:d>
                </m:e>
              </m:func>
              <m:r>
                <w:rPr>
                  <w:rFonts w:ascii="Cambria Math" w:hAnsi="Cambria Math"/>
                  <w:szCs w:val="22"/>
                </w:rPr>
                <m:t>-</m:t>
              </m:r>
              <m:sSub>
                <m:sSubPr>
                  <m:ctrlPr>
                    <w:rPr>
                      <w:rFonts w:ascii="Cambria Math" w:hAnsi="Cambria Math"/>
                      <w:i/>
                      <w:szCs w:val="22"/>
                    </w:rPr>
                  </m:ctrlPr>
                </m:sSubPr>
                <m:e>
                  <m:r>
                    <w:rPr>
                      <w:rFonts w:ascii="Cambria Math" w:hAnsi="Cambria Math"/>
                      <w:szCs w:val="22"/>
                    </w:rPr>
                    <m:t>S</m:t>
                  </m:r>
                </m:e>
                <m:sub>
                  <m:r>
                    <w:rPr>
                      <w:rFonts w:ascii="Cambria Math" w:hAnsi="Cambria Math"/>
                      <w:szCs w:val="22"/>
                    </w:rPr>
                    <m:t>L</m:t>
                  </m:r>
                </m:sub>
              </m:sSub>
              <m:func>
                <m:funcPr>
                  <m:ctrlPr>
                    <w:rPr>
                      <w:rFonts w:ascii="Cambria Math" w:hAnsi="Cambria Math"/>
                      <w:i/>
                      <w:szCs w:val="22"/>
                    </w:rPr>
                  </m:ctrlPr>
                </m:funcPr>
                <m:fName>
                  <m:r>
                    <m:rPr>
                      <m:sty m:val="p"/>
                    </m:rPr>
                    <w:rPr>
                      <w:rFonts w:ascii="Cambria Math" w:hAnsi="Cambria Math"/>
                      <w:szCs w:val="22"/>
                    </w:rPr>
                    <m:t>ln</m:t>
                  </m:r>
                </m:fName>
                <m:e>
                  <m:d>
                    <m:dPr>
                      <m:ctrlPr>
                        <w:rPr>
                          <w:rFonts w:ascii="Cambria Math" w:hAnsi="Cambria Math"/>
                          <w:i/>
                          <w:szCs w:val="22"/>
                        </w:rPr>
                      </m:ctrlPr>
                    </m:dPr>
                    <m:e>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L</m:t>
                              </m:r>
                            </m:e>
                            <m:sub>
                              <m:r>
                                <w:rPr>
                                  <w:rFonts w:ascii="Cambria Math" w:hAnsi="Cambria Math"/>
                                  <w:szCs w:val="22"/>
                                </w:rPr>
                                <m:t>t</m:t>
                              </m:r>
                            </m:sub>
                          </m:sSub>
                        </m:num>
                        <m:den>
                          <m:sSub>
                            <m:sSubPr>
                              <m:ctrlPr>
                                <w:rPr>
                                  <w:rFonts w:ascii="Cambria Math" w:hAnsi="Cambria Math"/>
                                  <w:i/>
                                  <w:szCs w:val="22"/>
                                </w:rPr>
                              </m:ctrlPr>
                            </m:sSubPr>
                            <m:e>
                              <m:r>
                                <w:rPr>
                                  <w:rFonts w:ascii="Cambria Math" w:hAnsi="Cambria Math"/>
                                  <w:szCs w:val="22"/>
                                </w:rPr>
                                <m:t>L</m:t>
                              </m:r>
                            </m:e>
                            <m:sub>
                              <m:r>
                                <w:rPr>
                                  <w:rFonts w:ascii="Cambria Math" w:hAnsi="Cambria Math"/>
                                  <w:szCs w:val="22"/>
                                </w:rPr>
                                <m:t>t-1</m:t>
                              </m:r>
                            </m:sub>
                          </m:sSub>
                        </m:den>
                      </m:f>
                    </m:e>
                  </m:d>
                </m:e>
              </m:func>
              <m:r>
                <w:rPr>
                  <w:rFonts w:ascii="Cambria Math" w:hAnsi="Cambria Math"/>
                  <w:szCs w:val="22"/>
                </w:rPr>
                <m:t>-</m:t>
              </m:r>
              <m:sSub>
                <m:sSubPr>
                  <m:ctrlPr>
                    <w:rPr>
                      <w:rFonts w:ascii="Cambria Math" w:hAnsi="Cambria Math"/>
                      <w:i/>
                      <w:szCs w:val="22"/>
                    </w:rPr>
                  </m:ctrlPr>
                </m:sSubPr>
                <m:e>
                  <m:r>
                    <w:rPr>
                      <w:rFonts w:ascii="Cambria Math" w:hAnsi="Cambria Math"/>
                      <w:szCs w:val="22"/>
                    </w:rPr>
                    <m:t>S</m:t>
                  </m:r>
                </m:e>
                <m:sub>
                  <m:r>
                    <w:rPr>
                      <w:rFonts w:ascii="Cambria Math" w:hAnsi="Cambria Math"/>
                      <w:szCs w:val="22"/>
                    </w:rPr>
                    <m:t>I</m:t>
                  </m:r>
                </m:sub>
              </m:sSub>
              <m:func>
                <m:funcPr>
                  <m:ctrlPr>
                    <w:rPr>
                      <w:rFonts w:ascii="Cambria Math" w:hAnsi="Cambria Math"/>
                      <w:i/>
                      <w:szCs w:val="22"/>
                    </w:rPr>
                  </m:ctrlPr>
                </m:funcPr>
                <m:fName>
                  <m:r>
                    <m:rPr>
                      <m:sty m:val="p"/>
                    </m:rPr>
                    <w:rPr>
                      <w:rFonts w:ascii="Cambria Math" w:hAnsi="Cambria Math"/>
                      <w:szCs w:val="22"/>
                    </w:rPr>
                    <m:t>ln</m:t>
                  </m:r>
                </m:fName>
                <m:e>
                  <m:d>
                    <m:dPr>
                      <m:ctrlPr>
                        <w:rPr>
                          <w:rFonts w:ascii="Cambria Math" w:hAnsi="Cambria Math"/>
                          <w:i/>
                          <w:szCs w:val="22"/>
                        </w:rPr>
                      </m:ctrlPr>
                    </m:dPr>
                    <m:e>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I</m:t>
                              </m:r>
                            </m:e>
                            <m:sub>
                              <m:r>
                                <w:rPr>
                                  <w:rFonts w:ascii="Cambria Math" w:hAnsi="Cambria Math"/>
                                  <w:szCs w:val="22"/>
                                </w:rPr>
                                <m:t>t</m:t>
                              </m:r>
                            </m:sub>
                          </m:sSub>
                        </m:num>
                        <m:den>
                          <m:sSub>
                            <m:sSubPr>
                              <m:ctrlPr>
                                <w:rPr>
                                  <w:rFonts w:ascii="Cambria Math" w:hAnsi="Cambria Math"/>
                                  <w:i/>
                                  <w:szCs w:val="22"/>
                                </w:rPr>
                              </m:ctrlPr>
                            </m:sSubPr>
                            <m:e>
                              <m:r>
                                <w:rPr>
                                  <w:rFonts w:ascii="Cambria Math" w:hAnsi="Cambria Math"/>
                                  <w:szCs w:val="22"/>
                                </w:rPr>
                                <m:t>I</m:t>
                              </m:r>
                            </m:e>
                            <m:sub>
                              <m:r>
                                <w:rPr>
                                  <w:rFonts w:ascii="Cambria Math" w:hAnsi="Cambria Math"/>
                                  <w:szCs w:val="22"/>
                                </w:rPr>
                                <m:t>t-1</m:t>
                              </m:r>
                            </m:sub>
                          </m:sSub>
                        </m:den>
                      </m:f>
                    </m:e>
                  </m:d>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S</m:t>
                      </m:r>
                    </m:e>
                    <m:sub>
                      <m:r>
                        <w:rPr>
                          <w:rFonts w:ascii="Cambria Math" w:hAnsi="Cambria Math"/>
                          <w:szCs w:val="22"/>
                        </w:rPr>
                        <m:t>R</m:t>
                      </m:r>
                    </m:sub>
                  </m:sSub>
                  <m:func>
                    <m:funcPr>
                      <m:ctrlPr>
                        <w:rPr>
                          <w:rFonts w:ascii="Cambria Math" w:hAnsi="Cambria Math"/>
                          <w:i/>
                          <w:szCs w:val="22"/>
                        </w:rPr>
                      </m:ctrlPr>
                    </m:funcPr>
                    <m:fName>
                      <m:r>
                        <m:rPr>
                          <m:sty m:val="p"/>
                        </m:rPr>
                        <w:rPr>
                          <w:rFonts w:ascii="Cambria Math" w:hAnsi="Cambria Math"/>
                          <w:szCs w:val="22"/>
                        </w:rPr>
                        <m:t>ln</m:t>
                      </m:r>
                    </m:fName>
                    <m:e>
                      <m:d>
                        <m:dPr>
                          <m:ctrlPr>
                            <w:rPr>
                              <w:rFonts w:ascii="Cambria Math" w:hAnsi="Cambria Math"/>
                              <w:i/>
                              <w:szCs w:val="22"/>
                            </w:rPr>
                          </m:ctrlPr>
                        </m:dPr>
                        <m:e>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R</m:t>
                                  </m:r>
                                </m:e>
                                <m:sub>
                                  <m:r>
                                    <w:rPr>
                                      <w:rFonts w:ascii="Cambria Math" w:hAnsi="Cambria Math"/>
                                      <w:szCs w:val="22"/>
                                    </w:rPr>
                                    <m:t>t</m:t>
                                  </m:r>
                                </m:sub>
                              </m:sSub>
                            </m:num>
                            <m:den>
                              <m:sSub>
                                <m:sSubPr>
                                  <m:ctrlPr>
                                    <w:rPr>
                                      <w:rFonts w:ascii="Cambria Math" w:hAnsi="Cambria Math"/>
                                      <w:i/>
                                      <w:szCs w:val="22"/>
                                    </w:rPr>
                                  </m:ctrlPr>
                                </m:sSubPr>
                                <m:e>
                                  <m:r>
                                    <w:rPr>
                                      <w:rFonts w:ascii="Cambria Math" w:hAnsi="Cambria Math"/>
                                      <w:szCs w:val="22"/>
                                    </w:rPr>
                                    <m:t>R</m:t>
                                  </m:r>
                                </m:e>
                                <m:sub>
                                  <m:r>
                                    <w:rPr>
                                      <w:rFonts w:ascii="Cambria Math" w:hAnsi="Cambria Math"/>
                                      <w:szCs w:val="22"/>
                                    </w:rPr>
                                    <m:t>t-1</m:t>
                                  </m:r>
                                </m:sub>
                              </m:sSub>
                            </m:den>
                          </m:f>
                        </m:e>
                      </m:d>
                      <m:r>
                        <w:rPr>
                          <w:rFonts w:ascii="Cambria Math" w:hAnsi="Cambria Math"/>
                          <w:szCs w:val="22"/>
                        </w:rPr>
                        <m:t xml:space="preserve"> </m:t>
                      </m:r>
                    </m:e>
                  </m:func>
                </m:e>
              </m:func>
            </m:oMath>
            <w:r w:rsidR="002D793E">
              <w:rPr>
                <w:rFonts w:eastAsiaTheme="minorEastAsia"/>
                <w:szCs w:val="22"/>
              </w:rPr>
              <w:t xml:space="preserve"> </w:t>
            </w:r>
            <w:r w:rsidR="002D793E">
              <w:rPr>
                <w:rFonts w:eastAsiaTheme="minorEastAsia"/>
              </w:rPr>
              <w:tab/>
              <w:t>(4)</w:t>
            </w:r>
          </w:p>
          <w:p w:rsidR="00BA55B1" w:rsidRDefault="002D793E" w:rsidP="00BA55B1">
            <w:pPr>
              <w:pStyle w:val="Box"/>
            </w:pPr>
            <w:r>
              <w:t xml:space="preserve">where </w:t>
            </w:r>
            <w:r w:rsidRPr="00802E1D">
              <w:rPr>
                <w:rFonts w:ascii="Times New Roman" w:hAnsi="Times New Roman"/>
                <w:i/>
              </w:rPr>
              <w:t>Y, K, L</w:t>
            </w:r>
            <w:r>
              <w:rPr>
                <w:rFonts w:ascii="Times New Roman" w:hAnsi="Times New Roman"/>
                <w:i/>
              </w:rPr>
              <w:t>,</w:t>
            </w:r>
            <w:r w:rsidRPr="00802E1D">
              <w:rPr>
                <w:rFonts w:ascii="Times New Roman" w:hAnsi="Times New Roman"/>
              </w:rPr>
              <w:t xml:space="preserve"> </w:t>
            </w:r>
            <w:r w:rsidRPr="00802E1D">
              <w:rPr>
                <w:rFonts w:ascii="Times New Roman" w:hAnsi="Times New Roman"/>
                <w:i/>
              </w:rPr>
              <w:t>I</w:t>
            </w:r>
            <w:r>
              <w:rPr>
                <w:rFonts w:ascii="Times New Roman" w:hAnsi="Times New Roman"/>
                <w:i/>
              </w:rPr>
              <w:t>,</w:t>
            </w:r>
            <w:r>
              <w:t xml:space="preserve">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t xml:space="preserve">, </w:t>
            </w:r>
            <m:oMath>
              <m:sSub>
                <m:sSubPr>
                  <m:ctrlPr>
                    <w:rPr>
                      <w:rFonts w:ascii="Cambria Math" w:hAnsi="Cambria Math"/>
                      <w:i/>
                    </w:rPr>
                  </m:ctrlPr>
                </m:sSubPr>
                <m:e>
                  <m:r>
                    <w:rPr>
                      <w:rFonts w:ascii="Cambria Math" w:hAnsi="Cambria Math"/>
                    </w:rPr>
                    <m:t>S</m:t>
                  </m:r>
                </m:e>
                <m:sub>
                  <m:r>
                    <w:rPr>
                      <w:rFonts w:ascii="Cambria Math" w:hAnsi="Cambria Math"/>
                    </w:rPr>
                    <m:t>L</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rFonts w:eastAsiaTheme="minorEastAsia"/>
              </w:rPr>
              <w:t xml:space="preserve"> are as </w:t>
            </w:r>
            <w:r w:rsidR="00CE3E61">
              <w:rPr>
                <w:rFonts w:eastAsiaTheme="minorEastAsia"/>
              </w:rPr>
              <w:t xml:space="preserve">defined </w:t>
            </w:r>
            <w:r>
              <w:rPr>
                <w:rFonts w:eastAsiaTheme="minorEastAsia"/>
              </w:rPr>
              <w:t xml:space="preserve">in box 1.1, and </w:t>
            </w:r>
            <m:oMath>
              <m:sSub>
                <m:sSubPr>
                  <m:ctrlPr>
                    <w:rPr>
                      <w:rFonts w:ascii="Cambria Math" w:hAnsi="Cambria Math"/>
                      <w:i/>
                    </w:rPr>
                  </m:ctrlPr>
                </m:sSubPr>
                <m:e>
                  <m:r>
                    <w:rPr>
                      <w:rFonts w:ascii="Cambria Math" w:hAnsi="Cambria Math"/>
                    </w:rPr>
                    <m:t>S</m:t>
                  </m:r>
                </m:e>
                <m:sub>
                  <m:r>
                    <w:rPr>
                      <w:rFonts w:ascii="Cambria Math" w:hAnsi="Cambria Math"/>
                    </w:rPr>
                    <m:t>R</m:t>
                  </m:r>
                </m:sub>
              </m:sSub>
            </m:oMath>
            <w:r>
              <w:t xml:space="preserve"> is a weight </w:t>
            </w:r>
            <w:r w:rsidR="00110BD3">
              <w:t>commensurate</w:t>
            </w:r>
            <w:r>
              <w:t xml:space="preserve"> to the contribution of these inputs to </w:t>
            </w:r>
            <w:r w:rsidR="00C92D4B">
              <w:t xml:space="preserve">total </w:t>
            </w:r>
            <w:r>
              <w:t>industry income.</w:t>
            </w:r>
          </w:p>
          <w:p w:rsidR="00BA55B1" w:rsidRDefault="00BA55B1" w:rsidP="00BA55B1">
            <w:pPr>
              <w:pStyle w:val="Box"/>
            </w:pPr>
            <w:r>
              <w:t xml:space="preserve">In principle, the </w:t>
            </w:r>
            <w:r w:rsidR="002D793E">
              <w:t xml:space="preserve">MFP </w:t>
            </w:r>
            <w:r w:rsidR="00432090">
              <w:t xml:space="preserve">growth </w:t>
            </w:r>
            <w:r w:rsidR="002D793E">
              <w:t>estimates</w:t>
            </w:r>
            <w:r>
              <w:t xml:space="preserve"> derived </w:t>
            </w:r>
            <w:r w:rsidR="002D793E">
              <w:t>from</w:t>
            </w:r>
            <w:r>
              <w:t xml:space="preserve"> equation </w:t>
            </w:r>
            <w:r w:rsidR="002D793E">
              <w:t>4</w:t>
            </w:r>
            <w:r>
              <w:t xml:space="preserve"> would </w:t>
            </w:r>
            <w:r w:rsidR="00432090">
              <w:t>better reflect</w:t>
            </w:r>
            <w:r>
              <w:t xml:space="preserve"> ‘true’ technical progress in industries where</w:t>
            </w:r>
            <w:r w:rsidR="00F00162">
              <w:t xml:space="preserve"> inputs of</w:t>
            </w:r>
            <w:r>
              <w:t xml:space="preserve"> </w:t>
            </w:r>
            <w:r w:rsidRPr="00F00162">
              <w:rPr>
                <w:i/>
              </w:rPr>
              <w:t>R</w:t>
            </w:r>
            <w:r w:rsidR="00F00162">
              <w:t xml:space="preserve"> make</w:t>
            </w:r>
            <w:r>
              <w:t xml:space="preserve"> up a significant share of total inputs</w:t>
            </w:r>
            <w:r w:rsidR="00FB61CD">
              <w:t>, compared with the estimates from equation 2 in box 1.1</w:t>
            </w:r>
            <w:r>
              <w:t xml:space="preserve">. </w:t>
            </w:r>
          </w:p>
          <w:p w:rsidR="00BA55B1" w:rsidRDefault="00BA55B1" w:rsidP="003B0A87">
            <w:pPr>
              <w:pStyle w:val="Box"/>
              <w:rPr>
                <w:rFonts w:eastAsiaTheme="minorEastAsia"/>
              </w:rPr>
            </w:pPr>
            <w:r>
              <w:rPr>
                <w:rFonts w:eastAsiaTheme="minorEastAsia"/>
              </w:rPr>
              <w:t xml:space="preserve">Note that the measurement issue of concern is </w:t>
            </w:r>
            <w:r w:rsidR="009C6A45">
              <w:rPr>
                <w:rFonts w:eastAsiaTheme="minorEastAsia"/>
              </w:rPr>
              <w:t xml:space="preserve">not </w:t>
            </w:r>
            <w:r w:rsidR="00F00162">
              <w:rPr>
                <w:rFonts w:eastAsiaTheme="minorEastAsia"/>
              </w:rPr>
              <w:t xml:space="preserve">just </w:t>
            </w:r>
            <w:r>
              <w:rPr>
                <w:rFonts w:eastAsiaTheme="minorEastAsia"/>
              </w:rPr>
              <w:t xml:space="preserve">whether inputs of </w:t>
            </w:r>
            <w:proofErr w:type="spellStart"/>
            <w:r w:rsidRPr="00EF6BFD">
              <w:rPr>
                <w:rFonts w:eastAsiaTheme="minorEastAsia"/>
                <w:i/>
              </w:rPr>
              <w:t>R</w:t>
            </w:r>
            <w:r>
              <w:rPr>
                <w:rFonts w:eastAsiaTheme="minorEastAsia"/>
              </w:rPr>
              <w:t xml:space="preserve"> are</w:t>
            </w:r>
            <w:proofErr w:type="spellEnd"/>
            <w:r>
              <w:rPr>
                <w:rFonts w:eastAsiaTheme="minorEastAsia"/>
              </w:rPr>
              <w:t xml:space="preserve"> </w:t>
            </w:r>
            <w:r w:rsidR="009C6A45">
              <w:rPr>
                <w:rFonts w:eastAsiaTheme="minorEastAsia"/>
              </w:rPr>
              <w:t xml:space="preserve">large relative to conventionally measured inputs, but whether </w:t>
            </w:r>
            <w:r w:rsidR="00F13740">
              <w:rPr>
                <w:rFonts w:eastAsiaTheme="minorEastAsia"/>
              </w:rPr>
              <w:t>they are</w:t>
            </w:r>
            <w:r w:rsidR="00527509">
              <w:rPr>
                <w:rFonts w:eastAsiaTheme="minorEastAsia"/>
              </w:rPr>
              <w:t xml:space="preserve"> both large and </w:t>
            </w:r>
            <w:r>
              <w:rPr>
                <w:rFonts w:eastAsiaTheme="minorEastAsia"/>
              </w:rPr>
              <w:t xml:space="preserve">changing over time relative to </w:t>
            </w:r>
            <w:r w:rsidR="008D7598">
              <w:rPr>
                <w:rFonts w:eastAsiaTheme="minorEastAsia"/>
              </w:rPr>
              <w:t xml:space="preserve">aggregate </w:t>
            </w:r>
            <w:r>
              <w:rPr>
                <w:rFonts w:eastAsiaTheme="minorEastAsia"/>
              </w:rPr>
              <w:t xml:space="preserve">inputs of </w:t>
            </w:r>
            <w:r w:rsidRPr="0049755F">
              <w:rPr>
                <w:rFonts w:eastAsiaTheme="minorEastAsia"/>
                <w:i/>
              </w:rPr>
              <w:t>K</w:t>
            </w:r>
            <w:r>
              <w:rPr>
                <w:rFonts w:eastAsiaTheme="minorEastAsia"/>
              </w:rPr>
              <w:t xml:space="preserve">, </w:t>
            </w:r>
            <w:r w:rsidRPr="0049755F">
              <w:rPr>
                <w:rFonts w:eastAsiaTheme="minorEastAsia"/>
                <w:i/>
              </w:rPr>
              <w:t>L</w:t>
            </w:r>
            <w:r>
              <w:rPr>
                <w:rFonts w:eastAsiaTheme="minorEastAsia"/>
              </w:rPr>
              <w:t xml:space="preserve"> and </w:t>
            </w:r>
            <w:r w:rsidRPr="0049755F">
              <w:rPr>
                <w:rFonts w:eastAsiaTheme="minorEastAsia"/>
                <w:i/>
              </w:rPr>
              <w:t>I</w:t>
            </w:r>
            <w:r>
              <w:rPr>
                <w:rFonts w:eastAsiaTheme="minorEastAsia"/>
              </w:rPr>
              <w:t xml:space="preserve">. If inputs of </w:t>
            </w:r>
            <w:proofErr w:type="spellStart"/>
            <w:r w:rsidRPr="0049755F">
              <w:rPr>
                <w:rFonts w:eastAsiaTheme="minorEastAsia"/>
                <w:i/>
              </w:rPr>
              <w:t>R</w:t>
            </w:r>
            <w:r>
              <w:rPr>
                <w:rFonts w:eastAsiaTheme="minorEastAsia"/>
              </w:rPr>
              <w:t xml:space="preserve"> are</w:t>
            </w:r>
            <w:proofErr w:type="spellEnd"/>
            <w:r>
              <w:rPr>
                <w:rFonts w:eastAsiaTheme="minorEastAsia"/>
              </w:rPr>
              <w:t xml:space="preserve"> constant over time as a share of total inputs, then omitting </w:t>
            </w:r>
            <w:r w:rsidRPr="0049755F">
              <w:rPr>
                <w:rFonts w:eastAsiaTheme="minorEastAsia"/>
                <w:i/>
              </w:rPr>
              <w:t>R</w:t>
            </w:r>
            <w:r>
              <w:rPr>
                <w:rFonts w:eastAsiaTheme="minorEastAsia"/>
              </w:rPr>
              <w:t xml:space="preserve"> from the production function will </w:t>
            </w:r>
            <w:r w:rsidRPr="009C6A45">
              <w:rPr>
                <w:rFonts w:eastAsiaTheme="minorEastAsia"/>
              </w:rPr>
              <w:t>not</w:t>
            </w:r>
            <w:r>
              <w:rPr>
                <w:rFonts w:eastAsiaTheme="minorEastAsia"/>
              </w:rPr>
              <w:t xml:space="preserve"> influence the estimated growth rate of MFP. In this case there are no implications for the measurement and interpretation of MFP</w:t>
            </w:r>
            <w:r w:rsidR="00FB61CD">
              <w:rPr>
                <w:rFonts w:eastAsiaTheme="minorEastAsia"/>
              </w:rPr>
              <w:t xml:space="preserve"> growth</w:t>
            </w:r>
            <w:r>
              <w:rPr>
                <w:rFonts w:eastAsiaTheme="minorEastAsia"/>
              </w:rPr>
              <w:t xml:space="preserve">. However, when quantities of </w:t>
            </w:r>
            <w:proofErr w:type="spellStart"/>
            <w:r w:rsidRPr="0049755F">
              <w:rPr>
                <w:rFonts w:eastAsiaTheme="minorEastAsia"/>
                <w:i/>
              </w:rPr>
              <w:t>R</w:t>
            </w:r>
            <w:r>
              <w:rPr>
                <w:rFonts w:eastAsiaTheme="minorEastAsia"/>
              </w:rPr>
              <w:t xml:space="preserve"> </w:t>
            </w:r>
            <w:r w:rsidR="00F13740">
              <w:rPr>
                <w:rFonts w:eastAsiaTheme="minorEastAsia"/>
              </w:rPr>
              <w:t>are</w:t>
            </w:r>
            <w:proofErr w:type="spellEnd"/>
            <w:r w:rsidR="00F13740">
              <w:rPr>
                <w:rFonts w:eastAsiaTheme="minorEastAsia"/>
              </w:rPr>
              <w:t xml:space="preserve"> changing</w:t>
            </w:r>
            <w:r>
              <w:rPr>
                <w:rFonts w:eastAsiaTheme="minorEastAsia"/>
              </w:rPr>
              <w:t xml:space="preserve"> over time relative to</w:t>
            </w:r>
            <w:r w:rsidR="003B0A87">
              <w:rPr>
                <w:rFonts w:eastAsiaTheme="minorEastAsia"/>
              </w:rPr>
              <w:t xml:space="preserve"> conventionally</w:t>
            </w:r>
            <w:r>
              <w:rPr>
                <w:rFonts w:eastAsiaTheme="minorEastAsia"/>
              </w:rPr>
              <w:t xml:space="preserve"> </w:t>
            </w:r>
            <w:r w:rsidR="003B0A87">
              <w:rPr>
                <w:rFonts w:eastAsiaTheme="minorEastAsia"/>
              </w:rPr>
              <w:t>measured inputs</w:t>
            </w:r>
            <w:r>
              <w:rPr>
                <w:rFonts w:eastAsiaTheme="minorEastAsia"/>
              </w:rPr>
              <w:t>,</w:t>
            </w:r>
            <w:r w:rsidR="002D793E">
              <w:rPr>
                <w:rFonts w:eastAsiaTheme="minorEastAsia"/>
              </w:rPr>
              <w:t xml:space="preserve"> the MFP</w:t>
            </w:r>
            <w:r w:rsidR="00F13740">
              <w:rPr>
                <w:rFonts w:eastAsiaTheme="minorEastAsia"/>
              </w:rPr>
              <w:t xml:space="preserve"> growth estimates derived from </w:t>
            </w:r>
            <w:r w:rsidR="002D793E">
              <w:rPr>
                <w:rFonts w:eastAsiaTheme="minorEastAsia"/>
              </w:rPr>
              <w:t xml:space="preserve">equation (4) </w:t>
            </w:r>
            <w:r>
              <w:rPr>
                <w:rFonts w:eastAsiaTheme="minorEastAsia"/>
              </w:rPr>
              <w:t>will</w:t>
            </w:r>
            <w:r w:rsidR="002D793E">
              <w:rPr>
                <w:rFonts w:eastAsiaTheme="minorEastAsia"/>
              </w:rPr>
              <w:t xml:space="preserve"> differ</w:t>
            </w:r>
            <w:r>
              <w:rPr>
                <w:rFonts w:eastAsiaTheme="minorEastAsia"/>
              </w:rPr>
              <w:t xml:space="preserve"> </w:t>
            </w:r>
            <w:r w:rsidR="002D793E">
              <w:rPr>
                <w:rFonts w:eastAsiaTheme="minorEastAsia"/>
              </w:rPr>
              <w:t>to th</w:t>
            </w:r>
            <w:r w:rsidR="00F13740">
              <w:rPr>
                <w:rFonts w:eastAsiaTheme="minorEastAsia"/>
              </w:rPr>
              <w:t xml:space="preserve">ose derived from </w:t>
            </w:r>
            <w:r w:rsidR="002D793E">
              <w:rPr>
                <w:rFonts w:eastAsiaTheme="minorEastAsia"/>
              </w:rPr>
              <w:t xml:space="preserve">equation (2) in </w:t>
            </w:r>
            <w:r>
              <w:rPr>
                <w:rFonts w:eastAsiaTheme="minorEastAsia"/>
              </w:rPr>
              <w:t>box</w:t>
            </w:r>
            <w:r w:rsidR="0007444B">
              <w:rPr>
                <w:rFonts w:eastAsiaTheme="minorEastAsia"/>
              </w:rPr>
              <w:t> 1</w:t>
            </w:r>
            <w:r>
              <w:rPr>
                <w:rFonts w:eastAsiaTheme="minorEastAsia"/>
              </w:rPr>
              <w:t xml:space="preserve">. </w:t>
            </w:r>
            <w:r w:rsidR="0088799F">
              <w:rPr>
                <w:rFonts w:eastAsiaTheme="minorEastAsia"/>
              </w:rPr>
              <w:t>In this case, equation (4) will provide a better estimate of technical progress equation (2).</w:t>
            </w:r>
          </w:p>
          <w:p w:rsidR="00EE459E" w:rsidRPr="0099743B" w:rsidRDefault="00EE459E" w:rsidP="008D7598">
            <w:pPr>
              <w:pStyle w:val="Box"/>
              <w:rPr>
                <w:rFonts w:eastAsiaTheme="minorEastAsia"/>
              </w:rPr>
            </w:pPr>
            <w:r>
              <w:rPr>
                <w:rFonts w:eastAsiaTheme="minorEastAsia"/>
              </w:rPr>
              <w:t>Note also that measuring the quantity of natural resource inputs</w:t>
            </w:r>
            <w:r w:rsidR="005666D8">
              <w:rPr>
                <w:rFonts w:eastAsiaTheme="minorEastAsia"/>
              </w:rPr>
              <w:t xml:space="preserve"> </w:t>
            </w:r>
            <w:r>
              <w:rPr>
                <w:rFonts w:eastAsiaTheme="minorEastAsia"/>
              </w:rPr>
              <w:t>used in production</w:t>
            </w:r>
            <w:r w:rsidR="005666D8">
              <w:rPr>
                <w:rFonts w:eastAsiaTheme="minorEastAsia"/>
              </w:rPr>
              <w:t xml:space="preserve"> (</w:t>
            </w:r>
            <w:r>
              <w:rPr>
                <w:rFonts w:eastAsiaTheme="minorEastAsia"/>
              </w:rPr>
              <w:t xml:space="preserve">and the associated weight, </w:t>
            </w:r>
            <m:oMath>
              <m:sSub>
                <m:sSubPr>
                  <m:ctrlPr>
                    <w:rPr>
                      <w:rFonts w:ascii="Cambria Math" w:hAnsi="Cambria Math"/>
                      <w:i/>
                    </w:rPr>
                  </m:ctrlPr>
                </m:sSubPr>
                <m:e>
                  <m:r>
                    <w:rPr>
                      <w:rFonts w:ascii="Cambria Math" w:hAnsi="Cambria Math"/>
                    </w:rPr>
                    <m:t>S</m:t>
                  </m:r>
                </m:e>
                <m:sub>
                  <m:r>
                    <w:rPr>
                      <w:rFonts w:ascii="Cambria Math" w:hAnsi="Cambria Math"/>
                    </w:rPr>
                    <m:t>R</m:t>
                  </m:r>
                </m:sub>
              </m:sSub>
            </m:oMath>
            <w:r w:rsidR="005666D8">
              <w:rPr>
                <w:rFonts w:eastAsiaTheme="minorEastAsia"/>
              </w:rPr>
              <w:t>)</w:t>
            </w:r>
            <w:r>
              <w:rPr>
                <w:rFonts w:eastAsiaTheme="minorEastAsia"/>
              </w:rPr>
              <w:t xml:space="preserve"> is likely to be a non-trivial exercise. </w:t>
            </w:r>
            <w:proofErr w:type="spellStart"/>
            <w:r>
              <w:rPr>
                <w:rFonts w:eastAsiaTheme="minorEastAsia"/>
              </w:rPr>
              <w:t>Diewert</w:t>
            </w:r>
            <w:proofErr w:type="spellEnd"/>
            <w:r>
              <w:rPr>
                <w:rFonts w:eastAsiaTheme="minorEastAsia"/>
              </w:rPr>
              <w:t xml:space="preserve"> (2001), for example, listed the problem of accounting for natural resource inputs as one of a number of challenges for productivity measurement and interpretation</w:t>
            </w:r>
            <w:r w:rsidR="00883A21">
              <w:rPr>
                <w:rFonts w:eastAsiaTheme="minorEastAsia"/>
              </w:rPr>
              <w:t xml:space="preserve"> that </w:t>
            </w:r>
            <w:r w:rsidR="005666D8">
              <w:rPr>
                <w:rFonts w:eastAsiaTheme="minorEastAsia"/>
              </w:rPr>
              <w:t>is still</w:t>
            </w:r>
            <w:r w:rsidR="00883A21">
              <w:rPr>
                <w:rFonts w:eastAsiaTheme="minorEastAsia"/>
              </w:rPr>
              <w:t xml:space="preserve"> to be resolved</w:t>
            </w:r>
            <w:r>
              <w:rPr>
                <w:rFonts w:eastAsiaTheme="minorEastAsia"/>
              </w:rPr>
              <w:t>.</w:t>
            </w:r>
            <w:r w:rsidR="0010240E">
              <w:rPr>
                <w:rFonts w:eastAsiaTheme="minorEastAsia"/>
              </w:rPr>
              <w:t xml:space="preserve"> </w:t>
            </w:r>
          </w:p>
        </w:tc>
      </w:tr>
      <w:tr w:rsidR="00BA55B1" w:rsidTr="00BA55B1">
        <w:trPr>
          <w:cantSplit/>
        </w:trPr>
        <w:tc>
          <w:tcPr>
            <w:tcW w:w="8771" w:type="dxa"/>
            <w:tcBorders>
              <w:top w:val="nil"/>
              <w:left w:val="single" w:sz="6" w:space="0" w:color="auto"/>
              <w:bottom w:val="single" w:sz="6" w:space="0" w:color="auto"/>
              <w:right w:val="single" w:sz="6" w:space="0" w:color="auto"/>
            </w:tcBorders>
          </w:tcPr>
          <w:p w:rsidR="00BA55B1" w:rsidRDefault="00BA55B1" w:rsidP="00BA55B1">
            <w:pPr>
              <w:pStyle w:val="Box"/>
              <w:spacing w:before="0" w:line="120" w:lineRule="exact"/>
            </w:pPr>
          </w:p>
        </w:tc>
      </w:tr>
      <w:tr w:rsidR="00BA55B1" w:rsidRPr="004D6BC4" w:rsidTr="00BA55B1">
        <w:tc>
          <w:tcPr>
            <w:tcW w:w="8771" w:type="dxa"/>
            <w:tcBorders>
              <w:top w:val="nil"/>
              <w:left w:val="nil"/>
              <w:bottom w:val="nil"/>
              <w:right w:val="nil"/>
            </w:tcBorders>
          </w:tcPr>
          <w:p w:rsidR="00BA55B1" w:rsidRPr="004D6BC4" w:rsidRDefault="00BA55B1" w:rsidP="00BA55B1">
            <w:pPr>
              <w:pStyle w:val="Box"/>
              <w:keepNext w:val="0"/>
              <w:spacing w:before="60" w:after="60" w:line="80" w:lineRule="exact"/>
              <w:rPr>
                <w:b/>
                <w:sz w:val="14"/>
              </w:rPr>
            </w:pPr>
          </w:p>
        </w:tc>
      </w:tr>
    </w:tbl>
    <w:p w:rsidR="00BA4E94" w:rsidRDefault="00BA4E94" w:rsidP="00C764A8">
      <w:pPr>
        <w:pStyle w:val="Heading4"/>
      </w:pPr>
    </w:p>
    <w:p w:rsidR="00BA4E94" w:rsidRDefault="00BA4E94" w:rsidP="00BA4E94">
      <w:pPr>
        <w:pStyle w:val="TOC2"/>
        <w:rPr>
          <w:rFonts w:ascii="Arial" w:hAnsi="Arial"/>
          <w:sz w:val="24"/>
        </w:rPr>
      </w:pPr>
      <w:r>
        <w:br w:type="page"/>
      </w:r>
    </w:p>
    <w:p w:rsidR="00B95C35" w:rsidRPr="00472D50" w:rsidRDefault="00B95C35" w:rsidP="00C764A8">
      <w:pPr>
        <w:pStyle w:val="Heading4"/>
      </w:pPr>
      <w:r w:rsidRPr="00472D50">
        <w:t>Agriculture</w:t>
      </w:r>
      <w:r w:rsidR="00A45417">
        <w:t>, forestry and fishing</w:t>
      </w:r>
    </w:p>
    <w:p w:rsidR="00283047" w:rsidRDefault="005263A1" w:rsidP="000F6741">
      <w:pPr>
        <w:pStyle w:val="BodyText"/>
        <w:keepNext/>
        <w:tabs>
          <w:tab w:val="left" w:pos="2685"/>
          <w:tab w:val="center" w:pos="4394"/>
        </w:tabs>
      </w:pPr>
      <w:r>
        <w:t xml:space="preserve">Rainfall is </w:t>
      </w:r>
      <w:r w:rsidR="00AC17CE">
        <w:t>an</w:t>
      </w:r>
      <w:r w:rsidR="00E12522">
        <w:t xml:space="preserve"> </w:t>
      </w:r>
      <w:r w:rsidR="00657BD8">
        <w:t xml:space="preserve">important </w:t>
      </w:r>
      <w:r w:rsidR="008D6CF7" w:rsidRPr="00657BD8">
        <w:t>unmeasured</w:t>
      </w:r>
      <w:r w:rsidR="008D6CF7">
        <w:t xml:space="preserve"> </w:t>
      </w:r>
      <w:r w:rsidR="00CF7326">
        <w:t xml:space="preserve">input to production </w:t>
      </w:r>
      <w:r w:rsidR="005D2C3D">
        <w:t>for most</w:t>
      </w:r>
      <w:r w:rsidR="00E82FA0">
        <w:t>,</w:t>
      </w:r>
      <w:r w:rsidR="005D2C3D">
        <w:t xml:space="preserve"> if not all</w:t>
      </w:r>
      <w:r w:rsidR="00E82FA0">
        <w:t>,</w:t>
      </w:r>
      <w:r w:rsidR="005D2C3D">
        <w:t xml:space="preserve"> activities</w:t>
      </w:r>
      <w:r w:rsidR="00A45417">
        <w:t xml:space="preserve"> in this industry</w:t>
      </w:r>
      <w:r w:rsidR="00CF7326">
        <w:t>.</w:t>
      </w:r>
      <w:r w:rsidR="00CF7326" w:rsidRPr="005C671E">
        <w:t xml:space="preserve"> </w:t>
      </w:r>
      <w:r w:rsidR="00CF7326">
        <w:t xml:space="preserve">Although rainfall is a renewable input, its quality or effectiveness as an input </w:t>
      </w:r>
      <w:r w:rsidR="00D05E1E">
        <w:t>fluctuates</w:t>
      </w:r>
      <w:r w:rsidR="00CF7326">
        <w:t xml:space="preserve"> over time due to variations in its quantity. Too little rainfall is usually the more serious concern, but too much rainfall</w:t>
      </w:r>
      <w:r w:rsidR="00A413E7">
        <w:t xml:space="preserve"> </w:t>
      </w:r>
      <w:r w:rsidR="00220E00">
        <w:t>leading</w:t>
      </w:r>
      <w:r w:rsidR="00E12522">
        <w:t xml:space="preserve"> to</w:t>
      </w:r>
      <w:r w:rsidR="00A413E7">
        <w:t xml:space="preserve"> flooding or water-logging</w:t>
      </w:r>
      <w:r w:rsidR="0019235F">
        <w:t>, or rain at the wrong time,</w:t>
      </w:r>
      <w:r w:rsidR="00CF7326">
        <w:t xml:space="preserve"> can also </w:t>
      </w:r>
      <w:r w:rsidR="00D05E1E">
        <w:t xml:space="preserve">reduce </w:t>
      </w:r>
      <w:r w:rsidR="00A45417">
        <w:t xml:space="preserve">industry </w:t>
      </w:r>
      <w:r w:rsidR="00CF7326">
        <w:t>output</w:t>
      </w:r>
      <w:r w:rsidR="00BC5359">
        <w:rPr>
          <w:rStyle w:val="FootnoteReference"/>
        </w:rPr>
        <w:footnoteReference w:id="3"/>
      </w:r>
      <w:r w:rsidR="00C51EFF">
        <w:t xml:space="preserve"> with adverse implications for </w:t>
      </w:r>
      <w:r w:rsidR="00BC5359">
        <w:t>MFP</w:t>
      </w:r>
      <w:r w:rsidR="00CF7326">
        <w:t>.</w:t>
      </w:r>
      <w:r w:rsidR="00CF7326" w:rsidRPr="005E7E89">
        <w:t xml:space="preserve"> </w:t>
      </w:r>
    </w:p>
    <w:p w:rsidR="00E7733F" w:rsidRDefault="00A9437E" w:rsidP="00BF69C4">
      <w:pPr>
        <w:pStyle w:val="BodyText"/>
        <w:tabs>
          <w:tab w:val="left" w:pos="2685"/>
          <w:tab w:val="center" w:pos="4394"/>
        </w:tabs>
      </w:pPr>
      <w:r>
        <w:t>Note that r</w:t>
      </w:r>
      <w:r w:rsidR="004E797B">
        <w:t xml:space="preserve">ainfall is not the only </w:t>
      </w:r>
      <w:r>
        <w:t xml:space="preserve">natural resource input </w:t>
      </w:r>
      <w:r w:rsidR="00BA3785">
        <w:t xml:space="preserve">that is </w:t>
      </w:r>
      <w:r>
        <w:t xml:space="preserve">important to production in </w:t>
      </w:r>
      <w:proofErr w:type="spellStart"/>
      <w:r w:rsidR="008C2B88">
        <w:t>AFF</w:t>
      </w:r>
      <w:proofErr w:type="spellEnd"/>
      <w:r>
        <w:t>. For example, the w</w:t>
      </w:r>
      <w:r w:rsidR="00CF7326">
        <w:t xml:space="preserve">eather more generally, including cyclones, heatwaves and </w:t>
      </w:r>
      <w:r w:rsidR="0019235F">
        <w:t>frosts</w:t>
      </w:r>
      <w:r w:rsidR="00CF7326">
        <w:t>, contributes to volatility in the effective contribution of natura</w:t>
      </w:r>
      <w:r>
        <w:t>l resource inputs</w:t>
      </w:r>
      <w:r w:rsidR="00F731B8">
        <w:t xml:space="preserve"> to production</w:t>
      </w:r>
      <w:r w:rsidR="00CF7326">
        <w:t>.</w:t>
      </w:r>
      <w:r w:rsidR="004E797B">
        <w:t xml:space="preserve"> </w:t>
      </w:r>
    </w:p>
    <w:p w:rsidR="00BA3785" w:rsidRDefault="00CF7326" w:rsidP="00BF69C4">
      <w:pPr>
        <w:pStyle w:val="BodyText"/>
        <w:tabs>
          <w:tab w:val="left" w:pos="2685"/>
          <w:tab w:val="center" w:pos="4394"/>
        </w:tabs>
      </w:pPr>
      <w:r>
        <w:t>Other natural resource inputs are also important</w:t>
      </w:r>
      <w:r w:rsidR="00E7733F">
        <w:t xml:space="preserve"> in </w:t>
      </w:r>
      <w:proofErr w:type="spellStart"/>
      <w:r w:rsidR="00E7733F">
        <w:t>AFF</w:t>
      </w:r>
      <w:proofErr w:type="spellEnd"/>
      <w:r>
        <w:t>. For example, l</w:t>
      </w:r>
      <w:r w:rsidRPr="00B84F5F">
        <w:t>and</w:t>
      </w:r>
      <w:r>
        <w:t>/soil</w:t>
      </w:r>
      <w:r w:rsidRPr="00B84F5F">
        <w:t xml:space="preserve"> is a critical natural resource input</w:t>
      </w:r>
      <w:r w:rsidR="00A9437E">
        <w:t xml:space="preserve">, although the quantity of services it provides over time </w:t>
      </w:r>
      <w:r w:rsidR="00F731B8">
        <w:t>is</w:t>
      </w:r>
      <w:r w:rsidR="00A9437E">
        <w:t xml:space="preserve"> likely to be much less variable than th</w:t>
      </w:r>
      <w:r w:rsidR="00F731B8">
        <w:t>at</w:t>
      </w:r>
      <w:r w:rsidR="00A9437E">
        <w:t xml:space="preserve"> provided by rainfall. </w:t>
      </w:r>
      <w:r w:rsidR="00F731B8">
        <w:t>U</w:t>
      </w:r>
      <w:r>
        <w:t>nderlying fish and forestry stocks</w:t>
      </w:r>
      <w:r w:rsidR="00A9437E">
        <w:t xml:space="preserve"> are also key determinants of production</w:t>
      </w:r>
      <w:r w:rsidR="00F731B8">
        <w:t xml:space="preserve"> in </w:t>
      </w:r>
      <w:r w:rsidR="00D05E1E">
        <w:t>these sub-sectors</w:t>
      </w:r>
      <w:r w:rsidR="00F87432">
        <w:t xml:space="preserve">. </w:t>
      </w:r>
      <w:r w:rsidR="00220E00">
        <w:t>S</w:t>
      </w:r>
      <w:r w:rsidR="00A9437E">
        <w:t xml:space="preserve">tudies of productivity growth in </w:t>
      </w:r>
      <w:r w:rsidR="00F731B8">
        <w:t>fisheries</w:t>
      </w:r>
      <w:r w:rsidR="00A9437E">
        <w:t xml:space="preserve"> </w:t>
      </w:r>
      <w:r w:rsidR="00657BD8">
        <w:t>often</w:t>
      </w:r>
      <w:r w:rsidR="00A9437E">
        <w:t xml:space="preserve"> include </w:t>
      </w:r>
      <w:r w:rsidR="00F731B8">
        <w:t xml:space="preserve">estimates of fish </w:t>
      </w:r>
      <w:r w:rsidR="00A9437E">
        <w:t xml:space="preserve">stocks directly into the </w:t>
      </w:r>
      <w:r w:rsidR="00F731B8">
        <w:t xml:space="preserve">underlying </w:t>
      </w:r>
      <w:r w:rsidR="00A9437E">
        <w:t>production function</w:t>
      </w:r>
      <w:r w:rsidR="00F87432">
        <w:t xml:space="preserve"> in recognition of </w:t>
      </w:r>
      <w:r w:rsidR="008B3C80">
        <w:t xml:space="preserve">the role </w:t>
      </w:r>
      <w:r w:rsidR="00C51EFF">
        <w:t>they</w:t>
      </w:r>
      <w:r w:rsidR="00F731B8">
        <w:t xml:space="preserve"> </w:t>
      </w:r>
      <w:r w:rsidR="008B3C80">
        <w:t xml:space="preserve">play in explaining </w:t>
      </w:r>
      <w:r w:rsidR="00F731B8">
        <w:t xml:space="preserve">changes in </w:t>
      </w:r>
      <w:r w:rsidR="008B3C80">
        <w:t>output</w:t>
      </w:r>
      <w:r w:rsidR="00F87432">
        <w:t xml:space="preserve"> over time</w:t>
      </w:r>
      <w:r w:rsidR="008B3C80">
        <w:t xml:space="preserve"> </w:t>
      </w:r>
      <w:r w:rsidR="00A9437E">
        <w:t>(see</w:t>
      </w:r>
      <w:r w:rsidR="00CE246F">
        <w:t xml:space="preserve"> for example,</w:t>
      </w:r>
      <w:r w:rsidR="00A9437E">
        <w:t xml:space="preserve"> </w:t>
      </w:r>
      <w:r w:rsidR="00AF6530" w:rsidRPr="005074CE">
        <w:t>Fox</w:t>
      </w:r>
      <w:r w:rsidR="005074CE">
        <w:t xml:space="preserve"> et al</w:t>
      </w:r>
      <w:r w:rsidR="00E7733F">
        <w:t>.</w:t>
      </w:r>
      <w:r w:rsidR="00AF6530" w:rsidRPr="005074CE">
        <w:t xml:space="preserve"> 2003</w:t>
      </w:r>
      <w:r w:rsidR="00A9437E">
        <w:t>)</w:t>
      </w:r>
      <w:r>
        <w:t xml:space="preserve">. </w:t>
      </w:r>
    </w:p>
    <w:p w:rsidR="00CF7326" w:rsidRDefault="00BA3785" w:rsidP="00472D50">
      <w:pPr>
        <w:pStyle w:val="BodyText"/>
        <w:tabs>
          <w:tab w:val="left" w:pos="2685"/>
          <w:tab w:val="center" w:pos="4394"/>
        </w:tabs>
      </w:pPr>
      <w:r>
        <w:t xml:space="preserve">Ultimately, </w:t>
      </w:r>
      <w:r w:rsidR="00D05E1E">
        <w:t>v</w:t>
      </w:r>
      <w:r w:rsidR="00CF7326">
        <w:t xml:space="preserve">ariations in the services provided by </w:t>
      </w:r>
      <w:r>
        <w:t xml:space="preserve">any of </w:t>
      </w:r>
      <w:r w:rsidR="00CF7326">
        <w:t xml:space="preserve">these </w:t>
      </w:r>
      <w:r w:rsidR="005B02C5" w:rsidRPr="00A15A42">
        <w:rPr>
          <w:i/>
        </w:rPr>
        <w:t>unmeasured</w:t>
      </w:r>
      <w:r w:rsidR="005B02C5">
        <w:t xml:space="preserve"> </w:t>
      </w:r>
      <w:r w:rsidR="00CF7326">
        <w:t>inputs</w:t>
      </w:r>
      <w:r w:rsidR="00CF7326" w:rsidRPr="00B84F5F">
        <w:t xml:space="preserve"> </w:t>
      </w:r>
      <w:r w:rsidR="00A15A42">
        <w:t xml:space="preserve">will </w:t>
      </w:r>
      <w:r w:rsidR="00BC5359">
        <w:t>be reflected in</w:t>
      </w:r>
      <w:r w:rsidR="007006AD">
        <w:t xml:space="preserve"> </w:t>
      </w:r>
      <w:r w:rsidR="00EE70AF">
        <w:t xml:space="preserve">the </w:t>
      </w:r>
      <w:r w:rsidR="00CF7326">
        <w:t xml:space="preserve">estimates of MFP growth in </w:t>
      </w:r>
      <w:proofErr w:type="spellStart"/>
      <w:r w:rsidR="008C2B88">
        <w:t>AFF</w:t>
      </w:r>
      <w:proofErr w:type="spellEnd"/>
      <w:r w:rsidR="00CF7326">
        <w:t>.</w:t>
      </w:r>
    </w:p>
    <w:p w:rsidR="00B95C35" w:rsidRPr="00472D50" w:rsidRDefault="00B95C35" w:rsidP="00C764A8">
      <w:pPr>
        <w:pStyle w:val="Heading4"/>
      </w:pPr>
      <w:r w:rsidRPr="00472D50">
        <w:t>Mining</w:t>
      </w:r>
    </w:p>
    <w:p w:rsidR="00CF7326" w:rsidRDefault="009265FB" w:rsidP="00CF7326">
      <w:pPr>
        <w:pStyle w:val="BodyText"/>
      </w:pPr>
      <w:r>
        <w:t xml:space="preserve">In the case of </w:t>
      </w:r>
      <w:r w:rsidR="00B31B13">
        <w:t>Mining</w:t>
      </w:r>
      <w:r>
        <w:t xml:space="preserve">, </w:t>
      </w:r>
      <w:r w:rsidR="00CF7326">
        <w:t xml:space="preserve">the key </w:t>
      </w:r>
      <w:r w:rsidR="008D6CF7">
        <w:t xml:space="preserve">unmeasured </w:t>
      </w:r>
      <w:r w:rsidR="00CF7326">
        <w:t>natural resource inp</w:t>
      </w:r>
      <w:r w:rsidR="00E12522">
        <w:t>ut</w:t>
      </w:r>
      <w:r w:rsidR="00535489">
        <w:t>s</w:t>
      </w:r>
      <w:r w:rsidR="00E12522">
        <w:t xml:space="preserve"> used in</w:t>
      </w:r>
      <w:r w:rsidR="00CF7326">
        <w:t xml:space="preserve"> production are the </w:t>
      </w:r>
      <w:r w:rsidR="00283047">
        <w:t xml:space="preserve">underlying </w:t>
      </w:r>
      <w:r w:rsidR="00CF7326">
        <w:t>deposits of mineral and energy resources being mined</w:t>
      </w:r>
      <w:r w:rsidR="00D00C45">
        <w:t>. E</w:t>
      </w:r>
      <w:r w:rsidR="00CF7326">
        <w:t>xample</w:t>
      </w:r>
      <w:r w:rsidR="00D00C45">
        <w:t>s include</w:t>
      </w:r>
      <w:r w:rsidR="00CF7326">
        <w:t xml:space="preserve"> coal seams, oil and gas fields, and deposits of metal-ores and raw minerals. No amount of conventionally measured inputs </w:t>
      </w:r>
      <w:r w:rsidR="00A413E7">
        <w:t xml:space="preserve">— </w:t>
      </w:r>
      <w:r w:rsidR="00CF7326">
        <w:t xml:space="preserve">labour, capital, materials </w:t>
      </w:r>
      <w:proofErr w:type="spellStart"/>
      <w:r w:rsidR="00A413E7">
        <w:t>etc</w:t>
      </w:r>
      <w:proofErr w:type="spellEnd"/>
      <w:r w:rsidR="00A413E7">
        <w:t xml:space="preserve"> —</w:t>
      </w:r>
      <w:r w:rsidR="00CF7326">
        <w:t xml:space="preserve"> can produce a tonne of coal or a barrel of oil without a coal seam or an oil deposit from which to extract it. These ‘environmental goods’ are therefore essential inputs to production, and are non-renewable in nature.</w:t>
      </w:r>
      <w:r w:rsidR="00CF7326">
        <w:rPr>
          <w:rStyle w:val="FootnoteReference"/>
        </w:rPr>
        <w:footnoteReference w:id="4"/>
      </w:r>
      <w:r w:rsidR="00CF7326">
        <w:t xml:space="preserve"> </w:t>
      </w:r>
    </w:p>
    <w:p w:rsidR="00AB4724" w:rsidRDefault="00CF7326" w:rsidP="00C64549">
      <w:pPr>
        <w:pStyle w:val="BodyText"/>
      </w:pPr>
      <w:r>
        <w:t>Importantly, the average quality of mineral and energy deposits being exploited is not constant over time</w:t>
      </w:r>
      <w:r w:rsidR="00EC0E07">
        <w:t>, but tend</w:t>
      </w:r>
      <w:r w:rsidR="00885E4A">
        <w:t>s</w:t>
      </w:r>
      <w:r w:rsidR="00EC0E07">
        <w:t xml:space="preserve"> to decline with cumulative extraction</w:t>
      </w:r>
      <w:r w:rsidR="00C64549">
        <w:t>.</w:t>
      </w:r>
      <w:r w:rsidR="007041F5">
        <w:rPr>
          <w:rStyle w:val="FootnoteReference"/>
        </w:rPr>
        <w:footnoteReference w:id="5"/>
      </w:r>
      <w:r w:rsidR="008D6CF7">
        <w:t xml:space="preserve"> </w:t>
      </w:r>
      <w:r w:rsidR="00C0178E">
        <w:t>In general, better quality resource</w:t>
      </w:r>
      <w:r w:rsidR="00657BD8">
        <w:t xml:space="preserve"> deposits, such as those that are more accessible, of higher quality or grade, or closer to markets and existing infrastructure, </w:t>
      </w:r>
      <w:r w:rsidR="00C0178E">
        <w:t>are exploited first (as they generate higher profits), before miners move on to the next best quality deposits</w:t>
      </w:r>
      <w:r w:rsidR="007218C2">
        <w:t>. B</w:t>
      </w:r>
      <w:r w:rsidR="00AB4724">
        <w:t>ox</w:t>
      </w:r>
      <w:r w:rsidR="00747891">
        <w:t xml:space="preserve"> </w:t>
      </w:r>
      <w:r w:rsidR="0007444B">
        <w:t>3</w:t>
      </w:r>
      <w:r w:rsidR="00AB4724">
        <w:t xml:space="preserve"> </w:t>
      </w:r>
      <w:r w:rsidR="007218C2">
        <w:t>explains the quality attributes of resource deposits in more detail</w:t>
      </w:r>
      <w:r w:rsidR="00C0178E">
        <w:t xml:space="preserve">. </w:t>
      </w:r>
    </w:p>
    <w:p w:rsidR="00606842" w:rsidRDefault="0060684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06842">
        <w:tc>
          <w:tcPr>
            <w:tcW w:w="8771" w:type="dxa"/>
            <w:tcBorders>
              <w:top w:val="single" w:sz="6" w:space="0" w:color="auto"/>
              <w:bottom w:val="nil"/>
            </w:tcBorders>
          </w:tcPr>
          <w:p w:rsidR="00606842" w:rsidRDefault="00606842" w:rsidP="00B53AC3">
            <w:pPr>
              <w:pStyle w:val="BoxTitle"/>
            </w:pPr>
            <w:r>
              <w:rPr>
                <w:b w:val="0"/>
              </w:rPr>
              <w:t xml:space="preserve">Box </w:t>
            </w:r>
            <w:r w:rsidR="0007444B">
              <w:rPr>
                <w:b w:val="0"/>
              </w:rPr>
              <w:t>3</w:t>
            </w:r>
            <w:r>
              <w:tab/>
              <w:t>Quality attributes of mines and resource deposits</w:t>
            </w:r>
          </w:p>
        </w:tc>
      </w:tr>
      <w:tr w:rsidR="00606842">
        <w:trPr>
          <w:cantSplit/>
        </w:trPr>
        <w:tc>
          <w:tcPr>
            <w:tcW w:w="8771" w:type="dxa"/>
            <w:tcBorders>
              <w:top w:val="nil"/>
              <w:left w:val="single" w:sz="6" w:space="0" w:color="auto"/>
              <w:bottom w:val="nil"/>
              <w:right w:val="single" w:sz="6" w:space="0" w:color="auto"/>
            </w:tcBorders>
          </w:tcPr>
          <w:p w:rsidR="00606842" w:rsidRDefault="00606842">
            <w:pPr>
              <w:pStyle w:val="Box"/>
            </w:pPr>
            <w:r>
              <w:t xml:space="preserve">The quality attributes of mines and resource deposits that influence measured production costs (and hence MFP) include: </w:t>
            </w:r>
          </w:p>
          <w:p w:rsidR="00606842" w:rsidRDefault="00606842" w:rsidP="00606842">
            <w:pPr>
              <w:pStyle w:val="BoxListBullet"/>
            </w:pPr>
            <w:r>
              <w:t>the remoteness of deposits, including their distance from infrastructure and markets</w:t>
            </w:r>
            <w:r w:rsidR="002329BE">
              <w:t xml:space="preserve"> for inputs and outputs</w:t>
            </w:r>
          </w:p>
          <w:p w:rsidR="00606842" w:rsidRDefault="00606842" w:rsidP="00606842">
            <w:pPr>
              <w:pStyle w:val="BoxListBullet"/>
            </w:pPr>
            <w:r>
              <w:t xml:space="preserve"> the depth of oil and gas fields below the surface</w:t>
            </w:r>
            <w:r w:rsidR="002329BE">
              <w:t xml:space="preserve">, whether </w:t>
            </w:r>
            <w:r w:rsidR="0059050D">
              <w:t>onshore</w:t>
            </w:r>
            <w:r w:rsidR="002329BE">
              <w:t xml:space="preserve"> or </w:t>
            </w:r>
            <w:r w:rsidR="0059050D">
              <w:t>offshore</w:t>
            </w:r>
          </w:p>
          <w:p w:rsidR="00606842" w:rsidRDefault="00606842" w:rsidP="00606842">
            <w:pPr>
              <w:pStyle w:val="BoxListBullet"/>
            </w:pPr>
            <w:r>
              <w:t>the depth and nature of overburden above co</w:t>
            </w:r>
            <w:r w:rsidR="00840A80">
              <w:t>al and other resource deposits</w:t>
            </w:r>
          </w:p>
          <w:p w:rsidR="00606842" w:rsidRDefault="00606842" w:rsidP="00606842">
            <w:pPr>
              <w:pStyle w:val="BoxListBullet"/>
            </w:pPr>
            <w:r>
              <w:t xml:space="preserve">quality parameters including grades, milling </w:t>
            </w:r>
            <w:r w:rsidR="002329BE">
              <w:t xml:space="preserve">or processing </w:t>
            </w:r>
            <w:r>
              <w:t xml:space="preserve">characteristics, and the extent of </w:t>
            </w:r>
            <w:r w:rsidR="002329BE">
              <w:t xml:space="preserve">any </w:t>
            </w:r>
            <w:r w:rsidR="00840A80">
              <w:t>impurities</w:t>
            </w:r>
          </w:p>
          <w:p w:rsidR="00606842" w:rsidRDefault="00606842" w:rsidP="00606842">
            <w:pPr>
              <w:pStyle w:val="BoxListBullet"/>
            </w:pPr>
            <w:r>
              <w:t>the flo</w:t>
            </w:r>
            <w:r w:rsidR="00840A80">
              <w:t>w rates of oil &amp; gas fields</w:t>
            </w:r>
          </w:p>
          <w:p w:rsidR="00606842" w:rsidRDefault="00606842" w:rsidP="00606842">
            <w:pPr>
              <w:pStyle w:val="BoxListBullet"/>
            </w:pPr>
            <w:r>
              <w:t xml:space="preserve">the complexity of surrounding terrain. </w:t>
            </w:r>
          </w:p>
          <w:p w:rsidR="00606842" w:rsidRDefault="00606842" w:rsidP="00A37D1B">
            <w:pPr>
              <w:pStyle w:val="Box"/>
            </w:pPr>
            <w:r>
              <w:t xml:space="preserve">Ultimately, these factors play a large part in determining the quantities of labour, capital, and intermediate inputs </w:t>
            </w:r>
            <w:r w:rsidR="00A37D1B">
              <w:t>needed to produce each</w:t>
            </w:r>
            <w:r>
              <w:t xml:space="preserve"> unit of industry output.</w:t>
            </w:r>
          </w:p>
        </w:tc>
      </w:tr>
      <w:tr w:rsidR="00606842">
        <w:trPr>
          <w:cantSplit/>
        </w:trPr>
        <w:tc>
          <w:tcPr>
            <w:tcW w:w="8771" w:type="dxa"/>
            <w:tcBorders>
              <w:top w:val="nil"/>
              <w:left w:val="single" w:sz="6" w:space="0" w:color="auto"/>
              <w:bottom w:val="nil"/>
              <w:right w:val="single" w:sz="6" w:space="0" w:color="auto"/>
            </w:tcBorders>
          </w:tcPr>
          <w:p w:rsidR="00606842" w:rsidRDefault="00A37D1B" w:rsidP="00A37D1B">
            <w:pPr>
              <w:pStyle w:val="BoxSource"/>
            </w:pPr>
            <w:r>
              <w:rPr>
                <w:i/>
              </w:rPr>
              <w:t>Source</w:t>
            </w:r>
            <w:r w:rsidR="00606842" w:rsidRPr="00167F06">
              <w:t xml:space="preserve">: </w:t>
            </w:r>
            <w:r w:rsidR="007041F5">
              <w:t>Topp et al</w:t>
            </w:r>
            <w:r>
              <w:t>.</w:t>
            </w:r>
            <w:r w:rsidR="007041F5">
              <w:t xml:space="preserve"> (2008).</w:t>
            </w:r>
          </w:p>
        </w:tc>
      </w:tr>
      <w:tr w:rsidR="00606842">
        <w:trPr>
          <w:cantSplit/>
        </w:trPr>
        <w:tc>
          <w:tcPr>
            <w:tcW w:w="8771" w:type="dxa"/>
            <w:tcBorders>
              <w:top w:val="nil"/>
              <w:left w:val="single" w:sz="6" w:space="0" w:color="auto"/>
              <w:bottom w:val="single" w:sz="6" w:space="0" w:color="auto"/>
              <w:right w:val="single" w:sz="6" w:space="0" w:color="auto"/>
            </w:tcBorders>
          </w:tcPr>
          <w:p w:rsidR="00606842" w:rsidRDefault="00606842">
            <w:pPr>
              <w:pStyle w:val="Box"/>
              <w:spacing w:before="0" w:line="120" w:lineRule="exact"/>
            </w:pPr>
          </w:p>
        </w:tc>
      </w:tr>
      <w:tr w:rsidR="00606842" w:rsidRPr="000863A5">
        <w:tc>
          <w:tcPr>
            <w:tcW w:w="8771" w:type="dxa"/>
            <w:tcBorders>
              <w:top w:val="nil"/>
              <w:left w:val="nil"/>
              <w:bottom w:val="nil"/>
              <w:right w:val="nil"/>
            </w:tcBorders>
          </w:tcPr>
          <w:p w:rsidR="00606842" w:rsidRPr="00626D32" w:rsidRDefault="00606842" w:rsidP="00606842">
            <w:pPr>
              <w:pStyle w:val="BoxSpaceBelow"/>
            </w:pPr>
          </w:p>
        </w:tc>
      </w:tr>
    </w:tbl>
    <w:p w:rsidR="00606842" w:rsidRDefault="00606842" w:rsidP="00606842">
      <w:pPr>
        <w:pStyle w:val="BodyText"/>
        <w:ind w:right="317"/>
      </w:pPr>
      <w:r>
        <w:t xml:space="preserve">In the productivity </w:t>
      </w:r>
      <w:r w:rsidR="007041F5">
        <w:t xml:space="preserve">measurement </w:t>
      </w:r>
      <w:r>
        <w:t xml:space="preserve">framework, any change in the quality of an input is synonymous with a change in the quantity of the input. Hence, a decline in the average quality of resource deposits being mined </w:t>
      </w:r>
      <w:r w:rsidR="005074CE">
        <w:t xml:space="preserve">should </w:t>
      </w:r>
      <w:r>
        <w:t>be considered to be a reduction in the average quantity of inputs these deposits are providing.</w:t>
      </w:r>
    </w:p>
    <w:p w:rsidR="00606842" w:rsidRDefault="00606842" w:rsidP="00606842">
      <w:pPr>
        <w:pStyle w:val="BodyText"/>
        <w:ind w:right="317"/>
      </w:pPr>
      <w:r>
        <w:t xml:space="preserve">Absent true improvements in </w:t>
      </w:r>
      <w:r w:rsidR="00B31B13">
        <w:t>mining</w:t>
      </w:r>
      <w:r>
        <w:t xml:space="preserve"> technology, the general decline in the quality (cost characteristics) of resource deposits being exploited over time place</w:t>
      </w:r>
      <w:r w:rsidR="005074CE">
        <w:t>s</w:t>
      </w:r>
      <w:r>
        <w:t xml:space="preserve"> upward pressure on the quantities of conventionally measured inputs needed to produce each unit of output. This has adverse effects on </w:t>
      </w:r>
      <w:r w:rsidR="0039789D">
        <w:t>M</w:t>
      </w:r>
      <w:r>
        <w:t>ining MFP</w:t>
      </w:r>
      <w:r w:rsidR="0039789D">
        <w:t xml:space="preserve"> growth</w:t>
      </w:r>
      <w:r>
        <w:t>.</w:t>
      </w:r>
    </w:p>
    <w:p w:rsidR="00BA4E94" w:rsidRDefault="00BA4E94">
      <w:pPr>
        <w:rPr>
          <w:szCs w:val="20"/>
        </w:rPr>
      </w:pPr>
      <w:r>
        <w:br w:type="page"/>
      </w:r>
    </w:p>
    <w:p w:rsidR="00DD3CFA" w:rsidRDefault="00606842" w:rsidP="00E17E73">
      <w:pPr>
        <w:pStyle w:val="BodyText"/>
        <w:ind w:right="317"/>
      </w:pPr>
      <w:r>
        <w:t xml:space="preserve">The negative influence on </w:t>
      </w:r>
      <w:r w:rsidR="00B31B13">
        <w:t>Mining</w:t>
      </w:r>
      <w:r>
        <w:t xml:space="preserve"> MFP of declining resource quality </w:t>
      </w:r>
      <w:r w:rsidR="005074CE">
        <w:t>is likely to be</w:t>
      </w:r>
      <w:r>
        <w:t xml:space="preserve"> more pronounced during </w:t>
      </w:r>
      <w:r w:rsidR="00CF7326">
        <w:t xml:space="preserve">periods of higher output prices, as it becomes economic to mine </w:t>
      </w:r>
      <w:r w:rsidR="00A413E7">
        <w:t>less-productive (higher unit-cost)</w:t>
      </w:r>
      <w:r w:rsidR="00CF7326">
        <w:t xml:space="preserve"> </w:t>
      </w:r>
      <w:r w:rsidR="00155C00">
        <w:t>deposits</w:t>
      </w:r>
      <w:r w:rsidR="00CF7326">
        <w:t xml:space="preserve">. </w:t>
      </w:r>
      <w:r w:rsidR="00535489">
        <w:t xml:space="preserve">This is an important point to consider in interpreting the current decline in measured </w:t>
      </w:r>
      <w:r w:rsidR="00B31B13">
        <w:t>productivity in the Australian M</w:t>
      </w:r>
      <w:r w:rsidR="00535489">
        <w:t xml:space="preserve">ining </w:t>
      </w:r>
      <w:r w:rsidR="00B31B13">
        <w:t>industry</w:t>
      </w:r>
      <w:r w:rsidR="00535489">
        <w:t xml:space="preserve">. </w:t>
      </w:r>
      <w:r w:rsidR="00CF7326">
        <w:t xml:space="preserve">The opposite is also true: </w:t>
      </w:r>
      <w:r w:rsidR="00535489">
        <w:t>i</w:t>
      </w:r>
      <w:r w:rsidR="00CF7326">
        <w:t xml:space="preserve">f </w:t>
      </w:r>
      <w:r w:rsidR="00EF7AD1">
        <w:t xml:space="preserve">commodity </w:t>
      </w:r>
      <w:r w:rsidR="00CF7326">
        <w:t>prices drop sharply</w:t>
      </w:r>
      <w:r w:rsidR="00CC65DB">
        <w:t xml:space="preserve"> </w:t>
      </w:r>
      <w:r w:rsidR="00CF7326">
        <w:t xml:space="preserve">miners </w:t>
      </w:r>
      <w:r w:rsidR="00CC65DB">
        <w:t xml:space="preserve">are likely to cut </w:t>
      </w:r>
      <w:r w:rsidR="00CF7326">
        <w:t xml:space="preserve">back on </w:t>
      </w:r>
      <w:r w:rsidR="00535489">
        <w:t xml:space="preserve">production </w:t>
      </w:r>
      <w:r w:rsidR="00CF7326">
        <w:t xml:space="preserve">costs by closing or reducing output at less </w:t>
      </w:r>
      <w:r w:rsidR="007041F5">
        <w:t xml:space="preserve">productive </w:t>
      </w:r>
      <w:r w:rsidR="00EF7AD1">
        <w:t>(</w:t>
      </w:r>
      <w:r w:rsidR="007041F5">
        <w:t xml:space="preserve">and hence </w:t>
      </w:r>
      <w:r w:rsidR="00E61724">
        <w:t xml:space="preserve">less </w:t>
      </w:r>
      <w:r w:rsidR="007041F5">
        <w:t>profitable</w:t>
      </w:r>
      <w:r w:rsidR="00EF7AD1">
        <w:t>)</w:t>
      </w:r>
      <w:r w:rsidR="00C64549">
        <w:t xml:space="preserve"> </w:t>
      </w:r>
      <w:r w:rsidR="00CF7326">
        <w:t>mines and deposits</w:t>
      </w:r>
      <w:r w:rsidR="00CC65DB">
        <w:t xml:space="preserve">, and </w:t>
      </w:r>
      <w:r w:rsidR="0039789D">
        <w:t>this would have a positive effect on MFP growth</w:t>
      </w:r>
      <w:r w:rsidR="00C64549">
        <w:t>.</w:t>
      </w:r>
      <w:r w:rsidR="00DD3CFA" w:rsidRPr="00DD3CFA">
        <w:t xml:space="preserve"> </w:t>
      </w:r>
    </w:p>
    <w:p w:rsidR="00B95C35" w:rsidRPr="00472D50" w:rsidRDefault="00B95C35" w:rsidP="00C764A8">
      <w:pPr>
        <w:pStyle w:val="Heading4"/>
      </w:pPr>
      <w:r w:rsidRPr="00472D50">
        <w:t xml:space="preserve">Utilities </w:t>
      </w:r>
    </w:p>
    <w:p w:rsidR="00CF7326" w:rsidRDefault="009265FB" w:rsidP="00472D50">
      <w:pPr>
        <w:pStyle w:val="BodyText"/>
        <w:tabs>
          <w:tab w:val="left" w:pos="2685"/>
          <w:tab w:val="center" w:pos="4394"/>
        </w:tabs>
      </w:pPr>
      <w:r>
        <w:t xml:space="preserve">In the case of </w:t>
      </w:r>
      <w:r w:rsidR="00B31B13">
        <w:t>Utilities</w:t>
      </w:r>
      <w:r>
        <w:t xml:space="preserve">, </w:t>
      </w:r>
      <w:r w:rsidR="00885E4A">
        <w:t>the unmeasured natural resource inputs used in production</w:t>
      </w:r>
      <w:r w:rsidR="00663BEB">
        <w:t xml:space="preserve"> largely come in the form of renewable environmental services inputs. </w:t>
      </w:r>
      <w:r w:rsidR="00CF7326">
        <w:t xml:space="preserve">There are three main </w:t>
      </w:r>
      <w:r w:rsidR="00663BEB">
        <w:t>types</w:t>
      </w:r>
      <w:r w:rsidR="00CF7326">
        <w:t xml:space="preserve">: </w:t>
      </w:r>
    </w:p>
    <w:p w:rsidR="00CF7326" w:rsidRDefault="00611472" w:rsidP="00CF7326">
      <w:pPr>
        <w:pStyle w:val="ListBullet"/>
        <w:numPr>
          <w:ilvl w:val="0"/>
          <w:numId w:val="17"/>
        </w:numPr>
      </w:pPr>
      <w:r>
        <w:t>W</w:t>
      </w:r>
      <w:r w:rsidR="00CF7326">
        <w:t xml:space="preserve">ater catchments and their associated creeks and rivers </w:t>
      </w:r>
      <w:r>
        <w:t>provide inputs to production in the water industry through their role as</w:t>
      </w:r>
      <w:r w:rsidR="00885E4A">
        <w:t xml:space="preserve"> sites </w:t>
      </w:r>
      <w:r w:rsidR="0012103B">
        <w:t xml:space="preserve">for the capture, </w:t>
      </w:r>
      <w:r w:rsidR="00CF7326">
        <w:t>storage</w:t>
      </w:r>
      <w:r w:rsidR="00E82FA0">
        <w:t>,</w:t>
      </w:r>
      <w:r w:rsidR="0012103B">
        <w:t xml:space="preserve"> and delivery</w:t>
      </w:r>
      <w:r w:rsidR="00497D7D">
        <w:t xml:space="preserve"> </w:t>
      </w:r>
      <w:r w:rsidR="00885E4A">
        <w:t>of urban drinking water</w:t>
      </w:r>
      <w:r w:rsidR="00215813">
        <w:t xml:space="preserve"> and rural irrigation water</w:t>
      </w:r>
      <w:r w:rsidR="00BD6C50">
        <w:t>.</w:t>
      </w:r>
    </w:p>
    <w:p w:rsidR="00CF7326" w:rsidRDefault="00204C50" w:rsidP="00CF7326">
      <w:pPr>
        <w:pStyle w:val="ListBullet"/>
        <w:numPr>
          <w:ilvl w:val="0"/>
          <w:numId w:val="17"/>
        </w:numPr>
      </w:pPr>
      <w:r>
        <w:t>W</w:t>
      </w:r>
      <w:r w:rsidR="00CF7326">
        <w:t>aterways and oceans</w:t>
      </w:r>
      <w:r w:rsidR="00522555">
        <w:t xml:space="preserve"> </w:t>
      </w:r>
      <w:r w:rsidR="00611472">
        <w:t>provide inputs to the water industry through their use as</w:t>
      </w:r>
      <w:r w:rsidR="00522555">
        <w:t xml:space="preserve"> </w:t>
      </w:r>
      <w:r w:rsidR="00CF7326">
        <w:t xml:space="preserve">sinks for the disposal of </w:t>
      </w:r>
      <w:r w:rsidR="00885E4A">
        <w:t>waste-water</w:t>
      </w:r>
      <w:r w:rsidR="00B95C35">
        <w:t xml:space="preserve">. </w:t>
      </w:r>
      <w:r w:rsidR="00A56E38">
        <w:t>Note that t</w:t>
      </w:r>
      <w:r w:rsidR="00B95C35">
        <w:t xml:space="preserve">he </w:t>
      </w:r>
      <w:r w:rsidR="00D77004">
        <w:t>more polluted</w:t>
      </w:r>
      <w:r w:rsidR="00B95C35">
        <w:t xml:space="preserve"> the waste-water</w:t>
      </w:r>
      <w:r w:rsidR="00D77004">
        <w:t xml:space="preserve"> being discharged</w:t>
      </w:r>
      <w:r w:rsidR="00B95C35">
        <w:t xml:space="preserve">, the greater </w:t>
      </w:r>
      <w:r w:rsidR="00D77004">
        <w:t>will be</w:t>
      </w:r>
      <w:r w:rsidR="00522555">
        <w:t xml:space="preserve"> the</w:t>
      </w:r>
      <w:r w:rsidR="00D77004">
        <w:t xml:space="preserve"> </w:t>
      </w:r>
      <w:r w:rsidR="00527509">
        <w:t xml:space="preserve">effective </w:t>
      </w:r>
      <w:r w:rsidR="00522555">
        <w:t>quantity of</w:t>
      </w:r>
      <w:r w:rsidR="00215813">
        <w:t xml:space="preserve"> </w:t>
      </w:r>
      <w:r w:rsidR="00611472">
        <w:t xml:space="preserve">inputs </w:t>
      </w:r>
      <w:r>
        <w:t>(in the form of waste assimilation services) provided by the environment</w:t>
      </w:r>
      <w:r w:rsidR="00BD6C50">
        <w:t>.</w:t>
      </w:r>
    </w:p>
    <w:p w:rsidR="00CF7326" w:rsidRDefault="00522555" w:rsidP="00CF7326">
      <w:pPr>
        <w:pStyle w:val="ListBullet"/>
        <w:numPr>
          <w:ilvl w:val="0"/>
          <w:numId w:val="17"/>
        </w:numPr>
      </w:pPr>
      <w:r>
        <w:t xml:space="preserve">The electricity supply industry derives inputs to production </w:t>
      </w:r>
      <w:r w:rsidR="00204C50">
        <w:t xml:space="preserve">from the </w:t>
      </w:r>
      <w:r w:rsidR="00CF7326">
        <w:t xml:space="preserve">atmosphere (air) </w:t>
      </w:r>
      <w:r w:rsidR="00204C50">
        <w:t>by using it a</w:t>
      </w:r>
      <w:r w:rsidR="00885E4A">
        <w:t xml:space="preserve">s </w:t>
      </w:r>
      <w:r w:rsidR="00CF7326">
        <w:t>a sink for the disposal of waste products</w:t>
      </w:r>
      <w:r w:rsidR="005F472D">
        <w:t>,</w:t>
      </w:r>
      <w:r w:rsidR="00CF7326">
        <w:t xml:space="preserve"> most notably carbon dioxide.</w:t>
      </w:r>
      <w:r w:rsidR="00B95C35">
        <w:t xml:space="preserve"> </w:t>
      </w:r>
      <w:r w:rsidR="00A56E38">
        <w:t>A</w:t>
      </w:r>
      <w:r w:rsidR="00B95C35">
        <w:t xml:space="preserve">gain, the </w:t>
      </w:r>
      <w:r w:rsidR="00611472">
        <w:t>more</w:t>
      </w:r>
      <w:r w:rsidR="00B95C35">
        <w:t xml:space="preserve"> pollut</w:t>
      </w:r>
      <w:r w:rsidR="00611472">
        <w:t xml:space="preserve">ed the waste material, </w:t>
      </w:r>
      <w:r w:rsidR="00B95C35">
        <w:t xml:space="preserve">the greater the </w:t>
      </w:r>
      <w:r w:rsidR="00D77004">
        <w:t xml:space="preserve">effective </w:t>
      </w:r>
      <w:r w:rsidR="00611472">
        <w:t>quantity of</w:t>
      </w:r>
      <w:r w:rsidR="00D77004">
        <w:t xml:space="preserve"> </w:t>
      </w:r>
      <w:r w:rsidR="00204C50">
        <w:t xml:space="preserve">inputs (in the form of waste assimilation services) provided by the </w:t>
      </w:r>
      <w:r w:rsidR="00B95C35">
        <w:t>environment.</w:t>
      </w:r>
    </w:p>
    <w:p w:rsidR="00663BEB" w:rsidRDefault="00C6163A" w:rsidP="00CF7326">
      <w:pPr>
        <w:pStyle w:val="BodyText"/>
      </w:pPr>
      <w:r>
        <w:t>Although</w:t>
      </w:r>
      <w:r w:rsidR="00663BEB">
        <w:t xml:space="preserve"> </w:t>
      </w:r>
      <w:r w:rsidR="005F472D">
        <w:t xml:space="preserve">not as </w:t>
      </w:r>
      <w:r w:rsidR="00BF0CE6">
        <w:t>straightforward</w:t>
      </w:r>
      <w:r w:rsidR="00663BEB">
        <w:t xml:space="preserve"> to conceptualise as </w:t>
      </w:r>
      <w:r w:rsidR="005F472D">
        <w:t>‘</w:t>
      </w:r>
      <w:r w:rsidR="00663BEB">
        <w:t>inputs</w:t>
      </w:r>
      <w:r w:rsidR="005F472D">
        <w:t>’</w:t>
      </w:r>
      <w:r w:rsidR="00663BEB">
        <w:t xml:space="preserve"> compared with </w:t>
      </w:r>
      <w:r w:rsidR="00215813">
        <w:t>the examples</w:t>
      </w:r>
      <w:r w:rsidR="009615D9">
        <w:t xml:space="preserve"> of </w:t>
      </w:r>
      <w:r w:rsidR="00663BEB">
        <w:t xml:space="preserve">rainfall in </w:t>
      </w:r>
      <w:proofErr w:type="spellStart"/>
      <w:r w:rsidR="008C2B88">
        <w:t>AFF</w:t>
      </w:r>
      <w:proofErr w:type="spellEnd"/>
      <w:r>
        <w:t xml:space="preserve"> or coal deposits in </w:t>
      </w:r>
      <w:r w:rsidR="00B31B13">
        <w:t>Mining</w:t>
      </w:r>
      <w:r>
        <w:t xml:space="preserve">, the </w:t>
      </w:r>
      <w:r w:rsidR="00A93CFE">
        <w:t xml:space="preserve">three </w:t>
      </w:r>
      <w:r>
        <w:t xml:space="preserve">environmental services </w:t>
      </w:r>
      <w:r w:rsidR="00A93CFE">
        <w:t>listed above</w:t>
      </w:r>
      <w:r>
        <w:t xml:space="preserve"> </w:t>
      </w:r>
      <w:r w:rsidR="00663BEB">
        <w:t>are just as important to pro</w:t>
      </w:r>
      <w:r w:rsidR="00A93CFE">
        <w:t xml:space="preserve">duction in </w:t>
      </w:r>
      <w:r w:rsidR="00215813">
        <w:t xml:space="preserve">the </w:t>
      </w:r>
      <w:r w:rsidR="00A93CFE">
        <w:t xml:space="preserve">utilities </w:t>
      </w:r>
      <w:r w:rsidR="00215813">
        <w:t xml:space="preserve">industry </w:t>
      </w:r>
      <w:r w:rsidR="00A93CFE">
        <w:t>as conventional inputs.</w:t>
      </w:r>
      <w:r w:rsidR="00A56E38">
        <w:t xml:space="preserve"> Without these inputs, </w:t>
      </w:r>
      <w:r w:rsidR="00025D13">
        <w:t xml:space="preserve">production would either be impossible — no dam site, no </w:t>
      </w:r>
      <w:r w:rsidR="00BF0CE6">
        <w:t xml:space="preserve">reliable </w:t>
      </w:r>
      <w:r w:rsidR="00025D13">
        <w:t>water supply</w:t>
      </w:r>
      <w:r w:rsidR="006249DF">
        <w:t xml:space="preserve"> for example</w:t>
      </w:r>
      <w:r w:rsidR="00025D13">
        <w:t xml:space="preserve"> — or would require businesses to incur significant additional costs</w:t>
      </w:r>
      <w:r w:rsidR="00522555">
        <w:t>.</w:t>
      </w:r>
      <w:r w:rsidR="00703976">
        <w:t xml:space="preserve"> For example, i</w:t>
      </w:r>
      <w:r w:rsidR="00522555">
        <w:t xml:space="preserve">f </w:t>
      </w:r>
      <w:r w:rsidR="00C97DA7">
        <w:t xml:space="preserve">CO2 </w:t>
      </w:r>
      <w:r w:rsidR="00522555">
        <w:t xml:space="preserve">could no longer be discharged directly into the atmosphere, fossil-fuel based electricity generators would </w:t>
      </w:r>
      <w:r w:rsidR="006249DF">
        <w:t>require</w:t>
      </w:r>
      <w:r w:rsidR="00522555">
        <w:t xml:space="preserve"> some</w:t>
      </w:r>
      <w:r w:rsidR="006249DF">
        <w:t xml:space="preserve"> other means </w:t>
      </w:r>
      <w:r w:rsidR="00C3285A">
        <w:t>of</w:t>
      </w:r>
      <w:r w:rsidR="00522555">
        <w:t xml:space="preserve"> dispos</w:t>
      </w:r>
      <w:r w:rsidR="007041F5">
        <w:t>al</w:t>
      </w:r>
      <w:r w:rsidR="006249DF">
        <w:t xml:space="preserve">, such as a carbon capture and storage facility. The latter </w:t>
      </w:r>
      <w:r w:rsidR="00522555">
        <w:t xml:space="preserve">would </w:t>
      </w:r>
      <w:r w:rsidR="006249DF">
        <w:t>al</w:t>
      </w:r>
      <w:r w:rsidR="00522555">
        <w:t xml:space="preserve">most </w:t>
      </w:r>
      <w:r w:rsidR="006249DF">
        <w:t xml:space="preserve">certainly </w:t>
      </w:r>
      <w:r w:rsidR="004C2F98">
        <w:t>come at a much greater cost</w:t>
      </w:r>
      <w:r w:rsidR="007F61F8">
        <w:t xml:space="preserve"> (</w:t>
      </w:r>
      <w:r w:rsidR="00BF0CE6">
        <w:t xml:space="preserve">in terms of </w:t>
      </w:r>
      <w:r w:rsidR="00522555">
        <w:t>conventionally</w:t>
      </w:r>
      <w:r w:rsidR="00703976">
        <w:t>-measured inputs</w:t>
      </w:r>
      <w:r w:rsidR="004C2F98">
        <w:t>)</w:t>
      </w:r>
      <w:r w:rsidR="006249DF">
        <w:t xml:space="preserve"> compared with simply releasing waste material directly into the atmosphere</w:t>
      </w:r>
      <w:r w:rsidR="00025D13">
        <w:t>.</w:t>
      </w:r>
      <w:r w:rsidR="007F61F8">
        <w:t xml:space="preserve"> (In some productivity studies, the issue of pollution is viewed as an unmeasured negative output, rather than an unmeasured input. S</w:t>
      </w:r>
      <w:r w:rsidR="00407E69">
        <w:t>ee box</w:t>
      </w:r>
      <w:r w:rsidR="0007444B">
        <w:t> 4</w:t>
      </w:r>
      <w:r w:rsidR="007F61F8">
        <w:t>)</w:t>
      </w:r>
      <w:r w:rsidR="0007444B">
        <w:t>.</w:t>
      </w:r>
    </w:p>
    <w:p w:rsidR="00407E69" w:rsidRDefault="00407E69" w:rsidP="00407E69">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07E69" w:rsidTr="00A573F9">
        <w:tc>
          <w:tcPr>
            <w:tcW w:w="8771" w:type="dxa"/>
            <w:tcBorders>
              <w:top w:val="single" w:sz="6" w:space="0" w:color="auto"/>
              <w:bottom w:val="nil"/>
            </w:tcBorders>
          </w:tcPr>
          <w:p w:rsidR="00407E69" w:rsidRDefault="00407E69" w:rsidP="0007444B">
            <w:pPr>
              <w:pStyle w:val="BoxTitle"/>
            </w:pPr>
            <w:r>
              <w:rPr>
                <w:b w:val="0"/>
              </w:rPr>
              <w:t xml:space="preserve">Box </w:t>
            </w:r>
            <w:r w:rsidR="0007444B">
              <w:rPr>
                <w:b w:val="0"/>
              </w:rPr>
              <w:t>4</w:t>
            </w:r>
            <w:r>
              <w:tab/>
              <w:t>Is pollution an unmeasured input issue, or a quality of output issue?</w:t>
            </w:r>
          </w:p>
        </w:tc>
      </w:tr>
      <w:tr w:rsidR="00407E69" w:rsidTr="00A573F9">
        <w:trPr>
          <w:cantSplit/>
        </w:trPr>
        <w:tc>
          <w:tcPr>
            <w:tcW w:w="8771" w:type="dxa"/>
            <w:tcBorders>
              <w:top w:val="nil"/>
              <w:left w:val="single" w:sz="6" w:space="0" w:color="auto"/>
              <w:bottom w:val="nil"/>
              <w:right w:val="single" w:sz="6" w:space="0" w:color="auto"/>
            </w:tcBorders>
          </w:tcPr>
          <w:p w:rsidR="00407E69" w:rsidRDefault="00407E69" w:rsidP="003F2D8B">
            <w:pPr>
              <w:pStyle w:val="Box"/>
            </w:pPr>
            <w:r>
              <w:t>In some studies of productivity</w:t>
            </w:r>
            <w:r w:rsidR="007F61F8">
              <w:t xml:space="preserve"> growth</w:t>
            </w:r>
            <w:r>
              <w:t xml:space="preserve"> in the water and electricity sectors, the issue of pollution is viewed as a</w:t>
            </w:r>
            <w:r w:rsidR="00BD6C50">
              <w:t>n unmeasured</w:t>
            </w:r>
            <w:r>
              <w:t xml:space="preserve"> ‘quality of output’ issue, rather than</w:t>
            </w:r>
            <w:r w:rsidR="007F61F8">
              <w:t xml:space="preserve"> as a</w:t>
            </w:r>
            <w:r w:rsidR="00BD6C50">
              <w:t>n unmeasured</w:t>
            </w:r>
            <w:r w:rsidR="007F61F8">
              <w:t xml:space="preserve"> ‘quantity of inputs’</w:t>
            </w:r>
            <w:r>
              <w:t xml:space="preserve"> issue</w:t>
            </w:r>
            <w:r w:rsidR="009431B3">
              <w:t xml:space="preserve"> (s</w:t>
            </w:r>
            <w:r w:rsidR="007F61F8">
              <w:t>ee, for example, Murtough et al</w:t>
            </w:r>
            <w:r w:rsidR="009431B3">
              <w:t xml:space="preserve">, </w:t>
            </w:r>
            <w:r w:rsidR="007F61F8">
              <w:t>200</w:t>
            </w:r>
            <w:r w:rsidR="009431B3">
              <w:t>1</w:t>
            </w:r>
            <w:r w:rsidR="00FD2CDA">
              <w:t>)</w:t>
            </w:r>
            <w:r>
              <w:t xml:space="preserve">. In the former approach, pollution is </w:t>
            </w:r>
            <w:r w:rsidR="007F61F8">
              <w:t>treated as</w:t>
            </w:r>
            <w:r>
              <w:t xml:space="preserve"> a negative output</w:t>
            </w:r>
            <w:r w:rsidR="007F61F8">
              <w:t xml:space="preserve">, so that a </w:t>
            </w:r>
            <w:r w:rsidR="007041F5">
              <w:t>reduction in</w:t>
            </w:r>
            <w:r w:rsidR="007F61F8">
              <w:t xml:space="preserve"> pollution </w:t>
            </w:r>
            <w:r w:rsidR="00815614">
              <w:t>is treated as an increase in the volume of industry output</w:t>
            </w:r>
            <w:r>
              <w:t xml:space="preserve">, and vice versa. </w:t>
            </w:r>
          </w:p>
          <w:p w:rsidR="006117F9" w:rsidRDefault="00BD6C50" w:rsidP="003F2D8B">
            <w:pPr>
              <w:pStyle w:val="Box"/>
            </w:pPr>
            <w:r>
              <w:t>C</w:t>
            </w:r>
            <w:r w:rsidR="00407E69">
              <w:t>haracteris</w:t>
            </w:r>
            <w:r>
              <w:t>ing</w:t>
            </w:r>
            <w:r w:rsidR="00407E69">
              <w:t xml:space="preserve"> the use of the environment to dispose waste material as an unmeasured inputs issue </w:t>
            </w:r>
            <w:r w:rsidR="00DF7699">
              <w:t>(</w:t>
            </w:r>
            <w:r w:rsidR="00407E69">
              <w:t>rather than an unmeasured quality of output issue</w:t>
            </w:r>
            <w:r w:rsidR="00DF7699">
              <w:t>)</w:t>
            </w:r>
            <w:r>
              <w:t xml:space="preserve"> </w:t>
            </w:r>
            <w:r w:rsidR="00407E69">
              <w:t xml:space="preserve">permits the use of the same conceptual framework — the introduction of a </w:t>
            </w:r>
            <w:r w:rsidR="006117F9">
              <w:t xml:space="preserve">single </w:t>
            </w:r>
            <w:r w:rsidR="00407E69">
              <w:t xml:space="preserve">new input term ‘R’ to the production function, as described in box </w:t>
            </w:r>
            <w:r w:rsidR="001D4AFE">
              <w:t>1.</w:t>
            </w:r>
            <w:r w:rsidR="00407E69">
              <w:t xml:space="preserve">2 — for all three industries. </w:t>
            </w:r>
            <w:r w:rsidR="006117F9">
              <w:t xml:space="preserve">The alternative would be to add an adjusted output term to </w:t>
            </w:r>
            <w:r w:rsidR="00EA2C48">
              <w:t xml:space="preserve">equation (3) in box </w:t>
            </w:r>
            <w:r w:rsidR="002830F7">
              <w:t>1.2</w:t>
            </w:r>
            <w:r w:rsidR="006117F9">
              <w:t xml:space="preserve"> to account for </w:t>
            </w:r>
            <w:r w:rsidR="00F55B93">
              <w:t xml:space="preserve">changes in the </w:t>
            </w:r>
            <w:r w:rsidR="00EA2C48">
              <w:t xml:space="preserve">amount of pollution being generated in the </w:t>
            </w:r>
            <w:r w:rsidR="00B31B13">
              <w:t>Utilities</w:t>
            </w:r>
            <w:r w:rsidR="00EA2C48">
              <w:t xml:space="preserve"> industry, and to limit the ‘R’ term to covering the examples of rainfall in </w:t>
            </w:r>
            <w:proofErr w:type="spellStart"/>
            <w:r w:rsidR="008C2B88">
              <w:t>AFF</w:t>
            </w:r>
            <w:proofErr w:type="spellEnd"/>
            <w:r w:rsidR="00EA2C48">
              <w:t xml:space="preserve">, and resource deposits in </w:t>
            </w:r>
            <w:r w:rsidR="00B31B13">
              <w:t>Mining</w:t>
            </w:r>
            <w:r w:rsidR="00EA2C48">
              <w:t xml:space="preserve">. </w:t>
            </w:r>
          </w:p>
          <w:p w:rsidR="00407E69" w:rsidRDefault="006117F9" w:rsidP="007041F5">
            <w:pPr>
              <w:pStyle w:val="Box"/>
            </w:pPr>
            <w:r>
              <w:t>Whatever the treatment, t</w:t>
            </w:r>
            <w:r w:rsidR="00407E69">
              <w:t>he implication</w:t>
            </w:r>
            <w:r>
              <w:t>s for MFP are</w:t>
            </w:r>
            <w:r w:rsidR="00407E69">
              <w:t xml:space="preserve"> the same: conventional estimates </w:t>
            </w:r>
            <w:r w:rsidR="00365A57">
              <w:t xml:space="preserve">of MFP growth </w:t>
            </w:r>
            <w:r w:rsidR="00407E69">
              <w:t xml:space="preserve">will be negatively biased indicators of true technology change if pollution is </w:t>
            </w:r>
            <w:r w:rsidR="007041F5">
              <w:t>reduced</w:t>
            </w:r>
            <w:r w:rsidR="00407E69">
              <w:t xml:space="preserve">, and vice versa. This is because, depending on how the issue is viewed, either input growth is overstated (because </w:t>
            </w:r>
            <w:r w:rsidR="00365A57">
              <w:t xml:space="preserve">the reduction in the use of environmental inputs is ignored, while any </w:t>
            </w:r>
            <w:r w:rsidR="00407E69">
              <w:t xml:space="preserve">increase in </w:t>
            </w:r>
            <w:r w:rsidR="00365A57">
              <w:t xml:space="preserve">the use of </w:t>
            </w:r>
            <w:r w:rsidR="00407E69">
              <w:t>conventional inputs</w:t>
            </w:r>
            <w:r w:rsidR="00365A57">
              <w:t xml:space="preserve"> is counted</w:t>
            </w:r>
            <w:r>
              <w:t>)</w:t>
            </w:r>
            <w:r w:rsidR="00407E69">
              <w:t xml:space="preserve">, or </w:t>
            </w:r>
            <w:r>
              <w:t xml:space="preserve">because </w:t>
            </w:r>
            <w:r w:rsidR="00407E69">
              <w:t>output growth is understated (because the reduction in a negative output is not counted).</w:t>
            </w:r>
          </w:p>
        </w:tc>
      </w:tr>
      <w:tr w:rsidR="00407E69" w:rsidTr="00A573F9">
        <w:trPr>
          <w:cantSplit/>
        </w:trPr>
        <w:tc>
          <w:tcPr>
            <w:tcW w:w="8771" w:type="dxa"/>
            <w:tcBorders>
              <w:top w:val="nil"/>
              <w:left w:val="single" w:sz="6" w:space="0" w:color="auto"/>
              <w:bottom w:val="single" w:sz="6" w:space="0" w:color="auto"/>
              <w:right w:val="single" w:sz="6" w:space="0" w:color="auto"/>
            </w:tcBorders>
          </w:tcPr>
          <w:p w:rsidR="00407E69" w:rsidRDefault="00407E69" w:rsidP="00A573F9">
            <w:pPr>
              <w:pStyle w:val="Box"/>
              <w:spacing w:before="0" w:line="120" w:lineRule="exact"/>
            </w:pPr>
          </w:p>
        </w:tc>
      </w:tr>
      <w:tr w:rsidR="00407E69" w:rsidRPr="000863A5" w:rsidTr="00A573F9">
        <w:tc>
          <w:tcPr>
            <w:tcW w:w="8771" w:type="dxa"/>
            <w:tcBorders>
              <w:top w:val="nil"/>
              <w:left w:val="nil"/>
              <w:bottom w:val="nil"/>
              <w:right w:val="nil"/>
            </w:tcBorders>
          </w:tcPr>
          <w:p w:rsidR="00407E69" w:rsidRPr="00626D32" w:rsidRDefault="00407E69" w:rsidP="00AB3857">
            <w:pPr>
              <w:pStyle w:val="BoxSpaceBelow"/>
            </w:pPr>
          </w:p>
        </w:tc>
      </w:tr>
    </w:tbl>
    <w:p w:rsidR="002017E5" w:rsidRPr="00216B10" w:rsidRDefault="002017E5" w:rsidP="00C93893">
      <w:pPr>
        <w:pStyle w:val="Heading5"/>
      </w:pPr>
      <w:r w:rsidRPr="00216B10">
        <w:t xml:space="preserve">Drivers of change in the use </w:t>
      </w:r>
      <w:r>
        <w:t>or availability of environmental inputs</w:t>
      </w:r>
    </w:p>
    <w:p w:rsidR="002017E5" w:rsidRPr="00C93893" w:rsidRDefault="002017E5" w:rsidP="00C93893">
      <w:pPr>
        <w:pStyle w:val="BodyText"/>
      </w:pPr>
      <w:r w:rsidRPr="00C93893">
        <w:t xml:space="preserve">There are a number of reasons why the quantity (or quality) of natural resource inputs being used in </w:t>
      </w:r>
      <w:r w:rsidR="00F64166">
        <w:t xml:space="preserve">Utilities </w:t>
      </w:r>
      <w:r w:rsidRPr="00C93893">
        <w:t xml:space="preserve">production might decline over time relative to the quantity of conventionally measured inputs. In relation to unmeasured waste-assimilation services provided by the environment, there are limits to the maximum quantity of waste material </w:t>
      </w:r>
      <w:r w:rsidR="00E63045">
        <w:t xml:space="preserve">that </w:t>
      </w:r>
      <w:r w:rsidRPr="00C93893">
        <w:t xml:space="preserve">can be safely assimilated on a renewable basis. Once these limits are reached, producers will need to find alternate ways to process and dispose </w:t>
      </w:r>
      <w:r w:rsidR="00E82FA0">
        <w:t xml:space="preserve">of </w:t>
      </w:r>
      <w:r w:rsidRPr="00C93893">
        <w:t>waste material. To the extent that these alternatives require greater inputs of capital and labour inputs the consequence is lower measured MFP than would otherwise be the case.</w:t>
      </w:r>
      <w:r w:rsidR="00C93893">
        <w:rPr>
          <w:rStyle w:val="FootnoteReference"/>
        </w:rPr>
        <w:footnoteReference w:id="6"/>
      </w:r>
      <w:r w:rsidR="00C93893">
        <w:t xml:space="preserve"> </w:t>
      </w:r>
    </w:p>
    <w:p w:rsidR="002017E5" w:rsidRDefault="002017E5" w:rsidP="002017E5">
      <w:pPr>
        <w:pStyle w:val="BodyText"/>
      </w:pPr>
      <w:r>
        <w:t>In relation to the inputs to production that are provided by dam sites, there are two issues that have implications for conventionally measured productivity. First, the addition of new dams will tend to be adverse for MFP growth on the basis that the quality (cost characteristics) of dam sites is not distributed uniformly, and the best sites tend to be developed first.</w:t>
      </w:r>
      <w:r w:rsidR="00187FAF">
        <w:rPr>
          <w:rStyle w:val="FootnoteReference"/>
        </w:rPr>
        <w:footnoteReference w:id="7"/>
      </w:r>
      <w:r>
        <w:t xml:space="preserve"> Absent true technical progress in dam construction and operation, the conventionally measured costs of supplying water from dams will tend to increase over time because new dam sites will be less ‘productive’ (on average)</w:t>
      </w:r>
      <w:r w:rsidR="00E63045">
        <w:t xml:space="preserve"> than</w:t>
      </w:r>
      <w:r>
        <w:t xml:space="preserve"> those that have already been developed.</w:t>
      </w:r>
    </w:p>
    <w:p w:rsidR="002017E5" w:rsidRDefault="002017E5" w:rsidP="002017E5">
      <w:pPr>
        <w:pStyle w:val="BodyText"/>
      </w:pPr>
      <w:r>
        <w:t xml:space="preserve">Second, because there are natural or physical limits on the number of sites that are suitable for the construction of new dams, once </w:t>
      </w:r>
      <w:r w:rsidRPr="00590413">
        <w:rPr>
          <w:i/>
        </w:rPr>
        <w:t>all</w:t>
      </w:r>
      <w:r>
        <w:t xml:space="preserve"> such sites have been developed it will only be possible to increase industry output by switching to alternate supply technologies. To the extent that the latter require greater quantities of </w:t>
      </w:r>
      <w:r w:rsidRPr="005D6EED">
        <w:rPr>
          <w:i/>
        </w:rPr>
        <w:t>measured</w:t>
      </w:r>
      <w:r>
        <w:t xml:space="preserve"> inputs per unit of water supplied, any shift to non-dam sources of supply will be adverse for </w:t>
      </w:r>
      <w:r w:rsidR="00A31648">
        <w:t xml:space="preserve">conventionally measured </w:t>
      </w:r>
      <w:r>
        <w:t>MFP</w:t>
      </w:r>
      <w:r w:rsidR="00A31648">
        <w:t xml:space="preserve"> growth</w:t>
      </w:r>
      <w:r>
        <w:t>.</w:t>
      </w:r>
      <w:r w:rsidR="00A31648">
        <w:rPr>
          <w:rStyle w:val="FootnoteReference"/>
        </w:rPr>
        <w:footnoteReference w:id="8"/>
      </w:r>
    </w:p>
    <w:p w:rsidR="002017E5" w:rsidRPr="00590413" w:rsidRDefault="002017E5" w:rsidP="00C93893">
      <w:pPr>
        <w:pStyle w:val="Heading5"/>
      </w:pPr>
      <w:r>
        <w:t>Policy and/or regulatory</w:t>
      </w:r>
      <w:r w:rsidRPr="00590413">
        <w:t xml:space="preserve"> </w:t>
      </w:r>
      <w:r>
        <w:t xml:space="preserve">changes </w:t>
      </w:r>
      <w:r w:rsidRPr="00590413">
        <w:t xml:space="preserve">can also influence the </w:t>
      </w:r>
      <w:r>
        <w:t>use of natural resources in production</w:t>
      </w:r>
    </w:p>
    <w:p w:rsidR="002017E5" w:rsidRDefault="00712F01" w:rsidP="00DF7C2D">
      <w:pPr>
        <w:pStyle w:val="BodyText"/>
        <w:widowControl w:val="0"/>
      </w:pPr>
      <w:r>
        <w:t xml:space="preserve">Apart from natural or biological limits, the quantity of natural resources used as inputs to production in </w:t>
      </w:r>
      <w:r w:rsidR="00B31B13">
        <w:t>Utilities</w:t>
      </w:r>
      <w:r>
        <w:t xml:space="preserve"> </w:t>
      </w:r>
      <w:r w:rsidR="00420FA6">
        <w:t>is</w:t>
      </w:r>
      <w:r>
        <w:t xml:space="preserve"> influenced by p</w:t>
      </w:r>
      <w:r w:rsidR="002017E5">
        <w:t>olicy or regulatory changes</w:t>
      </w:r>
      <w:r w:rsidR="001B73CD">
        <w:t xml:space="preserve"> </w:t>
      </w:r>
      <w:r w:rsidR="001E413B">
        <w:t>that alter the conditions of access to environmental services</w:t>
      </w:r>
      <w:r w:rsidR="002017E5">
        <w:t>.</w:t>
      </w:r>
      <w:r w:rsidR="001B73CD" w:rsidRPr="001B73CD">
        <w:t xml:space="preserve"> </w:t>
      </w:r>
      <w:r w:rsidR="001B73CD">
        <w:t xml:space="preserve">A good example </w:t>
      </w:r>
      <w:r w:rsidR="001E413B">
        <w:t xml:space="preserve">is </w:t>
      </w:r>
      <w:r w:rsidR="001151F6">
        <w:t xml:space="preserve">the adoption of </w:t>
      </w:r>
      <w:r w:rsidR="001E413B">
        <w:t>stricter pollution standards</w:t>
      </w:r>
      <w:r w:rsidR="001151F6">
        <w:t xml:space="preserve">, which effectively reduce the extent to which </w:t>
      </w:r>
      <w:r w:rsidR="00B31B13">
        <w:t>Utilities</w:t>
      </w:r>
      <w:r w:rsidR="001151F6">
        <w:t xml:space="preserve"> businesses can utilise the capacity of the environment</w:t>
      </w:r>
      <w:r w:rsidR="001151F6" w:rsidRPr="001151F6">
        <w:t xml:space="preserve"> </w:t>
      </w:r>
      <w:r w:rsidR="001151F6">
        <w:t xml:space="preserve">to assimilate waste material. To the extent that any changes to policy or regulatory settings </w:t>
      </w:r>
      <w:r w:rsidR="00420FA6">
        <w:t xml:space="preserve">ultimately </w:t>
      </w:r>
      <w:r w:rsidR="001151F6">
        <w:t xml:space="preserve">require businesses in </w:t>
      </w:r>
      <w:r w:rsidR="00B31B13">
        <w:t>Utilities</w:t>
      </w:r>
      <w:r w:rsidR="001151F6">
        <w:t xml:space="preserve"> to adopt production technologies that are higher-cost (in terms of conventionally measured inputs)</w:t>
      </w:r>
      <w:r w:rsidR="008333B0">
        <w:t xml:space="preserve"> and less intensive in the use of ‘unmeasured’ natural resource</w:t>
      </w:r>
      <w:r w:rsidR="00005193">
        <w:t xml:space="preserve"> inputs</w:t>
      </w:r>
      <w:r w:rsidR="001151F6">
        <w:t>, the impact on MFP will be negative.</w:t>
      </w:r>
      <w:r w:rsidR="008333B0">
        <w:rPr>
          <w:rStyle w:val="FootnoteReference"/>
        </w:rPr>
        <w:footnoteReference w:id="9"/>
      </w:r>
    </w:p>
    <w:p w:rsidR="00EA3ADF" w:rsidRDefault="00FA4092" w:rsidP="00DE5B11">
      <w:pPr>
        <w:pStyle w:val="Heading3"/>
        <w:keepLines/>
      </w:pPr>
      <w:r>
        <w:t>The scale of the effect</w:t>
      </w:r>
    </w:p>
    <w:p w:rsidR="00B1367E" w:rsidRDefault="00B1367E" w:rsidP="00DE5B11">
      <w:pPr>
        <w:pStyle w:val="BodyText"/>
        <w:keepNext/>
        <w:keepLines/>
      </w:pPr>
      <w:r>
        <w:t xml:space="preserve">Some recent research provides quantitative and qualitative evidence that the problem of unmeasured changes to the quantity and/or quality of natural resource inputs being used in production </w:t>
      </w:r>
      <w:r w:rsidR="009F1C21">
        <w:t xml:space="preserve">has </w:t>
      </w:r>
      <w:r>
        <w:t>play</w:t>
      </w:r>
      <w:r w:rsidR="009F1C21">
        <w:t>ed</w:t>
      </w:r>
      <w:r>
        <w:t xml:space="preserve"> a major role in explaining recent periods of negative MFP growth in </w:t>
      </w:r>
      <w:proofErr w:type="spellStart"/>
      <w:r w:rsidR="008C2B88">
        <w:t>AFF</w:t>
      </w:r>
      <w:proofErr w:type="spellEnd"/>
      <w:r>
        <w:t xml:space="preserve">, </w:t>
      </w:r>
      <w:r w:rsidR="00B31B13">
        <w:t>Mining</w:t>
      </w:r>
      <w:r>
        <w:t xml:space="preserve"> and </w:t>
      </w:r>
      <w:r w:rsidR="00B31B13">
        <w:t>Utilities</w:t>
      </w:r>
      <w:r>
        <w:t>. Each industry is considered in turn.</w:t>
      </w:r>
    </w:p>
    <w:p w:rsidR="00861FD6" w:rsidRPr="00861FD6" w:rsidRDefault="00861FD6" w:rsidP="0010168E">
      <w:pPr>
        <w:pStyle w:val="Heading4"/>
      </w:pPr>
      <w:r w:rsidRPr="00861FD6">
        <w:t>Agriculture</w:t>
      </w:r>
      <w:r w:rsidR="00AD51BE">
        <w:t>, forestry and fishing</w:t>
      </w:r>
    </w:p>
    <w:p w:rsidR="00462762" w:rsidRDefault="00462762" w:rsidP="00015E54">
      <w:pPr>
        <w:pStyle w:val="BodyText"/>
      </w:pPr>
      <w:r>
        <w:t xml:space="preserve">In the case of </w:t>
      </w:r>
      <w:proofErr w:type="spellStart"/>
      <w:r w:rsidR="008C2B88">
        <w:t>AFF</w:t>
      </w:r>
      <w:proofErr w:type="spellEnd"/>
      <w:r>
        <w:t xml:space="preserve">, changes in rainfall inputs can be substantial from year to year, </w:t>
      </w:r>
      <w:r w:rsidR="00C764A8">
        <w:t>although</w:t>
      </w:r>
      <w:r>
        <w:t xml:space="preserve"> there is less variability over the long term. </w:t>
      </w:r>
      <w:r w:rsidR="00474138">
        <w:t>T</w:t>
      </w:r>
      <w:r>
        <w:t>he implication is</w:t>
      </w:r>
      <w:r w:rsidR="00DA21D3">
        <w:t xml:space="preserve"> that </w:t>
      </w:r>
      <w:r w:rsidR="00C764A8">
        <w:t xml:space="preserve">the impact of changes in </w:t>
      </w:r>
      <w:r w:rsidR="00DA21D3">
        <w:t xml:space="preserve">rainfall </w:t>
      </w:r>
      <w:r w:rsidR="00C764A8">
        <w:t xml:space="preserve">on industry output </w:t>
      </w:r>
      <w:r w:rsidR="00DA21D3">
        <w:t>will</w:t>
      </w:r>
      <w:r w:rsidR="009F1C21">
        <w:t xml:space="preserve"> usually be observed in</w:t>
      </w:r>
      <w:r w:rsidR="00DA21D3">
        <w:t xml:space="preserve"> short term </w:t>
      </w:r>
      <w:r w:rsidR="00E82FA0">
        <w:t xml:space="preserve">(1-2 years) </w:t>
      </w:r>
      <w:r w:rsidR="00DA21D3">
        <w:t>estimates of M</w:t>
      </w:r>
      <w:r w:rsidR="00861FD6">
        <w:t>FP</w:t>
      </w:r>
      <w:r w:rsidR="00DA21D3">
        <w:t xml:space="preserve"> growth, but will </w:t>
      </w:r>
      <w:r w:rsidR="009F1C21">
        <w:t>have less of an impact on</w:t>
      </w:r>
      <w:r w:rsidR="00DA21D3">
        <w:t xml:space="preserve"> the </w:t>
      </w:r>
      <w:r w:rsidR="00861FD6">
        <w:t>average</w:t>
      </w:r>
      <w:r w:rsidR="00C764A8">
        <w:t xml:space="preserve"> rate of growth</w:t>
      </w:r>
      <w:r w:rsidR="00E82FA0">
        <w:t xml:space="preserve"> over a longer period</w:t>
      </w:r>
      <w:r w:rsidR="00861FD6">
        <w:t>.</w:t>
      </w:r>
      <w:r w:rsidR="00474138">
        <w:t xml:space="preserve"> </w:t>
      </w:r>
    </w:p>
    <w:p w:rsidR="00A01411" w:rsidRDefault="001740F7" w:rsidP="00015E54">
      <w:pPr>
        <w:pStyle w:val="BodyText"/>
      </w:pPr>
      <w:r>
        <w:t>T</w:t>
      </w:r>
      <w:r w:rsidR="00015E54">
        <w:t xml:space="preserve">he </w:t>
      </w:r>
      <w:r w:rsidR="002F3DDB">
        <w:t>link</w:t>
      </w:r>
      <w:r w:rsidR="00015E54">
        <w:t xml:space="preserve"> between annual changes in rainfall and annual changes in MFP is quite strong</w:t>
      </w:r>
      <w:r w:rsidR="00E82FA0">
        <w:t xml:space="preserve">. </w:t>
      </w:r>
      <w:r w:rsidR="00015E54">
        <w:t xml:space="preserve">In </w:t>
      </w:r>
      <w:r w:rsidR="00A01411">
        <w:t>figure</w:t>
      </w:r>
      <w:r w:rsidR="00E82FA0">
        <w:t xml:space="preserve"> 2</w:t>
      </w:r>
      <w:r w:rsidR="00015E54">
        <w:t xml:space="preserve">, </w:t>
      </w:r>
      <w:r w:rsidR="00A01411">
        <w:t xml:space="preserve">average annual </w:t>
      </w:r>
      <w:r w:rsidR="00015E54">
        <w:t>rainfall</w:t>
      </w:r>
      <w:r w:rsidR="00A01411">
        <w:t xml:space="preserve"> in the Murray-Darling Basin </w:t>
      </w:r>
      <w:r w:rsidR="00CD5639">
        <w:t>(</w:t>
      </w:r>
      <w:proofErr w:type="spellStart"/>
      <w:r w:rsidR="00CD5639">
        <w:t>MDB</w:t>
      </w:r>
      <w:proofErr w:type="spellEnd"/>
      <w:r w:rsidR="00CD5639">
        <w:t xml:space="preserve">) </w:t>
      </w:r>
      <w:r w:rsidR="00A01411">
        <w:t xml:space="preserve">is used as a proxy for aggregate or </w:t>
      </w:r>
      <w:r w:rsidR="0059050D">
        <w:t>nationwide</w:t>
      </w:r>
      <w:r w:rsidR="00A01411">
        <w:t xml:space="preserve"> rainfall on the basis that </w:t>
      </w:r>
      <w:r w:rsidR="00015E54">
        <w:t xml:space="preserve">the </w:t>
      </w:r>
      <w:r w:rsidR="00CD5639">
        <w:t>basin</w:t>
      </w:r>
      <w:r w:rsidR="00015E54">
        <w:t xml:space="preserve"> </w:t>
      </w:r>
      <w:r w:rsidR="00A01411">
        <w:t>is a large an</w:t>
      </w:r>
      <w:r w:rsidR="005C0950">
        <w:t>d</w:t>
      </w:r>
      <w:r w:rsidR="00A01411">
        <w:t xml:space="preserve"> important agricultural region that </w:t>
      </w:r>
      <w:r w:rsidR="00015E54">
        <w:t xml:space="preserve">accounts for </w:t>
      </w:r>
      <w:r w:rsidR="00A01411">
        <w:t xml:space="preserve">just under one </w:t>
      </w:r>
      <w:r w:rsidR="00015E54">
        <w:t>half of total industry output (around 40 per cent of total agricultural income and over 50 per cent of the total value of cereals grown for grain</w:t>
      </w:r>
      <w:r w:rsidR="009C2928">
        <w:t>).</w:t>
      </w:r>
      <w:r w:rsidR="00015E54">
        <w:rPr>
          <w:rStyle w:val="FootnoteReference"/>
        </w:rPr>
        <w:footnoteReference w:id="10"/>
      </w:r>
      <w:r w:rsidR="00015E54">
        <w:t xml:space="preserve"> </w:t>
      </w:r>
    </w:p>
    <w:p w:rsidR="0060647A" w:rsidRDefault="0060647A" w:rsidP="0060647A">
      <w:pPr>
        <w:pStyle w:val="BodyText"/>
      </w:pPr>
      <w:r>
        <w:t>In years when there are widespread and significant declines in average annual rainfall (major droughts), aggregate agricultural output in Australia typically falls sharply, dragging down MFP (figure 3). While conventionally measured inputs like capital and labour can also fall during major drought years, they do not generally fall by as much as the reductions in output.</w:t>
      </w:r>
    </w:p>
    <w:p w:rsidR="0060647A" w:rsidRDefault="0060647A" w:rsidP="00015E54">
      <w:pPr>
        <w:pStyle w:val="BodyText"/>
      </w:pPr>
    </w:p>
    <w:p w:rsidR="00015E54" w:rsidRDefault="00015E54" w:rsidP="00015E54">
      <w:pPr>
        <w:pStyle w:val="FigureTitle"/>
      </w:pPr>
      <w:r>
        <w:rPr>
          <w:b w:val="0"/>
        </w:rPr>
        <w:t xml:space="preserve">Figure </w:t>
      </w:r>
      <w:r w:rsidR="0007444B">
        <w:rPr>
          <w:b w:val="0"/>
        </w:rPr>
        <w:t>2</w:t>
      </w:r>
      <w:r>
        <w:tab/>
        <w:t xml:space="preserve">Rainfall in the Murray-Darling Basin and MFP in </w:t>
      </w:r>
      <w:proofErr w:type="spellStart"/>
      <w:r w:rsidR="008C2B88">
        <w:t>AFF</w:t>
      </w:r>
      <w:proofErr w:type="spellEnd"/>
    </w:p>
    <w:p w:rsidR="00015E54" w:rsidRDefault="00015E54" w:rsidP="00015E54">
      <w:pPr>
        <w:pStyle w:val="Subtitle"/>
      </w:pPr>
      <w:r>
        <w:t>mm and index 2009-10=100</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015E54" w:rsidTr="00015E54">
        <w:tc>
          <w:tcPr>
            <w:tcW w:w="8777" w:type="dxa"/>
          </w:tcPr>
          <w:p w:rsidR="00015E54" w:rsidRDefault="000A2FD0" w:rsidP="0060647A">
            <w:pPr>
              <w:pStyle w:val="Figure"/>
              <w:spacing w:before="0" w:after="0"/>
            </w:pPr>
            <w:r>
              <w:pict>
                <v:shape id="_x0000_i1026" type="#_x0000_t75" alt="Figure 2 Rainfall in the Murray-Darling Basin and MFP in AFF.  Displays an index of mutlifactor productivity growth in Agriculture and an index of annual rainfall in the Murray Darling Basin. The period covered is 1974-75 to 2011-12." style="width:425.35pt;height:225.45pt">
                  <v:imagedata r:id="rId11" o:title=""/>
                </v:shape>
              </w:pict>
            </w:r>
          </w:p>
        </w:tc>
      </w:tr>
    </w:tbl>
    <w:p w:rsidR="00015E54" w:rsidRDefault="00015E54" w:rsidP="00015E54">
      <w:pPr>
        <w:pStyle w:val="Note"/>
      </w:pPr>
      <w:r>
        <w:rPr>
          <w:rStyle w:val="NoteLabel"/>
        </w:rPr>
        <w:t>a</w:t>
      </w:r>
      <w:r>
        <w:t xml:space="preserve"> MFP is measured on a fiscal year basis (1 July to 30 June), while rainfall is measured on a calendar year basis such that rainfall in calendar 1974 is labelled 1974-75 etc.</w:t>
      </w:r>
    </w:p>
    <w:p w:rsidR="00015E54" w:rsidRDefault="00015E54" w:rsidP="00015E54">
      <w:pPr>
        <w:pStyle w:val="Source"/>
        <w:jc w:val="left"/>
      </w:pPr>
      <w:r>
        <w:rPr>
          <w:i/>
        </w:rPr>
        <w:t>Data source</w:t>
      </w:r>
      <w:r w:rsidRPr="00167F06">
        <w:t>:</w:t>
      </w:r>
      <w:r w:rsidR="001A02D7" w:rsidRPr="001A02D7">
        <w:t xml:space="preserve"> </w:t>
      </w:r>
      <w:r w:rsidR="001A02D7">
        <w:t xml:space="preserve">ABS </w:t>
      </w:r>
      <w:proofErr w:type="spellStart"/>
      <w:r w:rsidR="001A02D7">
        <w:t>2012</w:t>
      </w:r>
      <w:r w:rsidR="00CB74CB">
        <w:t>b</w:t>
      </w:r>
      <w:proofErr w:type="spellEnd"/>
      <w:r w:rsidR="001A02D7">
        <w:t xml:space="preserve"> (</w:t>
      </w:r>
      <w:r w:rsidR="001A02D7" w:rsidRPr="00E96465">
        <w:rPr>
          <w:i/>
        </w:rPr>
        <w:t>Estimates of Industry Multifactor Productivity, 2011-12</w:t>
      </w:r>
      <w:r w:rsidR="001A02D7">
        <w:t xml:space="preserve">, Cat. no. </w:t>
      </w:r>
      <w:r w:rsidR="001A02D7" w:rsidRPr="00EF6BFD">
        <w:t>5260.0.55.002</w:t>
      </w:r>
      <w:r w:rsidR="001A02D7">
        <w:t>, December 2012); PC estimates</w:t>
      </w:r>
      <w:r w:rsidR="00C93893">
        <w:t xml:space="preserve"> and Bureau of Meteorology, </w:t>
      </w:r>
      <w:r>
        <w:t>(</w:t>
      </w:r>
      <w:r w:rsidR="00A01411" w:rsidRPr="00C93893">
        <w:t>http://</w:t>
      </w:r>
      <w:proofErr w:type="spellStart"/>
      <w:r w:rsidR="00A01411" w:rsidRPr="00C93893">
        <w:t>www.bom.gov.au</w:t>
      </w:r>
      <w:proofErr w:type="spellEnd"/>
      <w:r w:rsidR="00A01411" w:rsidRPr="00C93893">
        <w:t>/</w:t>
      </w:r>
      <w:proofErr w:type="spellStart"/>
      <w:r w:rsidR="00A01411" w:rsidRPr="00C93893">
        <w:t>web01</w:t>
      </w:r>
      <w:proofErr w:type="spellEnd"/>
      <w:r w:rsidR="00A01411" w:rsidRPr="00C93893">
        <w:t>/</w:t>
      </w:r>
      <w:proofErr w:type="spellStart"/>
      <w:r w:rsidR="00A01411" w:rsidRPr="00C93893">
        <w:t>ncc</w:t>
      </w:r>
      <w:proofErr w:type="spellEnd"/>
      <w:r w:rsidR="00A01411" w:rsidRPr="00C93893">
        <w:t>/www/</w:t>
      </w:r>
      <w:proofErr w:type="spellStart"/>
      <w:r w:rsidR="00A01411" w:rsidRPr="00C93893">
        <w:t>cli_chg</w:t>
      </w:r>
      <w:proofErr w:type="spellEnd"/>
      <w:r w:rsidR="00C93893">
        <w:br/>
      </w:r>
      <w:r w:rsidR="00A01411" w:rsidRPr="00C93893">
        <w:t>/</w:t>
      </w:r>
      <w:proofErr w:type="spellStart"/>
      <w:r w:rsidR="00A01411" w:rsidRPr="00C93893">
        <w:t>timeseries</w:t>
      </w:r>
      <w:proofErr w:type="spellEnd"/>
      <w:r w:rsidR="00A01411" w:rsidRPr="00C93893">
        <w:t>/rain/0112/</w:t>
      </w:r>
      <w:proofErr w:type="spellStart"/>
      <w:r w:rsidR="00A01411" w:rsidRPr="00C93893">
        <w:t>mdb</w:t>
      </w:r>
      <w:proofErr w:type="spellEnd"/>
      <w:r w:rsidR="00A01411" w:rsidRPr="00C93893">
        <w:t>/</w:t>
      </w:r>
      <w:proofErr w:type="spellStart"/>
      <w:r w:rsidR="00A01411" w:rsidRPr="00C93893">
        <w:t>latest.txt</w:t>
      </w:r>
      <w:proofErr w:type="spellEnd"/>
      <w:r>
        <w:t>)</w:t>
      </w:r>
    </w:p>
    <w:p w:rsidR="00015E54" w:rsidRDefault="00015E54" w:rsidP="0060647A">
      <w:pPr>
        <w:pStyle w:val="FigureTitle"/>
        <w:spacing w:before="320"/>
      </w:pPr>
      <w:r w:rsidRPr="00C93893">
        <w:rPr>
          <w:b w:val="0"/>
        </w:rPr>
        <w:t xml:space="preserve">Figure </w:t>
      </w:r>
      <w:r w:rsidR="0007444B">
        <w:rPr>
          <w:b w:val="0"/>
        </w:rPr>
        <w:t>3</w:t>
      </w:r>
      <w:r>
        <w:tab/>
        <w:t xml:space="preserve">Inputs, output and MFP in </w:t>
      </w:r>
      <w:proofErr w:type="spellStart"/>
      <w:r w:rsidR="008C2B88">
        <w:t>AFF</w:t>
      </w:r>
      <w:proofErr w:type="spellEnd"/>
      <w:r w:rsidRPr="00C93893">
        <w:rPr>
          <w:rStyle w:val="NoteLabel"/>
          <w:b/>
        </w:rPr>
        <w:t>a</w:t>
      </w:r>
    </w:p>
    <w:p w:rsidR="00015E54" w:rsidRDefault="00015E54" w:rsidP="00015E54">
      <w:pPr>
        <w:pStyle w:val="Subtitle"/>
      </w:pPr>
      <w:r>
        <w:t>Indexes (2009-10=100)</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015E54" w:rsidTr="00015E54">
        <w:tc>
          <w:tcPr>
            <w:tcW w:w="8777" w:type="dxa"/>
          </w:tcPr>
          <w:p w:rsidR="00015E54" w:rsidRPr="00D6514F" w:rsidRDefault="000A2FD0" w:rsidP="0060647A">
            <w:pPr>
              <w:pStyle w:val="Figure"/>
              <w:spacing w:before="0" w:after="0"/>
              <w:rPr>
                <w:sz w:val="16"/>
                <w:szCs w:val="16"/>
              </w:rPr>
            </w:pPr>
            <w:r>
              <w:rPr>
                <w:sz w:val="16"/>
                <w:szCs w:val="16"/>
              </w:rPr>
              <w:pict>
                <v:shape id="_x0000_i1027" type="#_x0000_t75" alt="Figure 3 Inputs, output and MFP in AFFa.  Displays indexes of multifactor productivity, output, and total inputs in the Agriculture industry. The period covered is 1989-90 to 2011-12." style="width:425.35pt;height:225.45pt">
                  <v:imagedata r:id="rId12" o:title=""/>
                </v:shape>
              </w:pict>
            </w:r>
          </w:p>
        </w:tc>
      </w:tr>
    </w:tbl>
    <w:p w:rsidR="0060647A" w:rsidRDefault="00015E54" w:rsidP="0060647A">
      <w:pPr>
        <w:pStyle w:val="Note"/>
      </w:pPr>
      <w:r>
        <w:rPr>
          <w:rStyle w:val="NoteLabel"/>
        </w:rPr>
        <w:t>a</w:t>
      </w:r>
      <w:r>
        <w:t xml:space="preserve"> Note that the MFP series in this figure is value added based MFP, where </w:t>
      </w:r>
      <w:r w:rsidR="008F67C3" w:rsidRPr="00865737">
        <w:rPr>
          <w:i/>
        </w:rPr>
        <w:t>Output</w:t>
      </w:r>
      <w:r w:rsidR="008F67C3">
        <w:t xml:space="preserve"> is</w:t>
      </w:r>
      <w:r>
        <w:t xml:space="preserve"> </w:t>
      </w:r>
      <w:r w:rsidR="008F67C3">
        <w:t>r</w:t>
      </w:r>
      <w:r w:rsidR="00F243D6">
        <w:t xml:space="preserve">eal </w:t>
      </w:r>
      <w:r w:rsidR="008F67C3">
        <w:t>g</w:t>
      </w:r>
      <w:r>
        <w:t xml:space="preserve">ross </w:t>
      </w:r>
      <w:r w:rsidR="008F67C3">
        <w:t>v</w:t>
      </w:r>
      <w:r>
        <w:t xml:space="preserve">alue </w:t>
      </w:r>
      <w:r w:rsidR="008F67C3">
        <w:t>a</w:t>
      </w:r>
      <w:r>
        <w:t xml:space="preserve">dded, </w:t>
      </w:r>
      <w:r w:rsidR="008F67C3">
        <w:t xml:space="preserve">and </w:t>
      </w:r>
      <w:r>
        <w:t xml:space="preserve">is defined as real gross output (production) less real intermediate inputs, and </w:t>
      </w:r>
      <w:r w:rsidR="00BE145D" w:rsidRPr="00865737">
        <w:rPr>
          <w:i/>
        </w:rPr>
        <w:t>T</w:t>
      </w:r>
      <w:r w:rsidRPr="00865737">
        <w:rPr>
          <w:i/>
        </w:rPr>
        <w:t>otal inputs</w:t>
      </w:r>
      <w:r>
        <w:t xml:space="preserve"> is defined as the cost-share weighted average of labour and capital inputs, also measured in volume terms. </w:t>
      </w:r>
    </w:p>
    <w:p w:rsidR="00015E54" w:rsidRDefault="00015E54" w:rsidP="0060647A">
      <w:pPr>
        <w:pStyle w:val="Note"/>
      </w:pPr>
      <w:r w:rsidRPr="0060647A">
        <w:rPr>
          <w:rStyle w:val="SourceChar"/>
          <w:i/>
        </w:rPr>
        <w:t>Data source:</w:t>
      </w:r>
      <w:r w:rsidRPr="0060647A">
        <w:rPr>
          <w:rStyle w:val="SourceChar"/>
        </w:rPr>
        <w:t xml:space="preserve"> </w:t>
      </w:r>
      <w:r w:rsidR="0047046A" w:rsidRPr="0060647A">
        <w:rPr>
          <w:rStyle w:val="SourceChar"/>
        </w:rPr>
        <w:t xml:space="preserve">ABS </w:t>
      </w:r>
      <w:proofErr w:type="spellStart"/>
      <w:r w:rsidR="0047046A" w:rsidRPr="0060647A">
        <w:rPr>
          <w:rStyle w:val="SourceChar"/>
        </w:rPr>
        <w:t>2012</w:t>
      </w:r>
      <w:r w:rsidR="00CB74CB" w:rsidRPr="0060647A">
        <w:rPr>
          <w:rStyle w:val="SourceChar"/>
        </w:rPr>
        <w:t>b</w:t>
      </w:r>
      <w:proofErr w:type="spellEnd"/>
      <w:r w:rsidR="0047046A" w:rsidRPr="0060647A">
        <w:rPr>
          <w:rStyle w:val="SourceChar"/>
        </w:rPr>
        <w:t xml:space="preserve"> (Estimates of Industry Multifactor Productivity, 2011-12, Cat. no. 5260.0.55.002,</w:t>
      </w:r>
      <w:r w:rsidR="0047046A">
        <w:t xml:space="preserve"> December 2012</w:t>
      </w:r>
      <w:r>
        <w:t>).</w:t>
      </w:r>
    </w:p>
    <w:p w:rsidR="00015E54" w:rsidRDefault="00015E54" w:rsidP="00015E54">
      <w:pPr>
        <w:pStyle w:val="BodyText"/>
      </w:pPr>
      <w:r>
        <w:t>Widespread droughts in Australia often last just one year however, and MFP generally recovers all of its ‘losses’ in the s</w:t>
      </w:r>
      <w:r w:rsidR="00402083">
        <w:t xml:space="preserve">ubsequent year. </w:t>
      </w:r>
      <w:r>
        <w:t>Examples for the 1994-95 and 2002-03 droughts are highlighted in figure</w:t>
      </w:r>
      <w:r w:rsidR="00D65A40">
        <w:t xml:space="preserve"> </w:t>
      </w:r>
      <w:r w:rsidR="0007444B">
        <w:t>3</w:t>
      </w:r>
      <w:r>
        <w:t xml:space="preserve">. Estimates of annual MFP growth </w:t>
      </w:r>
      <w:r w:rsidR="003B707F">
        <w:t>are negative</w:t>
      </w:r>
      <w:r>
        <w:t xml:space="preserve"> in drought years, and </w:t>
      </w:r>
      <w:r w:rsidR="00C115A3">
        <w:t>rise above trend</w:t>
      </w:r>
      <w:r>
        <w:t xml:space="preserve"> in drought recovery years. </w:t>
      </w:r>
    </w:p>
    <w:p w:rsidR="00015E54" w:rsidRDefault="00015E54" w:rsidP="00015E54">
      <w:pPr>
        <w:pStyle w:val="BodyText"/>
      </w:pPr>
      <w:r>
        <w:t xml:space="preserve">Because these ‘annual’ events in </w:t>
      </w:r>
      <w:proofErr w:type="spellStart"/>
      <w:r w:rsidR="008C2B88">
        <w:t>AFF</w:t>
      </w:r>
      <w:proofErr w:type="spellEnd"/>
      <w:r>
        <w:t xml:space="preserve"> tend not</w:t>
      </w:r>
      <w:r w:rsidR="00187FAF">
        <w:t xml:space="preserve"> to</w:t>
      </w:r>
      <w:r>
        <w:t xml:space="preserve"> coincide with the beginning or end years of the market sector productivity ‘cycles’ (which are chosen to help smooth out the adverse influence of fluctuations in the business cycle on the utilisation of capital and labour inputs), they </w:t>
      </w:r>
      <w:r w:rsidR="00B1367E">
        <w:t xml:space="preserve">usually </w:t>
      </w:r>
      <w:r>
        <w:t xml:space="preserve">do not </w:t>
      </w:r>
      <w:r w:rsidR="003B707F">
        <w:t>affect</w:t>
      </w:r>
      <w:r>
        <w:t xml:space="preserve"> the </w:t>
      </w:r>
      <w:r w:rsidR="0059050D">
        <w:t>economywide</w:t>
      </w:r>
      <w:r>
        <w:t xml:space="preserve"> MFP results</w:t>
      </w:r>
      <w:r w:rsidR="003B707F">
        <w:t xml:space="preserve"> over the productivity cycle</w:t>
      </w:r>
      <w:r>
        <w:t>.</w:t>
      </w:r>
      <w:r>
        <w:rPr>
          <w:rStyle w:val="FootnoteReference"/>
        </w:rPr>
        <w:footnoteReference w:id="11"/>
      </w:r>
    </w:p>
    <w:p w:rsidR="00EA3ADF" w:rsidRDefault="00015E54" w:rsidP="00015E54">
      <w:pPr>
        <w:pStyle w:val="BodyText"/>
      </w:pPr>
      <w:r>
        <w:t xml:space="preserve">However, </w:t>
      </w:r>
      <w:r w:rsidR="00B1367E">
        <w:t xml:space="preserve">the </w:t>
      </w:r>
      <w:r>
        <w:t>extended period of below average r</w:t>
      </w:r>
      <w:r w:rsidR="00BA4E94">
        <w:t xml:space="preserve">ainfall </w:t>
      </w:r>
      <w:r w:rsidR="00E82FA0">
        <w:t>from 2006-07</w:t>
      </w:r>
      <w:r w:rsidR="00BA4E94">
        <w:t xml:space="preserve"> to 20</w:t>
      </w:r>
      <w:r w:rsidR="00E82FA0">
        <w:t>09-10</w:t>
      </w:r>
      <w:r>
        <w:t xml:space="preserve"> kept strong downward pressure on agricultur</w:t>
      </w:r>
      <w:r w:rsidR="003B707F">
        <w:t>al</w:t>
      </w:r>
      <w:r>
        <w:t xml:space="preserve"> MFP over multiple years, and ultimately contributed to the below average MFP result for the market sector as a whole during the most recentl</w:t>
      </w:r>
      <w:r w:rsidR="00902BB2">
        <w:t xml:space="preserve">y completed productivity cycle — that is, the cycle </w:t>
      </w:r>
      <w:r>
        <w:t xml:space="preserve">which ran from 2003-04 to 2007-08. In this case the influence of rainfall on measured productivity in </w:t>
      </w:r>
      <w:proofErr w:type="spellStart"/>
      <w:r w:rsidR="008C2B88">
        <w:t>AFF</w:t>
      </w:r>
      <w:proofErr w:type="spellEnd"/>
      <w:r>
        <w:t xml:space="preserve"> was more pervasive.</w:t>
      </w:r>
    </w:p>
    <w:p w:rsidR="00356933" w:rsidRPr="00151E03" w:rsidRDefault="00356933" w:rsidP="0010168E">
      <w:pPr>
        <w:pStyle w:val="Heading4"/>
      </w:pPr>
      <w:r w:rsidRPr="00151E03">
        <w:t>Mining</w:t>
      </w:r>
    </w:p>
    <w:p w:rsidR="00356933" w:rsidRDefault="00356933" w:rsidP="00356933">
      <w:pPr>
        <w:pStyle w:val="BodyText"/>
      </w:pPr>
      <w:r>
        <w:t>In the case of Mining, recent research suggest</w:t>
      </w:r>
      <w:r w:rsidR="00A725CD">
        <w:t>s</w:t>
      </w:r>
      <w:r>
        <w:t xml:space="preserve"> that the ABS estimates of industry MFP are </w:t>
      </w:r>
      <w:r w:rsidR="00902BB2">
        <w:t>strongly</w:t>
      </w:r>
      <w:r>
        <w:t xml:space="preserve"> influenced by unmeasured changes in na</w:t>
      </w:r>
      <w:r w:rsidR="00227E54">
        <w:t>tural resource inputs (see Topp</w:t>
      </w:r>
      <w:r>
        <w:t xml:space="preserve"> </w:t>
      </w:r>
      <w:r w:rsidR="00D14D20">
        <w:t>et al.</w:t>
      </w:r>
      <w:r w:rsidR="00BA4E94">
        <w:t xml:space="preserve"> 2008;</w:t>
      </w:r>
      <w:r>
        <w:t xml:space="preserve"> </w:t>
      </w:r>
      <w:proofErr w:type="spellStart"/>
      <w:r>
        <w:t>Zheng</w:t>
      </w:r>
      <w:proofErr w:type="spellEnd"/>
      <w:r>
        <w:t xml:space="preserve"> </w:t>
      </w:r>
      <w:r w:rsidR="00D14D20">
        <w:t>and</w:t>
      </w:r>
      <w:r w:rsidR="00E227C3">
        <w:t xml:space="preserve"> Bloch 2010 and Loughton</w:t>
      </w:r>
      <w:r>
        <w:t xml:space="preserve"> 2011). Although </w:t>
      </w:r>
      <w:r w:rsidR="00A725CD">
        <w:t xml:space="preserve">the </w:t>
      </w:r>
      <w:r>
        <w:t>paper</w:t>
      </w:r>
      <w:r w:rsidR="00A725CD">
        <w:t>s</w:t>
      </w:r>
      <w:r>
        <w:t xml:space="preserve"> use different approach</w:t>
      </w:r>
      <w:r w:rsidR="00A725CD">
        <w:t>es</w:t>
      </w:r>
      <w:r>
        <w:t xml:space="preserve"> to quantify the </w:t>
      </w:r>
      <w:r w:rsidR="00BE0048">
        <w:t xml:space="preserve">size of the </w:t>
      </w:r>
      <w:r w:rsidR="003B707F">
        <w:t>effect</w:t>
      </w:r>
      <w:r>
        <w:t xml:space="preserve">, the results are consistent and unambiguous: </w:t>
      </w:r>
      <w:r w:rsidR="003B707F">
        <w:t xml:space="preserve">a decline in the average quality of resource inputs into </w:t>
      </w:r>
      <w:r w:rsidR="00B31B13">
        <w:t>Mining</w:t>
      </w:r>
      <w:r w:rsidR="003B707F">
        <w:t xml:space="preserve"> is responsible for a large share of the poor MFP growth in the industry. In this situation </w:t>
      </w:r>
      <w:r>
        <w:t xml:space="preserve">the ABS estimates of MFP in the </w:t>
      </w:r>
      <w:r w:rsidR="00B31B13">
        <w:t>Mining</w:t>
      </w:r>
      <w:r>
        <w:t xml:space="preserve"> industry are strongly negatively biased indicators of technical progress when vie</w:t>
      </w:r>
      <w:r w:rsidR="00C93893">
        <w:t>wed over the longer term (table </w:t>
      </w:r>
      <w:r>
        <w:t>1).</w:t>
      </w:r>
    </w:p>
    <w:p w:rsidR="0060647A" w:rsidRDefault="0060647A" w:rsidP="0060647A">
      <w:pPr>
        <w:pStyle w:val="BodyText"/>
      </w:pPr>
      <w:r>
        <w:t xml:space="preserve">Importantly, the influence of resource depletion on the ABS estimates of MFP need to be adjusted for temporal changes in the average quality of deposits being mined </w:t>
      </w:r>
      <w:r w:rsidRPr="00F65C8F">
        <w:rPr>
          <w:i/>
        </w:rPr>
        <w:t>if</w:t>
      </w:r>
      <w:r>
        <w:t xml:space="preserve"> they are to be used as indicators of technical progress in this industry. The studies noted above provide alternative approaches to making such adjustments. </w:t>
      </w:r>
    </w:p>
    <w:p w:rsidR="0060647A" w:rsidRDefault="0060647A" w:rsidP="00356933">
      <w:pPr>
        <w:pStyle w:val="BodyText"/>
      </w:pPr>
    </w:p>
    <w:p w:rsidR="00356933" w:rsidRDefault="00356933" w:rsidP="00356933">
      <w:pPr>
        <w:pStyle w:val="TableTitle"/>
      </w:pPr>
      <w:bookmarkStart w:id="10" w:name="OLE_LINK9"/>
      <w:r>
        <w:rPr>
          <w:b w:val="0"/>
        </w:rPr>
        <w:t xml:space="preserve">Table </w:t>
      </w:r>
      <w:r w:rsidR="0007444B">
        <w:rPr>
          <w:b w:val="0"/>
        </w:rPr>
        <w:t>1</w:t>
      </w:r>
      <w:r>
        <w:tab/>
        <w:t xml:space="preserve">Estimates of the impact on </w:t>
      </w:r>
      <w:r w:rsidR="00B31B13">
        <w:t>Mining</w:t>
      </w:r>
      <w:r>
        <w:t xml:space="preserve"> MFP of resource depletion</w:t>
      </w:r>
    </w:p>
    <w:p w:rsidR="00356933" w:rsidRDefault="00E227C3" w:rsidP="00356933">
      <w:pPr>
        <w:pStyle w:val="Subtitle"/>
      </w:pPr>
      <w:r>
        <w:t>Average annual growth rates</w:t>
      </w:r>
    </w:p>
    <w:tbl>
      <w:tblPr>
        <w:tblW w:w="5000" w:type="pct"/>
        <w:tblCellMar>
          <w:left w:w="0" w:type="dxa"/>
          <w:right w:w="0" w:type="dxa"/>
        </w:tblCellMar>
        <w:tblLook w:val="0000" w:firstRow="0" w:lastRow="0" w:firstColumn="0" w:lastColumn="0" w:noHBand="0" w:noVBand="0"/>
      </w:tblPr>
      <w:tblGrid>
        <w:gridCol w:w="2835"/>
        <w:gridCol w:w="1842"/>
        <w:gridCol w:w="1702"/>
        <w:gridCol w:w="2410"/>
      </w:tblGrid>
      <w:tr w:rsidR="00C93893" w:rsidTr="00C93893">
        <w:tc>
          <w:tcPr>
            <w:tcW w:w="1613" w:type="pct"/>
            <w:tcBorders>
              <w:top w:val="single" w:sz="4" w:space="0" w:color="auto"/>
              <w:bottom w:val="single" w:sz="6" w:space="0" w:color="auto"/>
            </w:tcBorders>
            <w:shd w:val="clear" w:color="auto" w:fill="auto"/>
            <w:vAlign w:val="bottom"/>
          </w:tcPr>
          <w:p w:rsidR="00C93893" w:rsidRDefault="00C93893" w:rsidP="00CE6B76">
            <w:pPr>
              <w:pStyle w:val="TableColumnHeading"/>
              <w:jc w:val="left"/>
            </w:pPr>
            <w:r>
              <w:t>Study</w:t>
            </w:r>
          </w:p>
        </w:tc>
        <w:tc>
          <w:tcPr>
            <w:tcW w:w="1048" w:type="pct"/>
            <w:tcBorders>
              <w:top w:val="single" w:sz="4" w:space="0" w:color="auto"/>
              <w:bottom w:val="single" w:sz="6" w:space="0" w:color="auto"/>
            </w:tcBorders>
            <w:shd w:val="clear" w:color="auto" w:fill="auto"/>
            <w:vAlign w:val="bottom"/>
          </w:tcPr>
          <w:p w:rsidR="00C93893" w:rsidRDefault="00C93893" w:rsidP="00CE6B76">
            <w:pPr>
              <w:pStyle w:val="TableColumnHeading"/>
              <w:jc w:val="center"/>
            </w:pPr>
            <w:r>
              <w:t>Time period covered</w:t>
            </w:r>
          </w:p>
        </w:tc>
        <w:tc>
          <w:tcPr>
            <w:tcW w:w="968" w:type="pct"/>
            <w:tcBorders>
              <w:top w:val="single" w:sz="4" w:space="0" w:color="auto"/>
              <w:bottom w:val="single" w:sz="6" w:space="0" w:color="auto"/>
            </w:tcBorders>
            <w:vAlign w:val="bottom"/>
          </w:tcPr>
          <w:p w:rsidR="00C93893" w:rsidRDefault="00C93893" w:rsidP="00AC1686">
            <w:pPr>
              <w:pStyle w:val="TableColumnHeading"/>
              <w:ind w:right="28"/>
              <w:jc w:val="center"/>
            </w:pPr>
            <w:r>
              <w:t>ABS estimate of MFP</w:t>
            </w:r>
          </w:p>
        </w:tc>
        <w:tc>
          <w:tcPr>
            <w:tcW w:w="1371" w:type="pct"/>
            <w:tcBorders>
              <w:top w:val="single" w:sz="4" w:space="0" w:color="auto"/>
              <w:bottom w:val="single" w:sz="6" w:space="0" w:color="auto"/>
            </w:tcBorders>
            <w:shd w:val="clear" w:color="auto" w:fill="auto"/>
            <w:vAlign w:val="bottom"/>
          </w:tcPr>
          <w:p w:rsidR="00C93893" w:rsidRDefault="00C93893" w:rsidP="002561A0">
            <w:pPr>
              <w:pStyle w:val="TableColumnHeading"/>
              <w:ind w:right="28"/>
              <w:jc w:val="center"/>
            </w:pPr>
            <w:r>
              <w:t>MFP adjusted for resource depletion: (proxy for the rate of technical progress)</w:t>
            </w:r>
          </w:p>
        </w:tc>
      </w:tr>
      <w:tr w:rsidR="00C93893" w:rsidTr="00C93893">
        <w:tc>
          <w:tcPr>
            <w:tcW w:w="1613" w:type="pct"/>
            <w:tcBorders>
              <w:top w:val="single" w:sz="6" w:space="0" w:color="auto"/>
            </w:tcBorders>
          </w:tcPr>
          <w:p w:rsidR="00C93893" w:rsidRDefault="00C93893" w:rsidP="00CE6B76">
            <w:pPr>
              <w:pStyle w:val="TableUnitsRow"/>
              <w:jc w:val="left"/>
            </w:pPr>
          </w:p>
        </w:tc>
        <w:tc>
          <w:tcPr>
            <w:tcW w:w="1048" w:type="pct"/>
            <w:tcBorders>
              <w:top w:val="single" w:sz="6" w:space="0" w:color="auto"/>
            </w:tcBorders>
            <w:vAlign w:val="bottom"/>
          </w:tcPr>
          <w:p w:rsidR="00C93893" w:rsidRDefault="00C93893" w:rsidP="00CE6B76">
            <w:pPr>
              <w:pStyle w:val="TableUnitsRow"/>
              <w:jc w:val="center"/>
            </w:pPr>
          </w:p>
        </w:tc>
        <w:tc>
          <w:tcPr>
            <w:tcW w:w="968" w:type="pct"/>
            <w:tcBorders>
              <w:top w:val="single" w:sz="6" w:space="0" w:color="auto"/>
            </w:tcBorders>
            <w:vAlign w:val="bottom"/>
          </w:tcPr>
          <w:p w:rsidR="00C93893" w:rsidRDefault="00C93893" w:rsidP="00CE6B76">
            <w:pPr>
              <w:pStyle w:val="TableUnitsRow"/>
              <w:ind w:right="28"/>
              <w:jc w:val="center"/>
            </w:pPr>
            <w:r>
              <w:t>% pa</w:t>
            </w:r>
          </w:p>
        </w:tc>
        <w:tc>
          <w:tcPr>
            <w:tcW w:w="1371" w:type="pct"/>
            <w:tcBorders>
              <w:top w:val="single" w:sz="6" w:space="0" w:color="auto"/>
            </w:tcBorders>
            <w:vAlign w:val="bottom"/>
          </w:tcPr>
          <w:p w:rsidR="00C93893" w:rsidRDefault="00C93893" w:rsidP="00CE6B76">
            <w:pPr>
              <w:pStyle w:val="TableUnitsRow"/>
              <w:ind w:right="28"/>
              <w:jc w:val="center"/>
            </w:pPr>
            <w:r>
              <w:t>% pa</w:t>
            </w:r>
          </w:p>
        </w:tc>
      </w:tr>
      <w:tr w:rsidR="00C93893" w:rsidTr="00C93893">
        <w:tc>
          <w:tcPr>
            <w:tcW w:w="1613" w:type="pct"/>
            <w:vAlign w:val="center"/>
          </w:tcPr>
          <w:p w:rsidR="00C93893" w:rsidRDefault="00C93893" w:rsidP="00227E54">
            <w:pPr>
              <w:pStyle w:val="TableUnitsRow"/>
              <w:jc w:val="left"/>
            </w:pPr>
            <w:r>
              <w:t xml:space="preserve">Topp, </w:t>
            </w:r>
            <w:proofErr w:type="spellStart"/>
            <w:r>
              <w:t>Soames</w:t>
            </w:r>
            <w:proofErr w:type="spellEnd"/>
            <w:r>
              <w:t>, Parham and Bloch (2008)</w:t>
            </w:r>
          </w:p>
        </w:tc>
        <w:tc>
          <w:tcPr>
            <w:tcW w:w="1048" w:type="pct"/>
            <w:vAlign w:val="center"/>
          </w:tcPr>
          <w:p w:rsidR="00C93893" w:rsidRPr="00DF7C2D" w:rsidRDefault="00C93893" w:rsidP="00DF7C2D">
            <w:pPr>
              <w:pStyle w:val="TableUnitsRow"/>
              <w:jc w:val="center"/>
              <w:rPr>
                <w:sz w:val="18"/>
                <w:szCs w:val="18"/>
              </w:rPr>
            </w:pPr>
            <w:r w:rsidRPr="00DF7C2D">
              <w:rPr>
                <w:sz w:val="18"/>
                <w:szCs w:val="18"/>
              </w:rPr>
              <w:t>1974-75 to 2006-07</w:t>
            </w:r>
          </w:p>
        </w:tc>
        <w:tc>
          <w:tcPr>
            <w:tcW w:w="968" w:type="pct"/>
            <w:vAlign w:val="center"/>
          </w:tcPr>
          <w:p w:rsidR="00C93893" w:rsidRDefault="00C93893" w:rsidP="00DF7C2D">
            <w:pPr>
              <w:pStyle w:val="TableUnitsRow"/>
              <w:ind w:right="28"/>
              <w:jc w:val="center"/>
            </w:pPr>
            <w:r>
              <w:t>0.01</w:t>
            </w:r>
          </w:p>
        </w:tc>
        <w:tc>
          <w:tcPr>
            <w:tcW w:w="1371" w:type="pct"/>
            <w:vAlign w:val="center"/>
          </w:tcPr>
          <w:p w:rsidR="00C93893" w:rsidRDefault="00C93893" w:rsidP="00DF7C2D">
            <w:pPr>
              <w:pStyle w:val="TableUnitsRow"/>
              <w:ind w:right="28"/>
              <w:jc w:val="center"/>
            </w:pPr>
            <w:r>
              <w:t>2.50</w:t>
            </w:r>
          </w:p>
        </w:tc>
      </w:tr>
      <w:tr w:rsidR="00C93893" w:rsidTr="00C93893">
        <w:tc>
          <w:tcPr>
            <w:tcW w:w="1613" w:type="pct"/>
            <w:vAlign w:val="center"/>
          </w:tcPr>
          <w:p w:rsidR="00C93893" w:rsidRDefault="00C93893" w:rsidP="00C93893">
            <w:pPr>
              <w:pStyle w:val="TableBodyText"/>
              <w:spacing w:before="40"/>
              <w:jc w:val="left"/>
            </w:pPr>
            <w:proofErr w:type="spellStart"/>
            <w:r>
              <w:t>Zheng</w:t>
            </w:r>
            <w:proofErr w:type="spellEnd"/>
            <w:r>
              <w:t xml:space="preserve"> (2010)</w:t>
            </w:r>
          </w:p>
        </w:tc>
        <w:tc>
          <w:tcPr>
            <w:tcW w:w="1048" w:type="pct"/>
            <w:vAlign w:val="center"/>
          </w:tcPr>
          <w:p w:rsidR="00C93893" w:rsidRPr="00DF7C2D" w:rsidRDefault="00C93893" w:rsidP="00C93893">
            <w:pPr>
              <w:pStyle w:val="TableBodyText"/>
              <w:spacing w:before="40"/>
              <w:jc w:val="center"/>
              <w:rPr>
                <w:sz w:val="18"/>
                <w:szCs w:val="18"/>
              </w:rPr>
            </w:pPr>
            <w:r w:rsidRPr="00DF7C2D">
              <w:rPr>
                <w:sz w:val="18"/>
                <w:szCs w:val="18"/>
              </w:rPr>
              <w:t>1974-75 to 2006-07</w:t>
            </w:r>
          </w:p>
        </w:tc>
        <w:tc>
          <w:tcPr>
            <w:tcW w:w="968" w:type="pct"/>
            <w:vAlign w:val="center"/>
          </w:tcPr>
          <w:p w:rsidR="00C93893" w:rsidRDefault="00C93893" w:rsidP="00C93893">
            <w:pPr>
              <w:pStyle w:val="TableBodyText"/>
              <w:spacing w:before="40"/>
              <w:ind w:right="28"/>
              <w:jc w:val="center"/>
            </w:pPr>
            <w:r>
              <w:t>0.01</w:t>
            </w:r>
          </w:p>
        </w:tc>
        <w:tc>
          <w:tcPr>
            <w:tcW w:w="1371" w:type="pct"/>
            <w:vAlign w:val="center"/>
          </w:tcPr>
          <w:p w:rsidR="00C93893" w:rsidRDefault="00C93893" w:rsidP="00C93893">
            <w:pPr>
              <w:pStyle w:val="TableBodyText"/>
              <w:spacing w:before="40"/>
              <w:ind w:right="28"/>
              <w:jc w:val="center"/>
            </w:pPr>
            <w:r>
              <w:t>1.15</w:t>
            </w:r>
          </w:p>
        </w:tc>
      </w:tr>
      <w:tr w:rsidR="00C93893" w:rsidTr="00C93893">
        <w:tc>
          <w:tcPr>
            <w:tcW w:w="1613" w:type="pct"/>
            <w:tcBorders>
              <w:bottom w:val="single" w:sz="6" w:space="0" w:color="auto"/>
            </w:tcBorders>
            <w:shd w:val="clear" w:color="auto" w:fill="auto"/>
            <w:vAlign w:val="center"/>
          </w:tcPr>
          <w:p w:rsidR="00C93893" w:rsidRDefault="00C93893" w:rsidP="00C93893">
            <w:pPr>
              <w:pStyle w:val="TableBodyText"/>
              <w:spacing w:before="40"/>
              <w:jc w:val="left"/>
            </w:pPr>
            <w:r>
              <w:t>Loughton (2011)</w:t>
            </w:r>
          </w:p>
        </w:tc>
        <w:tc>
          <w:tcPr>
            <w:tcW w:w="1048" w:type="pct"/>
            <w:tcBorders>
              <w:bottom w:val="single" w:sz="6" w:space="0" w:color="auto"/>
            </w:tcBorders>
            <w:shd w:val="clear" w:color="auto" w:fill="auto"/>
            <w:vAlign w:val="center"/>
          </w:tcPr>
          <w:p w:rsidR="00C93893" w:rsidRPr="00DF7C2D" w:rsidRDefault="00C93893" w:rsidP="00C93893">
            <w:pPr>
              <w:pStyle w:val="TableBodyText"/>
              <w:spacing w:before="40"/>
              <w:jc w:val="center"/>
              <w:rPr>
                <w:sz w:val="18"/>
                <w:szCs w:val="18"/>
              </w:rPr>
            </w:pPr>
            <w:r w:rsidRPr="00DF7C2D">
              <w:rPr>
                <w:sz w:val="18"/>
                <w:szCs w:val="18"/>
              </w:rPr>
              <w:t>1985-86 to 2009-10</w:t>
            </w:r>
          </w:p>
        </w:tc>
        <w:tc>
          <w:tcPr>
            <w:tcW w:w="968" w:type="pct"/>
            <w:tcBorders>
              <w:bottom w:val="single" w:sz="6" w:space="0" w:color="auto"/>
            </w:tcBorders>
            <w:vAlign w:val="center"/>
          </w:tcPr>
          <w:p w:rsidR="00C93893" w:rsidRDefault="00C93893" w:rsidP="00C93893">
            <w:pPr>
              <w:pStyle w:val="TableBodyText"/>
              <w:spacing w:before="40"/>
              <w:ind w:right="28"/>
              <w:jc w:val="center"/>
            </w:pPr>
            <w:r>
              <w:t>-0.15</w:t>
            </w:r>
          </w:p>
        </w:tc>
        <w:tc>
          <w:tcPr>
            <w:tcW w:w="1371" w:type="pct"/>
            <w:tcBorders>
              <w:bottom w:val="single" w:sz="6" w:space="0" w:color="auto"/>
            </w:tcBorders>
            <w:shd w:val="clear" w:color="auto" w:fill="auto"/>
            <w:vAlign w:val="center"/>
          </w:tcPr>
          <w:p w:rsidR="00C93893" w:rsidRDefault="00C93893" w:rsidP="00C93893">
            <w:pPr>
              <w:pStyle w:val="TableBodyText"/>
              <w:spacing w:before="40"/>
              <w:ind w:right="28"/>
              <w:jc w:val="center"/>
            </w:pPr>
            <w:r>
              <w:t>2.05</w:t>
            </w:r>
          </w:p>
        </w:tc>
      </w:tr>
    </w:tbl>
    <w:bookmarkEnd w:id="10"/>
    <w:p w:rsidR="00402083" w:rsidRPr="000505A5" w:rsidRDefault="00C33968" w:rsidP="0010168E">
      <w:pPr>
        <w:pStyle w:val="Heading4"/>
      </w:pPr>
      <w:r w:rsidRPr="000505A5">
        <w:t>Utilities</w:t>
      </w:r>
    </w:p>
    <w:p w:rsidR="008A7648" w:rsidRDefault="00AC1686" w:rsidP="008A7648">
      <w:pPr>
        <w:pStyle w:val="BodyText"/>
      </w:pPr>
      <w:r>
        <w:t xml:space="preserve">Major </w:t>
      </w:r>
      <w:r w:rsidR="008A7648">
        <w:t xml:space="preserve">policy and preference shifts during the last 10 to 15 years </w:t>
      </w:r>
      <w:r w:rsidR="00BE0048">
        <w:t xml:space="preserve">have </w:t>
      </w:r>
      <w:r w:rsidR="008A7648">
        <w:t xml:space="preserve">combined with the </w:t>
      </w:r>
      <w:r w:rsidR="00BE0048">
        <w:t xml:space="preserve">natural pressures </w:t>
      </w:r>
      <w:r w:rsidR="00902BB2">
        <w:t>arising from a rapidly growing</w:t>
      </w:r>
      <w:r w:rsidR="008A7648">
        <w:t xml:space="preserve"> population </w:t>
      </w:r>
      <w:r w:rsidR="00BE0048">
        <w:t xml:space="preserve">to </w:t>
      </w:r>
      <w:r>
        <w:t xml:space="preserve">substantially reduce the quantity of environmental services available to this industry. </w:t>
      </w:r>
      <w:r w:rsidR="008A7648">
        <w:t>As a result there has been a</w:t>
      </w:r>
      <w:r>
        <w:t>n</w:t>
      </w:r>
      <w:r w:rsidR="008A7648">
        <w:t xml:space="preserve"> increase in the </w:t>
      </w:r>
      <w:r w:rsidR="00902BB2">
        <w:t xml:space="preserve">rate of growth in conventionally </w:t>
      </w:r>
      <w:r w:rsidR="008A7648">
        <w:t xml:space="preserve">measured inputs (labour, capital, and intermediate inputs) </w:t>
      </w:r>
      <w:r>
        <w:t>per unit of industry output</w:t>
      </w:r>
      <w:r w:rsidR="00026ED0">
        <w:t xml:space="preserve"> </w:t>
      </w:r>
      <w:r w:rsidR="008A7648">
        <w:t>(see box</w:t>
      </w:r>
      <w:r w:rsidR="00D65A40">
        <w:t xml:space="preserve"> </w:t>
      </w:r>
      <w:r w:rsidR="0007444B">
        <w:t>5</w:t>
      </w:r>
      <w:r w:rsidR="008A7648">
        <w:t xml:space="preserve">). </w:t>
      </w:r>
    </w:p>
    <w:p w:rsidR="006E7E76" w:rsidRDefault="006E7E76" w:rsidP="006E7E76">
      <w:pPr>
        <w:pStyle w:val="BodyText"/>
      </w:pPr>
      <w:r>
        <w:t xml:space="preserve">A recent </w:t>
      </w:r>
      <w:r w:rsidR="009A5242">
        <w:t xml:space="preserve">staff working </w:t>
      </w:r>
      <w:r>
        <w:t xml:space="preserve">paper published by the Productivity Commission found that these developments contributed to strongly negative MFP growth in </w:t>
      </w:r>
      <w:r w:rsidR="00B31B13">
        <w:t>Utilities</w:t>
      </w:r>
      <w:r>
        <w:t xml:space="preserve"> between 1997-98 and 2009-10 (Topp and Kulys 2012). In the water sector, </w:t>
      </w:r>
      <w:r w:rsidR="00CE32BB">
        <w:t xml:space="preserve">the </w:t>
      </w:r>
      <w:r>
        <w:t xml:space="preserve">data showed strong growth in investment in tertiary waste-water treatment plants over the period, as well as the construction of high-cost sources of new water supply. The latter included large-scale desalination plants in 5 of the 6 mainland states of Australia. </w:t>
      </w:r>
    </w:p>
    <w:p w:rsidR="00CE32BB" w:rsidRDefault="00CE32BB" w:rsidP="006E7E76">
      <w:pPr>
        <w:pStyle w:val="BodyText"/>
      </w:pPr>
      <w:r>
        <w:t xml:space="preserve">Topp and Kulys (2012) also reported the impact on MFP of the move away from coal-fired electricity generation in Australian between the late </w:t>
      </w:r>
      <w:proofErr w:type="spellStart"/>
      <w:r>
        <w:t>1990s</w:t>
      </w:r>
      <w:proofErr w:type="spellEnd"/>
      <w:r>
        <w:t xml:space="preserve"> and 2010 due to the higher (conventionally measured) costs of less emissions-intensive power sources. </w:t>
      </w:r>
      <w:r w:rsidR="00A55239">
        <w:t xml:space="preserve">However, unlike </w:t>
      </w:r>
      <w:r w:rsidR="00B31B13">
        <w:t>Mining</w:t>
      </w:r>
      <w:r w:rsidR="00A55239">
        <w:t xml:space="preserve"> where some measures of resource quality are available, </w:t>
      </w:r>
      <w:r w:rsidR="00043B3D">
        <w:t xml:space="preserve">estimates </w:t>
      </w:r>
      <w:r w:rsidR="00A55239">
        <w:t xml:space="preserve">of </w:t>
      </w:r>
      <w:r w:rsidR="00043B3D">
        <w:t xml:space="preserve">the </w:t>
      </w:r>
      <w:r w:rsidR="00A55239">
        <w:t xml:space="preserve">change in these environmental inputs </w:t>
      </w:r>
      <w:r w:rsidR="00043B3D">
        <w:t xml:space="preserve">are </w:t>
      </w:r>
      <w:r w:rsidR="00A55239">
        <w:t>not available.</w:t>
      </w:r>
    </w:p>
    <w:p w:rsidR="006E7E76" w:rsidRDefault="00CE32BB" w:rsidP="006E7E76">
      <w:pPr>
        <w:pStyle w:val="BodyText"/>
      </w:pPr>
      <w:r>
        <w:t xml:space="preserve">The motivations for the shift to higher cost production technologies (in terms of conventional inputs) vary. In the case of the shift to lower carbon emission power generation, Topp and Kulys (2012) cite climate-change policies and initiatives. </w:t>
      </w:r>
      <w:r w:rsidR="00836E04">
        <w:t>In the water sector, the shift to more labour and capital intensive production technologies was necessary</w:t>
      </w:r>
      <w:r w:rsidR="006E7E76">
        <w:t xml:space="preserve"> to meet </w:t>
      </w:r>
      <w:r w:rsidR="00B53AC3">
        <w:t>‘</w:t>
      </w:r>
      <w:r w:rsidR="006E7E76" w:rsidRPr="00230E28">
        <w:t>the requirements of government policies on, among</w:t>
      </w:r>
      <w:r w:rsidR="006E7E76">
        <w:t xml:space="preserve"> </w:t>
      </w:r>
      <w:r w:rsidR="006E7E76" w:rsidRPr="00230E28">
        <w:t>other things, water security, the management of environmental impacts associated</w:t>
      </w:r>
      <w:r w:rsidR="006E7E76">
        <w:t xml:space="preserve"> </w:t>
      </w:r>
      <w:r w:rsidR="006E7E76" w:rsidRPr="00230E28">
        <w:t>with the treatment and disposal of sewage, an</w:t>
      </w:r>
      <w:r w:rsidR="006E7E76">
        <w:t xml:space="preserve">d the quality of drinking </w:t>
      </w:r>
      <w:r w:rsidR="00B53AC3">
        <w:t>water’</w:t>
      </w:r>
      <w:r w:rsidR="006E7E76">
        <w:t xml:space="preserve"> (</w:t>
      </w:r>
      <w:proofErr w:type="spellStart"/>
      <w:r w:rsidR="006E7E76">
        <w:t>IPART</w:t>
      </w:r>
      <w:proofErr w:type="spellEnd"/>
      <w:r w:rsidR="006E7E76">
        <w:t xml:space="preserve"> 2010</w:t>
      </w:r>
      <w:r w:rsidR="0060647A">
        <w:t xml:space="preserve">, p. </w:t>
      </w:r>
      <w:r w:rsidR="006E7E76">
        <w:t xml:space="preserve">27). </w:t>
      </w:r>
    </w:p>
    <w:p w:rsidR="0060647A" w:rsidRDefault="0060647A" w:rsidP="0060647A">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0647A" w:rsidTr="00AC245A">
        <w:tc>
          <w:tcPr>
            <w:tcW w:w="8771" w:type="dxa"/>
            <w:tcBorders>
              <w:top w:val="single" w:sz="6" w:space="0" w:color="auto"/>
              <w:bottom w:val="nil"/>
            </w:tcBorders>
          </w:tcPr>
          <w:p w:rsidR="0060647A" w:rsidRDefault="0060647A" w:rsidP="00AC245A">
            <w:pPr>
              <w:pStyle w:val="BoxTitle"/>
            </w:pPr>
            <w:r>
              <w:rPr>
                <w:b w:val="0"/>
              </w:rPr>
              <w:t>Box 5</w:t>
            </w:r>
            <w:r>
              <w:tab/>
              <w:t>Policy and preference shifts in the Utilities sector</w:t>
            </w:r>
          </w:p>
        </w:tc>
      </w:tr>
      <w:tr w:rsidR="0060647A" w:rsidTr="00AC245A">
        <w:trPr>
          <w:cantSplit/>
        </w:trPr>
        <w:tc>
          <w:tcPr>
            <w:tcW w:w="8771" w:type="dxa"/>
            <w:tcBorders>
              <w:top w:val="nil"/>
              <w:left w:val="single" w:sz="6" w:space="0" w:color="auto"/>
              <w:bottom w:val="nil"/>
              <w:right w:val="single" w:sz="6" w:space="0" w:color="auto"/>
            </w:tcBorders>
          </w:tcPr>
          <w:p w:rsidR="0060647A" w:rsidRDefault="0060647A" w:rsidP="00AC245A">
            <w:pPr>
              <w:pStyle w:val="Box"/>
            </w:pPr>
            <w:r>
              <w:t xml:space="preserve">The operating environment of water and electricity businesses has changed in three fundamental ways during the last 10 to 15 years. First, a paradigm change in thinking within the Australian urban water industry led to a cessation in the construction of new urban water dams, and a shift to the construction of manufactured water alternatives, such as desalination and recycled water plants. In effect, the industry moved from having an almost complete dependence on a production technology dependent on natural resource inputs (rain-fed dams), to a much greater reliance on supply technologies that used greater quantities of conventionally measured inputs (desalination and water recycling plants). </w:t>
            </w:r>
          </w:p>
          <w:p w:rsidR="0060647A" w:rsidRDefault="0060647A" w:rsidP="00AC245A">
            <w:pPr>
              <w:pStyle w:val="Box"/>
            </w:pPr>
            <w:r>
              <w:t xml:space="preserve">The shift to manufactured water technologies was partly in response to an urgent need for new urban water supplies in Australia to meet the demands of a rapidly growing population, and to counteract the adverse effect on existing water supplies of an unexpectedly long period of below-average rainfall. However, it was also a response to growing community opposition to the construction of new dams, largely on the basis that their environmental costs were too high. In some states, natural limits on suitable sites for new dams had also been reached, contributing to the speed and scale of the move to non-dam supply technologies like desalination and recycling. </w:t>
            </w:r>
          </w:p>
          <w:p w:rsidR="0060647A" w:rsidRDefault="0060647A" w:rsidP="00AC245A">
            <w:pPr>
              <w:pStyle w:val="Box"/>
            </w:pPr>
            <w:r>
              <w:t xml:space="preserve">Second, regulatory changes during the period increased the minimum standards of waste-water treatment in Australia. This led to the construction of new or augmented water treatment plants. As with water supplies, a growing population had increased the demand for wastewater disposal services, and there was growing concern regarding the environmental impact of continuing to rely on conventional treatment methods, particularly the use of coastal outfalls. The shift toward tertiary treatment of urban wastewater lessened the impost on the environment, but increased requirements of conventionally measured inputs. </w:t>
            </w:r>
          </w:p>
          <w:p w:rsidR="0060647A" w:rsidRDefault="0060647A" w:rsidP="00AC245A">
            <w:pPr>
              <w:pStyle w:val="Box"/>
            </w:pPr>
            <w:r>
              <w:t>Third, changes in energy policies in response to the threat of climate change led to an increase in the share of electricity being supplied via renewable and gas-fired power stations, and a concomitant decrease in the share of output coming from coal-fired power stations. The cut in allowable pollution lowered the use of natural resources (the atmosphere) as an input to production, and increased the average quantity of conventionally measured inputs required per unit of output. Green energy typically requires greater units of conventionally measured inputs per unit of output, compared with coal-fired power.</w:t>
            </w:r>
          </w:p>
          <w:p w:rsidR="0060647A" w:rsidRDefault="0060647A" w:rsidP="00AC245A">
            <w:pPr>
              <w:pStyle w:val="Box"/>
            </w:pPr>
            <w:r>
              <w:t>In all three cases therefore, the reduction in the use of natural resource inputs largely came about as a consequence of policy and/or other decisions that were implemented to address environmental issues, especially water and CO2 emissions. Against the background of rapid population growth, natural limits on the availability of suitable sites for new dams also contributed to the decline in the availability of natural resource inputs, and a large increase in the use of conventionally measured inputs.</w:t>
            </w:r>
          </w:p>
        </w:tc>
      </w:tr>
      <w:tr w:rsidR="0060647A" w:rsidTr="00AC245A">
        <w:trPr>
          <w:cantSplit/>
        </w:trPr>
        <w:tc>
          <w:tcPr>
            <w:tcW w:w="8771" w:type="dxa"/>
            <w:tcBorders>
              <w:top w:val="nil"/>
              <w:left w:val="single" w:sz="6" w:space="0" w:color="auto"/>
              <w:bottom w:val="nil"/>
              <w:right w:val="single" w:sz="6" w:space="0" w:color="auto"/>
            </w:tcBorders>
          </w:tcPr>
          <w:p w:rsidR="0060647A" w:rsidRDefault="0060647A" w:rsidP="00AC245A">
            <w:pPr>
              <w:pStyle w:val="BoxSource"/>
            </w:pPr>
            <w:r>
              <w:rPr>
                <w:i/>
              </w:rPr>
              <w:t>Source</w:t>
            </w:r>
            <w:r w:rsidRPr="00167F06">
              <w:t xml:space="preserve">: </w:t>
            </w:r>
            <w:r>
              <w:t>Topp and Kulys (2012)</w:t>
            </w:r>
          </w:p>
        </w:tc>
      </w:tr>
      <w:tr w:rsidR="0060647A" w:rsidTr="00AC245A">
        <w:trPr>
          <w:cantSplit/>
        </w:trPr>
        <w:tc>
          <w:tcPr>
            <w:tcW w:w="8771" w:type="dxa"/>
            <w:tcBorders>
              <w:top w:val="nil"/>
              <w:left w:val="single" w:sz="6" w:space="0" w:color="auto"/>
              <w:bottom w:val="single" w:sz="6" w:space="0" w:color="auto"/>
              <w:right w:val="single" w:sz="6" w:space="0" w:color="auto"/>
            </w:tcBorders>
          </w:tcPr>
          <w:p w:rsidR="0060647A" w:rsidRDefault="0060647A" w:rsidP="00AC245A">
            <w:pPr>
              <w:pStyle w:val="Box"/>
              <w:spacing w:before="0" w:line="120" w:lineRule="exact"/>
            </w:pPr>
          </w:p>
        </w:tc>
      </w:tr>
      <w:tr w:rsidR="0060647A" w:rsidRPr="00AB3857" w:rsidTr="00AC245A">
        <w:tc>
          <w:tcPr>
            <w:tcW w:w="8771" w:type="dxa"/>
            <w:tcBorders>
              <w:top w:val="nil"/>
              <w:left w:val="nil"/>
              <w:bottom w:val="nil"/>
              <w:right w:val="nil"/>
            </w:tcBorders>
          </w:tcPr>
          <w:p w:rsidR="0060647A" w:rsidRPr="00AB3857" w:rsidRDefault="0060647A" w:rsidP="00AC245A">
            <w:pPr>
              <w:pStyle w:val="Box"/>
              <w:keepNext w:val="0"/>
              <w:spacing w:before="60" w:after="60" w:line="80" w:lineRule="exact"/>
              <w:rPr>
                <w:b/>
                <w:sz w:val="14"/>
              </w:rPr>
            </w:pPr>
          </w:p>
        </w:tc>
      </w:tr>
    </w:tbl>
    <w:p w:rsidR="0060647A" w:rsidRDefault="0060647A" w:rsidP="00BD4CAD">
      <w:pPr>
        <w:pStyle w:val="BodyText"/>
      </w:pPr>
    </w:p>
    <w:p w:rsidR="00B16EDD" w:rsidRDefault="001930B7" w:rsidP="00BD4CAD">
      <w:pPr>
        <w:pStyle w:val="BodyText"/>
      </w:pPr>
      <w:r>
        <w:t xml:space="preserve">While some of the changes in </w:t>
      </w:r>
      <w:r w:rsidR="00B31B13">
        <w:t>Utilities</w:t>
      </w:r>
      <w:r>
        <w:t xml:space="preserve"> might have been driven by changes in the quantity of natural resources available (such as rainfall and high quality dam sites), others </w:t>
      </w:r>
      <w:r w:rsidR="00836E04">
        <w:t xml:space="preserve">were </w:t>
      </w:r>
      <w:r>
        <w:t>driven by government decisions. The</w:t>
      </w:r>
      <w:r w:rsidR="00836E04">
        <w:t xml:space="preserve"> latter</w:t>
      </w:r>
      <w:r>
        <w:t xml:space="preserve"> reflect</w:t>
      </w:r>
      <w:r w:rsidR="00836E04">
        <w:t>ed</w:t>
      </w:r>
      <w:r>
        <w:t xml:space="preserve"> demand </w:t>
      </w:r>
      <w:r w:rsidR="00836E04">
        <w:t xml:space="preserve">from </w:t>
      </w:r>
      <w:r>
        <w:t xml:space="preserve">the community for </w:t>
      </w:r>
      <w:r w:rsidR="00836E04">
        <w:t xml:space="preserve">improved </w:t>
      </w:r>
      <w:r>
        <w:t xml:space="preserve">environmental outcomes, </w:t>
      </w:r>
      <w:r w:rsidR="00836E04">
        <w:t>such as</w:t>
      </w:r>
      <w:r>
        <w:t xml:space="preserve"> reducing the impact of sewerage outfalls on Sydney beaches, </w:t>
      </w:r>
      <w:r w:rsidR="00836E04">
        <w:t>and reducing</w:t>
      </w:r>
      <w:r>
        <w:t xml:space="preserve"> carbon </w:t>
      </w:r>
      <w:r w:rsidR="0059050D">
        <w:t>emissions. Political</w:t>
      </w:r>
      <w:r>
        <w:t xml:space="preserve"> </w:t>
      </w:r>
      <w:r w:rsidR="0059050D">
        <w:t>promises not</w:t>
      </w:r>
      <w:r w:rsidR="003F27E4">
        <w:t xml:space="preserve"> to build new dams</w:t>
      </w:r>
      <w:r w:rsidR="00836E04">
        <w:t xml:space="preserve"> also had an influence</w:t>
      </w:r>
      <w:r w:rsidR="003F27E4">
        <w:t xml:space="preserve">, </w:t>
      </w:r>
      <w:r w:rsidR="00836E04">
        <w:t xml:space="preserve">as did commitments to improve the </w:t>
      </w:r>
      <w:r w:rsidR="003F27E4">
        <w:t>reliability</w:t>
      </w:r>
      <w:r w:rsidR="00836E04">
        <w:t xml:space="preserve"> of electricity and water supplies</w:t>
      </w:r>
      <w:r w:rsidR="003F27E4">
        <w:t>.</w:t>
      </w:r>
      <w:r>
        <w:rPr>
          <w:rStyle w:val="FootnoteReference"/>
        </w:rPr>
        <w:footnoteReference w:id="12"/>
      </w:r>
    </w:p>
    <w:p w:rsidR="00E97F2F" w:rsidRDefault="00E97F2F" w:rsidP="00E97F2F">
      <w:pPr>
        <w:pStyle w:val="Heading5"/>
      </w:pPr>
      <w:r>
        <w:t xml:space="preserve">Transition or a long-term trend for </w:t>
      </w:r>
      <w:r w:rsidR="00B31B13">
        <w:t>Utilities</w:t>
      </w:r>
      <w:r>
        <w:t xml:space="preserve"> productivity?</w:t>
      </w:r>
    </w:p>
    <w:p w:rsidR="00E97F2F" w:rsidRPr="006D6EA4" w:rsidRDefault="00BD4CAD" w:rsidP="00E97F2F">
      <w:pPr>
        <w:pStyle w:val="BodyText"/>
      </w:pPr>
      <w:r>
        <w:t>Notwithstanding the</w:t>
      </w:r>
      <w:r w:rsidR="00A70947">
        <w:t xml:space="preserve"> fact that some </w:t>
      </w:r>
      <w:r>
        <w:t xml:space="preserve">investment decisions </w:t>
      </w:r>
      <w:r w:rsidR="00A70947">
        <w:t xml:space="preserve">made </w:t>
      </w:r>
      <w:r>
        <w:t xml:space="preserve">in response to </w:t>
      </w:r>
      <w:r w:rsidR="00B16EDD">
        <w:t>regulatory and other market developments</w:t>
      </w:r>
      <w:r>
        <w:t xml:space="preserve"> could have been more efficient, the broader shift towards supply technologies that use fewer natural resource inputs would appear </w:t>
      </w:r>
      <w:r w:rsidR="00B16EDD">
        <w:t xml:space="preserve">to be an </w:t>
      </w:r>
      <w:r>
        <w:t>unavoidable</w:t>
      </w:r>
      <w:r w:rsidR="00B16EDD">
        <w:t xml:space="preserve"> development for th</w:t>
      </w:r>
      <w:r w:rsidR="003F27E4">
        <w:t xml:space="preserve">e </w:t>
      </w:r>
      <w:r w:rsidR="00B31B13">
        <w:t>Utilities</w:t>
      </w:r>
      <w:r w:rsidR="00B16EDD">
        <w:t xml:space="preserve"> industry</w:t>
      </w:r>
      <w:r>
        <w:t xml:space="preserve">. </w:t>
      </w:r>
      <w:r w:rsidR="00E97F2F">
        <w:t xml:space="preserve">As noted earlier, there are natural or biophysical limits to the maximum quantity of environmental services that can potentially be used each year by </w:t>
      </w:r>
      <w:r w:rsidR="00B31B13">
        <w:t>Utilities</w:t>
      </w:r>
      <w:r w:rsidR="00A70947">
        <w:t>, and growing community concern regarding the appropriateness of certain uses of the environment</w:t>
      </w:r>
      <w:r w:rsidR="00E97F2F">
        <w:t>. This means that future output growth is likely to continue to be based on supply technologies that depend more heavily on conventionally measured inputs (labour, capital, and intermediate inputs), rather than on the ‘traditional’ technologies that used a combination of measured inputs and significant quantities of unmeasured natural resource inputs.</w:t>
      </w:r>
      <w:r w:rsidR="00E97F2F">
        <w:rPr>
          <w:rStyle w:val="FootnoteReference"/>
        </w:rPr>
        <w:footnoteReference w:id="13"/>
      </w:r>
      <w:r w:rsidR="0010240E">
        <w:t xml:space="preserve"> </w:t>
      </w:r>
    </w:p>
    <w:p w:rsidR="003D6B0D" w:rsidRDefault="003D6B0D" w:rsidP="008A7648">
      <w:pPr>
        <w:pStyle w:val="BodyText"/>
      </w:pPr>
      <w:r>
        <w:t xml:space="preserve">Assuming that businesses in the </w:t>
      </w:r>
      <w:r w:rsidR="00B31B13">
        <w:t>Utilities</w:t>
      </w:r>
      <w:r>
        <w:t xml:space="preserve"> industry continue to shift towards the use of supply technologies that use fewer natural resource inputs per unit of output, there will be further downward pressure on measured productivity. This should be borne in mind when assessing short to medium term developments in Utilities MFP</w:t>
      </w:r>
      <w:r w:rsidR="003F27E4">
        <w:t>, particularly if interested in the rate of technical progress in the industry</w:t>
      </w:r>
      <w:r>
        <w:t>.</w:t>
      </w:r>
    </w:p>
    <w:p w:rsidR="004E206A" w:rsidRDefault="006D77C9" w:rsidP="008A7648">
      <w:pPr>
        <w:pStyle w:val="BodyText"/>
      </w:pPr>
      <w:r>
        <w:t>As</w:t>
      </w:r>
      <w:r w:rsidR="003D6B0D">
        <w:t xml:space="preserve"> new supply technologies </w:t>
      </w:r>
      <w:r>
        <w:t xml:space="preserve">that do not rely on natural resource inputs </w:t>
      </w:r>
      <w:r w:rsidR="003D6B0D">
        <w:t xml:space="preserve">begin to dominate industry </w:t>
      </w:r>
      <w:r w:rsidR="004B28DB">
        <w:t>production</w:t>
      </w:r>
      <w:r w:rsidR="003D6B0D">
        <w:t xml:space="preserve">, the </w:t>
      </w:r>
      <w:r w:rsidR="00A94D4A">
        <w:t>contribution to</w:t>
      </w:r>
      <w:r w:rsidR="003D6B0D">
        <w:t xml:space="preserve"> MFP of </w:t>
      </w:r>
      <w:r w:rsidR="00A94D4A">
        <w:t xml:space="preserve">declining </w:t>
      </w:r>
      <w:r w:rsidR="003D6B0D">
        <w:t>natural resource inputs will dissipate.</w:t>
      </w:r>
      <w:r w:rsidR="00004966">
        <w:rPr>
          <w:rStyle w:val="FootnoteReference"/>
        </w:rPr>
        <w:footnoteReference w:id="14"/>
      </w:r>
      <w:r w:rsidR="003D6B0D">
        <w:t xml:space="preserve"> </w:t>
      </w:r>
      <w:r w:rsidR="004E206A">
        <w:t xml:space="preserve">In this </w:t>
      </w:r>
      <w:r w:rsidR="004C7EA7">
        <w:t>scenario</w:t>
      </w:r>
      <w:r w:rsidR="004E206A">
        <w:t xml:space="preserve"> the MFP estimates </w:t>
      </w:r>
      <w:r w:rsidR="00367DE9">
        <w:t xml:space="preserve">for Utilities </w:t>
      </w:r>
      <w:r w:rsidR="003D6B0D">
        <w:t xml:space="preserve">will eventually </w:t>
      </w:r>
      <w:r w:rsidR="00A94D4A">
        <w:t>better reflect</w:t>
      </w:r>
      <w:r w:rsidR="00367DE9">
        <w:t xml:space="preserve"> </w:t>
      </w:r>
      <w:r w:rsidR="00A94D4A">
        <w:t>the</w:t>
      </w:r>
      <w:r w:rsidR="00367DE9">
        <w:t xml:space="preserve"> </w:t>
      </w:r>
      <w:r w:rsidR="004E206A">
        <w:t>technical progress in th</w:t>
      </w:r>
      <w:r w:rsidR="00367DE9">
        <w:t>e</w:t>
      </w:r>
      <w:r w:rsidR="004E206A">
        <w:t xml:space="preserve"> industry</w:t>
      </w:r>
      <w:r w:rsidR="00367DE9">
        <w:t>.</w:t>
      </w:r>
    </w:p>
    <w:p w:rsidR="004E206A" w:rsidRDefault="00434B98" w:rsidP="0010168E">
      <w:pPr>
        <w:pStyle w:val="Heading3"/>
      </w:pPr>
      <w:r>
        <w:t>Where to from here?</w:t>
      </w:r>
    </w:p>
    <w:p w:rsidR="00A94D4A" w:rsidRDefault="00A94D4A" w:rsidP="00B855D8">
      <w:pPr>
        <w:pStyle w:val="BodyText"/>
      </w:pPr>
      <w:r>
        <w:t xml:space="preserve">In </w:t>
      </w:r>
      <w:proofErr w:type="spellStart"/>
      <w:r w:rsidR="008C2B88">
        <w:t>AFF</w:t>
      </w:r>
      <w:proofErr w:type="spellEnd"/>
      <w:r>
        <w:t xml:space="preserve">, Mining, and Utilities changes in the quantities of unmeasured natural resource inputs used in production have had a significant impact on industry productivity over the last decade. This effect of declining natural resource inputs is likely to be much smaller, </w:t>
      </w:r>
      <w:r w:rsidR="00546E16">
        <w:t xml:space="preserve">if at all, </w:t>
      </w:r>
      <w:r>
        <w:t>in other industries</w:t>
      </w:r>
      <w:r w:rsidR="00546E16">
        <w:t xml:space="preserve"> simply because no other industries are as reliant on these types of inputs.</w:t>
      </w:r>
      <w:r w:rsidR="00546E16">
        <w:rPr>
          <w:rStyle w:val="FootnoteReference"/>
        </w:rPr>
        <w:footnoteReference w:id="15"/>
      </w:r>
    </w:p>
    <w:p w:rsidR="00E85C92" w:rsidRDefault="00546E16" w:rsidP="00B855D8">
      <w:pPr>
        <w:pStyle w:val="BodyText"/>
      </w:pPr>
      <w:r>
        <w:t>The</w:t>
      </w:r>
      <w:r w:rsidR="00A94D4A">
        <w:t xml:space="preserve"> effect </w:t>
      </w:r>
      <w:r>
        <w:t xml:space="preserve">of changes in natural resources inputs </w:t>
      </w:r>
      <w:r w:rsidR="00225059">
        <w:t xml:space="preserve">on value added </w:t>
      </w:r>
      <w:r w:rsidR="00A94D4A">
        <w:t xml:space="preserve">is captured in </w:t>
      </w:r>
      <w:r w:rsidR="008E2239">
        <w:t>the ABS estimates of MFP</w:t>
      </w:r>
      <w:r w:rsidR="00A94D4A">
        <w:t>, along with the contributions to productivity of technical progress and other sources of changes in output oth</w:t>
      </w:r>
      <w:r w:rsidR="00E656A8">
        <w:t>e</w:t>
      </w:r>
      <w:r w:rsidR="00A94D4A">
        <w:t>r than changes in the inputs of capital and labour. Adjusting for the ch</w:t>
      </w:r>
      <w:r w:rsidR="001E45BA">
        <w:t>ange in natural resource inputs</w:t>
      </w:r>
      <w:r w:rsidR="00A94D4A">
        <w:t xml:space="preserve"> </w:t>
      </w:r>
      <w:r w:rsidR="000D0E42">
        <w:t>is</w:t>
      </w:r>
      <w:r w:rsidR="00225059">
        <w:t xml:space="preserve"> </w:t>
      </w:r>
      <w:r>
        <w:t xml:space="preserve">useful </w:t>
      </w:r>
      <w:r w:rsidR="00225059">
        <w:t xml:space="preserve">for </w:t>
      </w:r>
      <w:r>
        <w:t>estimat</w:t>
      </w:r>
      <w:r w:rsidR="00225059">
        <w:t>ing</w:t>
      </w:r>
      <w:r>
        <w:t xml:space="preserve"> the impact that these changes have on productivity. </w:t>
      </w:r>
      <w:r w:rsidR="00225059">
        <w:t xml:space="preserve">Such </w:t>
      </w:r>
      <w:r w:rsidR="000D0E42">
        <w:t xml:space="preserve">an </w:t>
      </w:r>
      <w:r>
        <w:t>adjust</w:t>
      </w:r>
      <w:r w:rsidR="00225059">
        <w:t>ment</w:t>
      </w:r>
      <w:r w:rsidR="00AE12EB">
        <w:t xml:space="preserve"> </w:t>
      </w:r>
      <w:r w:rsidR="00225059">
        <w:t xml:space="preserve">would also mean that </w:t>
      </w:r>
      <w:r w:rsidR="000D0E42">
        <w:t xml:space="preserve">estimates of </w:t>
      </w:r>
      <w:r>
        <w:t>MFP</w:t>
      </w:r>
      <w:r w:rsidR="000D0E42">
        <w:t xml:space="preserve"> (adjusted)</w:t>
      </w:r>
      <w:r>
        <w:t xml:space="preserve"> </w:t>
      </w:r>
      <w:r w:rsidR="00225059">
        <w:t xml:space="preserve">more closely </w:t>
      </w:r>
      <w:r w:rsidR="005C35E2">
        <w:t xml:space="preserve">measure </w:t>
      </w:r>
      <w:r w:rsidR="008E2239">
        <w:t>technical progress</w:t>
      </w:r>
      <w:r>
        <w:t>.</w:t>
      </w:r>
      <w:r w:rsidR="00D47DB0">
        <w:t xml:space="preserve"> </w:t>
      </w:r>
    </w:p>
    <w:p w:rsidR="006E7E76" w:rsidRDefault="007E0FEA" w:rsidP="008E2239">
      <w:pPr>
        <w:pStyle w:val="BodyText"/>
      </w:pPr>
      <w:r>
        <w:t xml:space="preserve">But </w:t>
      </w:r>
      <w:r w:rsidR="00546E16">
        <w:t xml:space="preserve">making </w:t>
      </w:r>
      <w:r w:rsidR="00225059">
        <w:t>such</w:t>
      </w:r>
      <w:r w:rsidR="0010240E">
        <w:t xml:space="preserve"> </w:t>
      </w:r>
      <w:r w:rsidR="00546E16">
        <w:t>adjustments</w:t>
      </w:r>
      <w:r w:rsidR="00D47DB0">
        <w:t xml:space="preserve"> </w:t>
      </w:r>
      <w:r w:rsidR="00A94D4A">
        <w:t>is</w:t>
      </w:r>
      <w:r w:rsidR="00546E16">
        <w:t xml:space="preserve"> </w:t>
      </w:r>
      <w:r w:rsidR="00D47DB0">
        <w:t>easier said than done.</w:t>
      </w:r>
      <w:r w:rsidR="006E7E76">
        <w:t xml:space="preserve"> Part of the reason </w:t>
      </w:r>
      <w:r w:rsidR="00A55239">
        <w:t xml:space="preserve">is </w:t>
      </w:r>
      <w:r w:rsidR="006E7E76">
        <w:t xml:space="preserve">that the inputs in question </w:t>
      </w:r>
      <w:r w:rsidR="00D47DB0">
        <w:t xml:space="preserve">are, unlike labour, capital and intermediate inputs, not generally traded in markets. This makes it </w:t>
      </w:r>
      <w:r w:rsidR="00225059">
        <w:t xml:space="preserve">virtually impossible </w:t>
      </w:r>
      <w:r w:rsidR="00D47DB0">
        <w:t xml:space="preserve">to </w:t>
      </w:r>
      <w:r w:rsidR="00E97F2F">
        <w:t xml:space="preserve">gather </w:t>
      </w:r>
      <w:r>
        <w:t xml:space="preserve">reliable </w:t>
      </w:r>
      <w:r w:rsidR="00E97F2F">
        <w:t>information on</w:t>
      </w:r>
      <w:r w:rsidR="00D47DB0">
        <w:t xml:space="preserve"> </w:t>
      </w:r>
      <w:r w:rsidR="00225059">
        <w:t xml:space="preserve">their use in production </w:t>
      </w:r>
      <w:r w:rsidR="00E97F2F">
        <w:t xml:space="preserve">in a way that could be readily </w:t>
      </w:r>
      <w:r w:rsidR="00D47DB0">
        <w:t xml:space="preserve">incorporated in the standard growth accounting framework. </w:t>
      </w:r>
      <w:r w:rsidR="005C35E2">
        <w:t>Accordingly</w:t>
      </w:r>
      <w:r w:rsidR="006D77C9">
        <w:t xml:space="preserve">, </w:t>
      </w:r>
      <w:r w:rsidR="00004966">
        <w:t>unpack</w:t>
      </w:r>
      <w:r w:rsidR="005C35E2">
        <w:t>ing</w:t>
      </w:r>
      <w:r w:rsidR="00004966">
        <w:t xml:space="preserve"> the broader industry trends in MFP </w:t>
      </w:r>
      <w:r w:rsidR="005C35E2">
        <w:t xml:space="preserve">will remain an important means of </w:t>
      </w:r>
      <w:r w:rsidR="00004966">
        <w:t>understand</w:t>
      </w:r>
      <w:r w:rsidR="005C35E2">
        <w:t>ing</w:t>
      </w:r>
      <w:r w:rsidR="00004966">
        <w:t xml:space="preserve"> </w:t>
      </w:r>
      <w:r w:rsidR="00546E16">
        <w:t>the</w:t>
      </w:r>
      <w:r w:rsidR="000D0E42">
        <w:t>se</w:t>
      </w:r>
      <w:r w:rsidR="00546E16">
        <w:t xml:space="preserve"> sources of changes in productivity.</w:t>
      </w:r>
    </w:p>
    <w:p w:rsidR="00E97F2F" w:rsidRDefault="00E97F2F" w:rsidP="008E2239">
      <w:pPr>
        <w:pStyle w:val="BodyText"/>
      </w:pPr>
    </w:p>
    <w:p w:rsidR="0060647A" w:rsidRDefault="0060647A">
      <w:pPr>
        <w:rPr>
          <w:rFonts w:ascii="Arial" w:hAnsi="Arial"/>
          <w:b/>
          <w:noProof/>
          <w:sz w:val="32"/>
          <w:szCs w:val="20"/>
        </w:rPr>
      </w:pPr>
      <w:r>
        <w:rPr>
          <w:noProof/>
        </w:rPr>
        <w:br w:type="page"/>
      </w:r>
    </w:p>
    <w:p w:rsidR="00662746" w:rsidRPr="009A14F2" w:rsidRDefault="0076433E" w:rsidP="00C93893">
      <w:pPr>
        <w:pStyle w:val="Heading2"/>
        <w:rPr>
          <w:noProof/>
        </w:rPr>
      </w:pPr>
      <w:r w:rsidRPr="009A14F2">
        <w:rPr>
          <w:noProof/>
        </w:rPr>
        <w:t>References</w:t>
      </w:r>
    </w:p>
    <w:p w:rsidR="003076E0" w:rsidRPr="00F626A4" w:rsidRDefault="003076E0" w:rsidP="003076E0">
      <w:pPr>
        <w:pStyle w:val="Reference"/>
        <w:spacing w:before="100"/>
        <w:rPr>
          <w:i/>
          <w:iCs/>
          <w:color w:val="000000"/>
          <w:szCs w:val="26"/>
        </w:rPr>
      </w:pPr>
      <w:r w:rsidRPr="00C93893">
        <w:t xml:space="preserve">ABS (Australian Bureau of Statistics) </w:t>
      </w:r>
      <w:proofErr w:type="spellStart"/>
      <w:r w:rsidRPr="00C93893">
        <w:t>20</w:t>
      </w:r>
      <w:r w:rsidR="00EF6BFD" w:rsidRPr="00C93893">
        <w:t>12</w:t>
      </w:r>
      <w:r w:rsidR="00CB74CB">
        <w:t>a</w:t>
      </w:r>
      <w:proofErr w:type="spellEnd"/>
      <w:r w:rsidRPr="00C93893">
        <w:t xml:space="preserve">, </w:t>
      </w:r>
      <w:r w:rsidRPr="00F64166">
        <w:rPr>
          <w:i/>
        </w:rPr>
        <w:t>Australian System of National</w:t>
      </w:r>
      <w:r w:rsidRPr="00F626A4">
        <w:rPr>
          <w:i/>
          <w:color w:val="000000"/>
        </w:rPr>
        <w:t xml:space="preserve"> Accounts: Sources, Concepts and Methods</w:t>
      </w:r>
      <w:r w:rsidRPr="00F626A4">
        <w:rPr>
          <w:color w:val="000000"/>
        </w:rPr>
        <w:t xml:space="preserve">, Cat. no. 5216.0, ABS, Canberra. </w:t>
      </w:r>
    </w:p>
    <w:p w:rsidR="00EC7BAC" w:rsidRDefault="00EC7BAC" w:rsidP="00EC7BAC">
      <w:pPr>
        <w:pStyle w:val="Reference"/>
        <w:spacing w:before="100"/>
        <w:rPr>
          <w:color w:val="000000"/>
        </w:rPr>
      </w:pPr>
      <w:r w:rsidRPr="00F626A4">
        <w:rPr>
          <w:color w:val="000000"/>
          <w:sz w:val="24"/>
        </w:rPr>
        <w:t>——</w:t>
      </w:r>
      <w:r w:rsidRPr="00F626A4">
        <w:rPr>
          <w:b/>
          <w:color w:val="000000"/>
          <w:sz w:val="24"/>
        </w:rPr>
        <w:t> </w:t>
      </w:r>
      <w:proofErr w:type="spellStart"/>
      <w:r w:rsidRPr="00F626A4">
        <w:rPr>
          <w:color w:val="000000"/>
          <w:szCs w:val="26"/>
        </w:rPr>
        <w:t>201</w:t>
      </w:r>
      <w:r>
        <w:rPr>
          <w:color w:val="000000"/>
          <w:szCs w:val="26"/>
        </w:rPr>
        <w:t>2</w:t>
      </w:r>
      <w:r w:rsidR="00CB74CB">
        <w:rPr>
          <w:color w:val="000000"/>
          <w:szCs w:val="26"/>
        </w:rPr>
        <w:t>b</w:t>
      </w:r>
      <w:proofErr w:type="spellEnd"/>
      <w:r w:rsidRPr="00F626A4">
        <w:rPr>
          <w:color w:val="000000"/>
          <w:szCs w:val="26"/>
        </w:rPr>
        <w:t xml:space="preserve">, </w:t>
      </w:r>
      <w:r w:rsidRPr="00F626A4">
        <w:rPr>
          <w:i/>
          <w:color w:val="000000"/>
          <w:szCs w:val="26"/>
        </w:rPr>
        <w:t xml:space="preserve">Estimates of Industry Multifactor Productivity, Australia: Detailed Productivity Estimates, </w:t>
      </w:r>
      <w:r w:rsidRPr="000A5A23">
        <w:rPr>
          <w:i/>
          <w:color w:val="000000"/>
          <w:szCs w:val="26"/>
        </w:rPr>
        <w:t>201</w:t>
      </w:r>
      <w:r>
        <w:rPr>
          <w:i/>
          <w:color w:val="000000"/>
          <w:szCs w:val="26"/>
        </w:rPr>
        <w:t>1</w:t>
      </w:r>
      <w:r w:rsidRPr="000A5A23">
        <w:rPr>
          <w:i/>
          <w:color w:val="000000"/>
          <w:szCs w:val="26"/>
        </w:rPr>
        <w:t>-1</w:t>
      </w:r>
      <w:r>
        <w:rPr>
          <w:i/>
          <w:color w:val="000000"/>
          <w:szCs w:val="26"/>
        </w:rPr>
        <w:t>2</w:t>
      </w:r>
      <w:r w:rsidRPr="00F626A4">
        <w:rPr>
          <w:i/>
          <w:color w:val="000000"/>
          <w:szCs w:val="26"/>
        </w:rPr>
        <w:t xml:space="preserve">, </w:t>
      </w:r>
      <w:r w:rsidRPr="00F626A4">
        <w:rPr>
          <w:color w:val="000000"/>
          <w:szCs w:val="26"/>
        </w:rPr>
        <w:t xml:space="preserve">Cat. no. 5260.0.55.002, </w:t>
      </w:r>
      <w:r>
        <w:rPr>
          <w:color w:val="000000"/>
          <w:szCs w:val="26"/>
        </w:rPr>
        <w:t xml:space="preserve">ABS, </w:t>
      </w:r>
      <w:r w:rsidRPr="00F626A4">
        <w:rPr>
          <w:color w:val="000000"/>
          <w:szCs w:val="26"/>
        </w:rPr>
        <w:t>Canberra</w:t>
      </w:r>
      <w:r>
        <w:rPr>
          <w:color w:val="000000"/>
          <w:szCs w:val="26"/>
        </w:rPr>
        <w:t>.</w:t>
      </w:r>
      <w:r w:rsidRPr="001816A4">
        <w:rPr>
          <w:szCs w:val="26"/>
        </w:rPr>
        <w:t xml:space="preserve"> </w:t>
      </w:r>
    </w:p>
    <w:p w:rsidR="00244D43" w:rsidRDefault="003076E0" w:rsidP="006E2672">
      <w:pPr>
        <w:pStyle w:val="Reference"/>
        <w:jc w:val="left"/>
      </w:pPr>
      <w:r w:rsidRPr="00F626A4">
        <w:rPr>
          <w:color w:val="000000"/>
          <w:sz w:val="24"/>
        </w:rPr>
        <w:t>——</w:t>
      </w:r>
      <w:r w:rsidRPr="00F626A4">
        <w:rPr>
          <w:b/>
          <w:color w:val="000000"/>
          <w:sz w:val="24"/>
        </w:rPr>
        <w:t> </w:t>
      </w:r>
      <w:r w:rsidRPr="00F626A4">
        <w:rPr>
          <w:color w:val="000000"/>
          <w:szCs w:val="26"/>
        </w:rPr>
        <w:t>20</w:t>
      </w:r>
      <w:r>
        <w:rPr>
          <w:color w:val="000000"/>
          <w:szCs w:val="26"/>
        </w:rPr>
        <w:t>07</w:t>
      </w:r>
      <w:r w:rsidRPr="00F626A4">
        <w:rPr>
          <w:color w:val="000000"/>
          <w:szCs w:val="26"/>
        </w:rPr>
        <w:t>,</w:t>
      </w:r>
      <w:r>
        <w:rPr>
          <w:b/>
          <w:color w:val="000000"/>
          <w:sz w:val="24"/>
        </w:rPr>
        <w:t xml:space="preserve"> </w:t>
      </w:r>
      <w:r w:rsidR="00BC3643" w:rsidRPr="00AD5B88">
        <w:rPr>
          <w:i/>
        </w:rPr>
        <w:t>Information paper: Experimental Estimates of Industry Multifactor Productivity</w:t>
      </w:r>
      <w:r w:rsidR="00BC3643" w:rsidRPr="000C5BB8">
        <w:t xml:space="preserve">, </w:t>
      </w:r>
      <w:r w:rsidR="002831D6">
        <w:t xml:space="preserve">Cat. no. </w:t>
      </w:r>
      <w:r w:rsidR="002831D6" w:rsidRPr="000C5BB8">
        <w:t>5260.0.55.001</w:t>
      </w:r>
      <w:r w:rsidR="002831D6">
        <w:t>,</w:t>
      </w:r>
      <w:r w:rsidR="002831D6" w:rsidRPr="00F626A4">
        <w:rPr>
          <w:color w:val="000000"/>
          <w:szCs w:val="26"/>
        </w:rPr>
        <w:t xml:space="preserve"> </w:t>
      </w:r>
      <w:r w:rsidR="002831D6">
        <w:rPr>
          <w:color w:val="000000"/>
          <w:szCs w:val="26"/>
        </w:rPr>
        <w:t xml:space="preserve">ABS, </w:t>
      </w:r>
      <w:r w:rsidR="002831D6" w:rsidRPr="00F626A4">
        <w:rPr>
          <w:color w:val="000000"/>
          <w:szCs w:val="26"/>
        </w:rPr>
        <w:t>Canberra</w:t>
      </w:r>
      <w:r w:rsidR="0007444B">
        <w:rPr>
          <w:color w:val="000000"/>
          <w:szCs w:val="26"/>
        </w:rPr>
        <w:t xml:space="preserve">, </w:t>
      </w:r>
      <w:r w:rsidRPr="00C93893">
        <w:t>http://</w:t>
      </w:r>
      <w:proofErr w:type="spellStart"/>
      <w:r w:rsidRPr="00C93893">
        <w:t>www.abs.gov.au</w:t>
      </w:r>
      <w:proofErr w:type="spellEnd"/>
      <w:r w:rsidRPr="00C93893">
        <w:t>/</w:t>
      </w:r>
      <w:r w:rsidR="00C93893">
        <w:br/>
      </w:r>
      <w:r w:rsidRPr="00C93893">
        <w:t>ausstats/abs@.nsf/Latestproducts/170445C4888E9D25CA25734E0019D4CC?opendocument</w:t>
      </w:r>
      <w:r w:rsidR="00C93893">
        <w:t xml:space="preserve"> (accessed 1 May 2013).</w:t>
      </w:r>
    </w:p>
    <w:p w:rsidR="00E75FE9" w:rsidRPr="00F626A4" w:rsidRDefault="00E75FE9" w:rsidP="00E75FE9">
      <w:pPr>
        <w:pStyle w:val="Reference"/>
        <w:spacing w:before="100"/>
        <w:rPr>
          <w:color w:val="000000"/>
          <w:sz w:val="24"/>
          <w:szCs w:val="24"/>
        </w:rPr>
      </w:pPr>
      <w:r w:rsidRPr="00F626A4">
        <w:rPr>
          <w:color w:val="000000"/>
          <w:szCs w:val="26"/>
        </w:rPr>
        <w:t xml:space="preserve">Barnes, P. 2011, </w:t>
      </w:r>
      <w:r w:rsidRPr="00F626A4">
        <w:rPr>
          <w:i/>
          <w:color w:val="000000"/>
          <w:szCs w:val="26"/>
        </w:rPr>
        <w:t>Multifactor Productivity Growth Cycles at the Industry Level</w:t>
      </w:r>
      <w:r w:rsidRPr="00F626A4">
        <w:rPr>
          <w:color w:val="000000"/>
          <w:szCs w:val="26"/>
        </w:rPr>
        <w:t xml:space="preserve">, Productivity Commission Staff Working Paper, </w:t>
      </w:r>
      <w:r w:rsidR="00C807B6">
        <w:rPr>
          <w:color w:val="000000"/>
          <w:szCs w:val="26"/>
        </w:rPr>
        <w:t>July</w:t>
      </w:r>
      <w:r w:rsidRPr="00F626A4">
        <w:rPr>
          <w:color w:val="000000"/>
          <w:szCs w:val="26"/>
        </w:rPr>
        <w:t xml:space="preserve">. </w:t>
      </w:r>
    </w:p>
    <w:p w:rsidR="00717466" w:rsidRPr="005C68FA" w:rsidRDefault="00717466" w:rsidP="00717466">
      <w:pPr>
        <w:pStyle w:val="Reference"/>
      </w:pPr>
      <w:r w:rsidRPr="005C68FA">
        <w:t xml:space="preserve">Bloch, H. and </w:t>
      </w:r>
      <w:proofErr w:type="spellStart"/>
      <w:r w:rsidRPr="005C68FA">
        <w:t>Zheng</w:t>
      </w:r>
      <w:proofErr w:type="spellEnd"/>
      <w:r w:rsidRPr="005C68FA">
        <w:t xml:space="preserve">, </w:t>
      </w:r>
      <w:r w:rsidR="00F8653E">
        <w:t xml:space="preserve">S. </w:t>
      </w:r>
      <w:r w:rsidRPr="005C68FA">
        <w:t xml:space="preserve">2010, </w:t>
      </w:r>
      <w:r w:rsidRPr="00FC641F">
        <w:rPr>
          <w:i/>
        </w:rPr>
        <w:t>Australia’s mining productivity paradox: implications for MFP measurement</w:t>
      </w:r>
      <w:r w:rsidRPr="005C68FA">
        <w:t xml:space="preserve">, </w:t>
      </w:r>
      <w:r w:rsidRPr="00FC641F">
        <w:t>Centre for Research in Applied Economics Working Paper Series 201012, Bentley, Western Australia: Centre for Research in Applied Ec</w:t>
      </w:r>
      <w:r w:rsidR="0007444B">
        <w:t>onomics, Curtin Business School</w:t>
      </w:r>
      <w:r w:rsidRPr="00FC641F">
        <w:t>.</w:t>
      </w:r>
    </w:p>
    <w:p w:rsidR="00180614" w:rsidRDefault="00180614" w:rsidP="00682E68">
      <w:pPr>
        <w:pStyle w:val="Reference"/>
        <w:spacing w:before="100"/>
        <w:rPr>
          <w:color w:val="000000"/>
        </w:rPr>
      </w:pPr>
      <w:proofErr w:type="spellStart"/>
      <w:r>
        <w:rPr>
          <w:color w:val="000000"/>
        </w:rPr>
        <w:t>Diewert</w:t>
      </w:r>
      <w:proofErr w:type="spellEnd"/>
      <w:r>
        <w:rPr>
          <w:color w:val="000000"/>
        </w:rPr>
        <w:t xml:space="preserve">, E. </w:t>
      </w:r>
      <w:r w:rsidR="00C807B6">
        <w:rPr>
          <w:color w:val="000000"/>
        </w:rPr>
        <w:t xml:space="preserve">2001, </w:t>
      </w:r>
      <w:r w:rsidR="00F8653E">
        <w:rPr>
          <w:color w:val="000000"/>
        </w:rPr>
        <w:t>‘</w:t>
      </w:r>
      <w:r w:rsidR="00C807B6" w:rsidRPr="009A14F2">
        <w:rPr>
          <w:color w:val="000000"/>
        </w:rPr>
        <w:t>Which (Old) Ideas on Productivity Measurement Are Ready to Use?</w:t>
      </w:r>
      <w:r w:rsidR="00F8653E">
        <w:rPr>
          <w:color w:val="000000"/>
        </w:rPr>
        <w:t>’</w:t>
      </w:r>
      <w:r w:rsidR="00C807B6" w:rsidRPr="009A14F2">
        <w:rPr>
          <w:color w:val="000000"/>
        </w:rPr>
        <w:t>,</w:t>
      </w:r>
      <w:r w:rsidR="00C807B6">
        <w:rPr>
          <w:color w:val="000000"/>
        </w:rPr>
        <w:t xml:space="preserve"> </w:t>
      </w:r>
      <w:r w:rsidR="000C20D4">
        <w:rPr>
          <w:color w:val="000000"/>
        </w:rPr>
        <w:t>Authored c</w:t>
      </w:r>
      <w:r w:rsidR="00C807B6">
        <w:rPr>
          <w:color w:val="000000"/>
        </w:rPr>
        <w:t xml:space="preserve">hapter in </w:t>
      </w:r>
      <w:r w:rsidR="00C807B6" w:rsidRPr="009A14F2">
        <w:rPr>
          <w:i/>
          <w:color w:val="000000"/>
        </w:rPr>
        <w:t>New Developments in Productivity Analysis</w:t>
      </w:r>
      <w:r w:rsidR="0007444B">
        <w:rPr>
          <w:color w:val="000000"/>
        </w:rPr>
        <w:t>, p</w:t>
      </w:r>
      <w:r w:rsidR="00C807B6">
        <w:rPr>
          <w:color w:val="000000"/>
        </w:rPr>
        <w:t xml:space="preserve">ublished </w:t>
      </w:r>
      <w:r w:rsidR="0007444B">
        <w:rPr>
          <w:color w:val="000000"/>
        </w:rPr>
        <w:t>by University of Chicago Press.</w:t>
      </w:r>
    </w:p>
    <w:p w:rsidR="00AF6530" w:rsidRDefault="00AF6530" w:rsidP="00AF6530">
      <w:pPr>
        <w:pStyle w:val="Reference"/>
        <w:spacing w:before="100"/>
        <w:rPr>
          <w:color w:val="000000"/>
        </w:rPr>
      </w:pPr>
      <w:r w:rsidRPr="00AF6530">
        <w:rPr>
          <w:color w:val="000000"/>
        </w:rPr>
        <w:t xml:space="preserve">Fox, </w:t>
      </w:r>
      <w:proofErr w:type="spellStart"/>
      <w:r w:rsidRPr="00AF6530">
        <w:rPr>
          <w:color w:val="000000"/>
        </w:rPr>
        <w:t>K.J</w:t>
      </w:r>
      <w:proofErr w:type="spellEnd"/>
      <w:r w:rsidRPr="00AF6530">
        <w:rPr>
          <w:color w:val="000000"/>
        </w:rPr>
        <w:t xml:space="preserve">., Grafton, </w:t>
      </w:r>
      <w:proofErr w:type="spellStart"/>
      <w:r w:rsidRPr="00AF6530">
        <w:rPr>
          <w:color w:val="000000"/>
        </w:rPr>
        <w:t>R.Q</w:t>
      </w:r>
      <w:proofErr w:type="spellEnd"/>
      <w:r w:rsidRPr="00AF6530">
        <w:rPr>
          <w:color w:val="000000"/>
        </w:rPr>
        <w:t>.</w:t>
      </w:r>
      <w:r>
        <w:rPr>
          <w:color w:val="000000"/>
        </w:rPr>
        <w:t>,</w:t>
      </w:r>
      <w:r w:rsidRPr="00AF6530">
        <w:rPr>
          <w:color w:val="000000"/>
        </w:rPr>
        <w:t xml:space="preserve"> </w:t>
      </w:r>
      <w:proofErr w:type="spellStart"/>
      <w:r>
        <w:rPr>
          <w:color w:val="000000"/>
        </w:rPr>
        <w:t>Kirkley</w:t>
      </w:r>
      <w:proofErr w:type="spellEnd"/>
      <w:r>
        <w:rPr>
          <w:color w:val="000000"/>
        </w:rPr>
        <w:t xml:space="preserve">, </w:t>
      </w:r>
      <w:r w:rsidRPr="00AF6530">
        <w:rPr>
          <w:color w:val="000000"/>
        </w:rPr>
        <w:t xml:space="preserve">J. </w:t>
      </w:r>
      <w:r>
        <w:rPr>
          <w:color w:val="000000"/>
        </w:rPr>
        <w:t xml:space="preserve">and Squires, D. 2003, </w:t>
      </w:r>
      <w:r w:rsidRPr="002A7741">
        <w:rPr>
          <w:color w:val="000000"/>
        </w:rPr>
        <w:t>Property Rights in a Fishery: Regulatory Change and Firm Performance,</w:t>
      </w:r>
      <w:r w:rsidRPr="00AF6530">
        <w:rPr>
          <w:color w:val="000000"/>
        </w:rPr>
        <w:t xml:space="preserve"> </w:t>
      </w:r>
      <w:r w:rsidRPr="002A7741">
        <w:rPr>
          <w:i/>
          <w:color w:val="000000"/>
        </w:rPr>
        <w:t>Journal of Environmental Economics and Management</w:t>
      </w:r>
      <w:r w:rsidR="002A7741">
        <w:rPr>
          <w:color w:val="000000"/>
        </w:rPr>
        <w:t xml:space="preserve">, vol. </w:t>
      </w:r>
      <w:r>
        <w:rPr>
          <w:color w:val="000000"/>
        </w:rPr>
        <w:t xml:space="preserve">46, </w:t>
      </w:r>
      <w:r w:rsidR="002A7741">
        <w:rPr>
          <w:color w:val="000000"/>
        </w:rPr>
        <w:t xml:space="preserve">pp. </w:t>
      </w:r>
      <w:r>
        <w:rPr>
          <w:color w:val="000000"/>
        </w:rPr>
        <w:t>156-</w:t>
      </w:r>
      <w:r w:rsidRPr="00AF6530">
        <w:rPr>
          <w:color w:val="000000"/>
        </w:rPr>
        <w:t>177.</w:t>
      </w:r>
    </w:p>
    <w:p w:rsidR="00682E68" w:rsidRPr="00F626A4" w:rsidRDefault="00682E68" w:rsidP="00682E68">
      <w:pPr>
        <w:pStyle w:val="Reference"/>
        <w:spacing w:before="100"/>
        <w:rPr>
          <w:color w:val="000000"/>
        </w:rPr>
      </w:pPr>
      <w:proofErr w:type="spellStart"/>
      <w:r w:rsidRPr="00F626A4">
        <w:rPr>
          <w:color w:val="000000"/>
        </w:rPr>
        <w:t>IPART</w:t>
      </w:r>
      <w:proofErr w:type="spellEnd"/>
      <w:r w:rsidRPr="00F626A4">
        <w:rPr>
          <w:color w:val="000000"/>
        </w:rPr>
        <w:t xml:space="preserve"> (Independent Pricing and Regulatory Tribunal of New South Wales) 2010, </w:t>
      </w:r>
      <w:r w:rsidRPr="00F626A4">
        <w:rPr>
          <w:i/>
          <w:color w:val="000000"/>
        </w:rPr>
        <w:t>Review of the Productivity Performance of State Owned Corporations. Other Industries — Final Report</w:t>
      </w:r>
      <w:r w:rsidRPr="00F626A4">
        <w:rPr>
          <w:color w:val="000000"/>
        </w:rPr>
        <w:t xml:space="preserve">, July, </w:t>
      </w:r>
      <w:proofErr w:type="spellStart"/>
      <w:r w:rsidRPr="00F626A4">
        <w:rPr>
          <w:color w:val="000000"/>
        </w:rPr>
        <w:t>IPART</w:t>
      </w:r>
      <w:proofErr w:type="spellEnd"/>
      <w:r w:rsidRPr="00F626A4">
        <w:rPr>
          <w:color w:val="000000"/>
        </w:rPr>
        <w:t xml:space="preserve">, </w:t>
      </w:r>
      <w:r w:rsidRPr="00AE44DC">
        <w:rPr>
          <w:color w:val="000000"/>
          <w:szCs w:val="26"/>
        </w:rPr>
        <w:t>Sydney,</w:t>
      </w:r>
      <w:r>
        <w:rPr>
          <w:color w:val="000000"/>
          <w:szCs w:val="26"/>
        </w:rPr>
        <w:t xml:space="preserve"> </w:t>
      </w:r>
      <w:r w:rsidRPr="00F626A4">
        <w:rPr>
          <w:color w:val="000000"/>
        </w:rPr>
        <w:t>http://</w:t>
      </w:r>
      <w:proofErr w:type="spellStart"/>
      <w:r w:rsidRPr="00F626A4">
        <w:rPr>
          <w:color w:val="000000"/>
        </w:rPr>
        <w:t>www.ipart.nsw.gov.au</w:t>
      </w:r>
      <w:proofErr w:type="spellEnd"/>
      <w:r w:rsidR="00C93893">
        <w:rPr>
          <w:color w:val="000000"/>
        </w:rPr>
        <w:br/>
      </w:r>
      <w:r w:rsidRPr="00F626A4">
        <w:rPr>
          <w:color w:val="000000"/>
        </w:rPr>
        <w:t>/Home/Industries/Other/Reviews/Productivity_Performance/Review_of_the_Productivity_Performance_of_State_-_</w:t>
      </w:r>
      <w:r w:rsidR="00C93893">
        <w:rPr>
          <w:color w:val="000000"/>
        </w:rPr>
        <w:t>Owned_Corporations (accessed 24 </w:t>
      </w:r>
      <w:r w:rsidRPr="00F626A4">
        <w:rPr>
          <w:color w:val="000000"/>
        </w:rPr>
        <w:t>December 201</w:t>
      </w:r>
      <w:r w:rsidR="0007444B">
        <w:rPr>
          <w:color w:val="000000"/>
        </w:rPr>
        <w:t>2</w:t>
      </w:r>
      <w:r w:rsidRPr="00F626A4">
        <w:rPr>
          <w:color w:val="000000"/>
        </w:rPr>
        <w:t>).</w:t>
      </w:r>
    </w:p>
    <w:p w:rsidR="00717466" w:rsidRDefault="00717466" w:rsidP="00717466">
      <w:pPr>
        <w:pStyle w:val="Reference"/>
        <w:spacing w:before="100"/>
        <w:rPr>
          <w:color w:val="000000"/>
        </w:rPr>
      </w:pPr>
      <w:r w:rsidRPr="000B0C8A">
        <w:rPr>
          <w:color w:val="000000"/>
        </w:rPr>
        <w:t xml:space="preserve">Loughton, B. 2011, </w:t>
      </w:r>
      <w:r w:rsidRPr="00AD5B88">
        <w:rPr>
          <w:i/>
          <w:color w:val="000000"/>
        </w:rPr>
        <w:t>Accounting for National Resource Inputs in Compiling Mining Industry MFP Statistics (Draft</w:t>
      </w:r>
      <w:r w:rsidR="00F8653E">
        <w:rPr>
          <w:i/>
          <w:color w:val="000000"/>
        </w:rPr>
        <w:t>)</w:t>
      </w:r>
      <w:r w:rsidRPr="000B0C8A">
        <w:rPr>
          <w:color w:val="000000"/>
        </w:rPr>
        <w:t xml:space="preserve">, </w:t>
      </w:r>
      <w:r w:rsidR="00B23B02">
        <w:rPr>
          <w:color w:val="000000"/>
        </w:rPr>
        <w:t xml:space="preserve">Australian Bureau of Statistics staff </w:t>
      </w:r>
      <w:r w:rsidRPr="000B0C8A">
        <w:rPr>
          <w:color w:val="000000"/>
        </w:rPr>
        <w:t xml:space="preserve">paper presented </w:t>
      </w:r>
      <w:r w:rsidR="00AD7EF5">
        <w:rPr>
          <w:color w:val="000000"/>
        </w:rPr>
        <w:t>at</w:t>
      </w:r>
      <w:r w:rsidRPr="000B0C8A">
        <w:rPr>
          <w:color w:val="000000"/>
        </w:rPr>
        <w:t xml:space="preserve"> the 40th Annual Conference of Economists, Canberra, July.</w:t>
      </w:r>
    </w:p>
    <w:p w:rsidR="009431B3" w:rsidRPr="00F626A4" w:rsidRDefault="009431B3" w:rsidP="009431B3">
      <w:pPr>
        <w:pStyle w:val="Reference"/>
        <w:spacing w:before="100"/>
        <w:rPr>
          <w:color w:val="000000"/>
        </w:rPr>
      </w:pPr>
      <w:r w:rsidRPr="00F626A4">
        <w:rPr>
          <w:color w:val="000000"/>
        </w:rPr>
        <w:t xml:space="preserve">Murtough, G., </w:t>
      </w:r>
      <w:proofErr w:type="spellStart"/>
      <w:r w:rsidRPr="00F626A4">
        <w:rPr>
          <w:color w:val="000000"/>
        </w:rPr>
        <w:t>Appels</w:t>
      </w:r>
      <w:proofErr w:type="spellEnd"/>
      <w:r w:rsidRPr="00F626A4">
        <w:rPr>
          <w:color w:val="000000"/>
        </w:rPr>
        <w:t xml:space="preserve">, D., </w:t>
      </w:r>
      <w:proofErr w:type="spellStart"/>
      <w:r w:rsidRPr="00F626A4">
        <w:rPr>
          <w:color w:val="000000"/>
        </w:rPr>
        <w:t>Matysek</w:t>
      </w:r>
      <w:proofErr w:type="spellEnd"/>
      <w:r w:rsidRPr="00F626A4">
        <w:rPr>
          <w:color w:val="000000"/>
        </w:rPr>
        <w:t xml:space="preserve">, A. and Lovell, C. A. K. 2001, </w:t>
      </w:r>
      <w:r w:rsidRPr="00F626A4">
        <w:rPr>
          <w:i/>
          <w:color w:val="000000"/>
        </w:rPr>
        <w:t>Greenhouse Gas Emissions and the Productivity Growth of Electricity Generators</w:t>
      </w:r>
      <w:r w:rsidRPr="00F626A4">
        <w:rPr>
          <w:color w:val="000000"/>
        </w:rPr>
        <w:t xml:space="preserve">, Productivity Commission Staff Research Paper, </w:t>
      </w:r>
      <w:proofErr w:type="spellStart"/>
      <w:r w:rsidRPr="00F626A4">
        <w:rPr>
          <w:color w:val="000000"/>
        </w:rPr>
        <w:t>AusInfo</w:t>
      </w:r>
      <w:proofErr w:type="spellEnd"/>
      <w:r w:rsidRPr="00F626A4">
        <w:rPr>
          <w:color w:val="000000"/>
        </w:rPr>
        <w:t xml:space="preserve">, Canberra. </w:t>
      </w:r>
    </w:p>
    <w:p w:rsidR="001C4196" w:rsidRDefault="001C4196" w:rsidP="001C4196">
      <w:pPr>
        <w:pStyle w:val="Reference"/>
        <w:spacing w:before="100"/>
        <w:rPr>
          <w:color w:val="000000"/>
        </w:rPr>
      </w:pPr>
      <w:r w:rsidRPr="00F626A4">
        <w:rPr>
          <w:color w:val="000000"/>
        </w:rPr>
        <w:t xml:space="preserve">OECD (Organisation for Economic Cooperation and Development) 2001, </w:t>
      </w:r>
      <w:r w:rsidRPr="00F626A4">
        <w:rPr>
          <w:i/>
          <w:color w:val="000000"/>
        </w:rPr>
        <w:t>Measuring Productivity: OECD Manual</w:t>
      </w:r>
      <w:r w:rsidRPr="00F626A4">
        <w:rPr>
          <w:color w:val="000000"/>
        </w:rPr>
        <w:t xml:space="preserve">, OECD, Paris. </w:t>
      </w:r>
    </w:p>
    <w:p w:rsidR="00DF7C2D" w:rsidRDefault="00EE459E" w:rsidP="00EE459E">
      <w:pPr>
        <w:pStyle w:val="Reference"/>
        <w:spacing w:before="100"/>
        <w:rPr>
          <w:color w:val="000000"/>
        </w:rPr>
      </w:pPr>
      <w:r w:rsidRPr="00EE459E">
        <w:rPr>
          <w:color w:val="000000"/>
        </w:rPr>
        <w:t xml:space="preserve">Productivity Commission 2011, </w:t>
      </w:r>
      <w:r w:rsidRPr="00EE459E">
        <w:rPr>
          <w:i/>
          <w:color w:val="000000"/>
        </w:rPr>
        <w:t>Australia’s Urban Water Sector</w:t>
      </w:r>
      <w:r w:rsidRPr="00EE459E">
        <w:rPr>
          <w:color w:val="000000"/>
        </w:rPr>
        <w:t xml:space="preserve">, </w:t>
      </w:r>
      <w:r w:rsidR="0007444B">
        <w:rPr>
          <w:color w:val="000000"/>
        </w:rPr>
        <w:t>Report No. </w:t>
      </w:r>
      <w:r w:rsidRPr="00EE459E">
        <w:rPr>
          <w:color w:val="000000"/>
        </w:rPr>
        <w:t xml:space="preserve">55, </w:t>
      </w:r>
      <w:r w:rsidR="0007444B">
        <w:rPr>
          <w:color w:val="000000"/>
        </w:rPr>
        <w:t xml:space="preserve">Final </w:t>
      </w:r>
      <w:r w:rsidRPr="00EE459E">
        <w:rPr>
          <w:color w:val="000000"/>
        </w:rPr>
        <w:t>Inquiry Report, Canberra.</w:t>
      </w:r>
    </w:p>
    <w:p w:rsidR="00E17E73" w:rsidRDefault="00C93893" w:rsidP="00E17E73">
      <w:pPr>
        <w:pStyle w:val="Reference"/>
        <w:spacing w:before="100"/>
        <w:rPr>
          <w:color w:val="000000"/>
        </w:rPr>
      </w:pPr>
      <w:r>
        <w:rPr>
          <w:color w:val="000000"/>
        </w:rPr>
        <w:t>—— </w:t>
      </w:r>
      <w:r w:rsidR="00E17E73" w:rsidRPr="00E17E73">
        <w:rPr>
          <w:color w:val="000000"/>
        </w:rPr>
        <w:t xml:space="preserve">2012, </w:t>
      </w:r>
      <w:r w:rsidR="00E17E73" w:rsidRPr="008D6BC0">
        <w:rPr>
          <w:i/>
          <w:color w:val="000000"/>
        </w:rPr>
        <w:t>Electricity Network Regulatory Frameworks</w:t>
      </w:r>
      <w:r w:rsidR="00E17E73" w:rsidRPr="00E17E73">
        <w:rPr>
          <w:color w:val="000000"/>
        </w:rPr>
        <w:t>, Draft Report, Canberra.</w:t>
      </w:r>
    </w:p>
    <w:p w:rsidR="005601C3" w:rsidRPr="00AD5B88" w:rsidRDefault="005601C3" w:rsidP="00AD5B88">
      <w:pPr>
        <w:pStyle w:val="Reference"/>
        <w:spacing w:before="100"/>
        <w:rPr>
          <w:color w:val="000000"/>
        </w:rPr>
      </w:pPr>
      <w:r w:rsidRPr="00AD5B88">
        <w:rPr>
          <w:color w:val="000000"/>
        </w:rPr>
        <w:t xml:space="preserve">Topp, V. and Kulys, T. 2012, </w:t>
      </w:r>
      <w:r w:rsidRPr="00AD5B88">
        <w:rPr>
          <w:i/>
          <w:color w:val="000000"/>
        </w:rPr>
        <w:t>Productivity in Electricity, Gas and Water: Measurement and Interpretation</w:t>
      </w:r>
      <w:r w:rsidRPr="00AD5B88">
        <w:rPr>
          <w:color w:val="000000"/>
        </w:rPr>
        <w:t>, Productivity Commission Staff Working Paper, March.</w:t>
      </w:r>
    </w:p>
    <w:p w:rsidR="008D345E" w:rsidRPr="00F626A4" w:rsidRDefault="00C93893" w:rsidP="008D345E">
      <w:pPr>
        <w:pStyle w:val="Reference"/>
        <w:spacing w:before="100"/>
        <w:rPr>
          <w:color w:val="000000"/>
        </w:rPr>
      </w:pPr>
      <w:r>
        <w:rPr>
          <w:color w:val="000000"/>
        </w:rPr>
        <w:t>——, </w:t>
      </w:r>
      <w:r w:rsidR="008D345E" w:rsidRPr="00F626A4">
        <w:rPr>
          <w:color w:val="000000"/>
        </w:rPr>
        <w:t xml:space="preserve">Soames, L., Parham, D. and Bloch, H. 2008, </w:t>
      </w:r>
      <w:r w:rsidR="008D345E" w:rsidRPr="00F626A4">
        <w:rPr>
          <w:i/>
          <w:color w:val="000000"/>
        </w:rPr>
        <w:t>Productivity in the Mining Industry: Measurement and Interpretation</w:t>
      </w:r>
      <w:r w:rsidR="008D345E" w:rsidRPr="00F626A4">
        <w:rPr>
          <w:color w:val="000000"/>
        </w:rPr>
        <w:t xml:space="preserve">, Productivity Commission Staff Working Paper, </w:t>
      </w:r>
      <w:r w:rsidR="00C807B6">
        <w:rPr>
          <w:color w:val="000000"/>
        </w:rPr>
        <w:t>December</w:t>
      </w:r>
      <w:r w:rsidR="008D345E" w:rsidRPr="00F626A4">
        <w:rPr>
          <w:color w:val="000000"/>
        </w:rPr>
        <w:t xml:space="preserve">. </w:t>
      </w:r>
    </w:p>
    <w:p w:rsidR="004D1ABF" w:rsidRPr="00F626A4" w:rsidRDefault="004D1ABF" w:rsidP="004D1ABF">
      <w:pPr>
        <w:pStyle w:val="Reference"/>
        <w:spacing w:before="100"/>
        <w:rPr>
          <w:color w:val="000000"/>
        </w:rPr>
      </w:pPr>
      <w:r w:rsidRPr="00F626A4">
        <w:rPr>
          <w:color w:val="000000"/>
        </w:rPr>
        <w:t xml:space="preserve">Zheng, S. 2005, </w:t>
      </w:r>
      <w:r w:rsidRPr="00F626A4">
        <w:rPr>
          <w:i/>
          <w:color w:val="000000"/>
        </w:rPr>
        <w:t>Estimating Industry Level Multifactor Productivity: Methods and Experimental Results</w:t>
      </w:r>
      <w:r w:rsidRPr="00F626A4">
        <w:rPr>
          <w:color w:val="000000"/>
        </w:rPr>
        <w:t xml:space="preserve">, Research paper, Cat. no. 1351.055.004, ABS, Canberra, July. </w:t>
      </w:r>
    </w:p>
    <w:sectPr w:rsidR="004D1ABF" w:rsidRPr="00F626A4" w:rsidSect="00AC245A">
      <w:headerReference w:type="even" r:id="rId13"/>
      <w:headerReference w:type="default" r:id="rId14"/>
      <w:footerReference w:type="even" r:id="rId15"/>
      <w:footerReference w:type="default" r:id="rId16"/>
      <w:type w:val="oddPage"/>
      <w:pgSz w:w="11907" w:h="16840" w:code="9"/>
      <w:pgMar w:top="1985" w:right="1304" w:bottom="1418" w:left="1814" w:header="1701" w:footer="56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D01" w:rsidRDefault="00CF3D01">
      <w:r>
        <w:separator/>
      </w:r>
    </w:p>
  </w:endnote>
  <w:endnote w:type="continuationSeparator" w:id="0">
    <w:p w:rsidR="00CF3D01" w:rsidRDefault="00CF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CF3D01">
      <w:trPr>
        <w:trHeight w:hRule="exact" w:val="740"/>
      </w:trPr>
      <w:tc>
        <w:tcPr>
          <w:tcW w:w="510" w:type="dxa"/>
          <w:tcBorders>
            <w:top w:val="single" w:sz="6" w:space="0" w:color="auto"/>
          </w:tcBorders>
        </w:tcPr>
        <w:p w:rsidR="00CF3D01" w:rsidRDefault="00CF3D01"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0A2FD0">
            <w:rPr>
              <w:rStyle w:val="PageNumber"/>
              <w:noProof/>
            </w:rPr>
            <w:t>4</w:t>
          </w:r>
          <w:r>
            <w:rPr>
              <w:rStyle w:val="PageNumber"/>
            </w:rPr>
            <w:fldChar w:fldCharType="end"/>
          </w:r>
        </w:p>
      </w:tc>
      <w:tc>
        <w:tcPr>
          <w:tcW w:w="1644" w:type="dxa"/>
          <w:tcBorders>
            <w:top w:val="single" w:sz="6" w:space="0" w:color="auto"/>
          </w:tcBorders>
        </w:tcPr>
        <w:p w:rsidR="00CF3D01" w:rsidRDefault="00CF3D01" w:rsidP="0019293B">
          <w:pPr>
            <w:pStyle w:val="Footer"/>
          </w:pPr>
        </w:p>
      </w:tc>
      <w:tc>
        <w:tcPr>
          <w:tcW w:w="6634" w:type="dxa"/>
        </w:tcPr>
        <w:p w:rsidR="00CF3D01" w:rsidRDefault="00CF3D01" w:rsidP="0019293B">
          <w:pPr>
            <w:pStyle w:val="Footer"/>
          </w:pPr>
        </w:p>
      </w:tc>
    </w:tr>
  </w:tbl>
  <w:p w:rsidR="00CF3D01" w:rsidRDefault="00CF3D01"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CF3D01">
      <w:trPr>
        <w:trHeight w:hRule="exact" w:val="740"/>
      </w:trPr>
      <w:tc>
        <w:tcPr>
          <w:tcW w:w="6634" w:type="dxa"/>
        </w:tcPr>
        <w:p w:rsidR="00CF3D01" w:rsidRDefault="00CF3D01">
          <w:pPr>
            <w:pStyle w:val="Footer"/>
            <w:ind w:right="360" w:firstLine="360"/>
          </w:pPr>
        </w:p>
      </w:tc>
      <w:tc>
        <w:tcPr>
          <w:tcW w:w="1644" w:type="dxa"/>
          <w:tcBorders>
            <w:top w:val="single" w:sz="6" w:space="0" w:color="auto"/>
          </w:tcBorders>
        </w:tcPr>
        <w:p w:rsidR="00CF3D01" w:rsidRDefault="000A2FD0">
          <w:pPr>
            <w:pStyle w:val="Footer"/>
          </w:pPr>
          <w:r>
            <w:fldChar w:fldCharType="begin"/>
          </w:r>
          <w:r>
            <w:instrText xml:space="preserve"> TITLE  \* MERGEFORMAT </w:instrText>
          </w:r>
          <w:r>
            <w:fldChar w:fldCharType="separate"/>
          </w:r>
          <w:r w:rsidR="00CF3D01">
            <w:t>on productivity: natural resource inputs</w:t>
          </w:r>
          <w:r>
            <w:fldChar w:fldCharType="end"/>
          </w:r>
        </w:p>
      </w:tc>
      <w:tc>
        <w:tcPr>
          <w:tcW w:w="510" w:type="dxa"/>
          <w:tcBorders>
            <w:top w:val="single" w:sz="6" w:space="0" w:color="auto"/>
          </w:tcBorders>
        </w:tcPr>
        <w:p w:rsidR="00CF3D01" w:rsidRDefault="00CF3D01">
          <w:pPr>
            <w:pStyle w:val="Footer"/>
            <w:jc w:val="right"/>
          </w:pPr>
          <w:r>
            <w:rPr>
              <w:rStyle w:val="PageNumber"/>
            </w:rPr>
            <w:fldChar w:fldCharType="begin"/>
          </w:r>
          <w:r>
            <w:rPr>
              <w:rStyle w:val="PageNumber"/>
            </w:rPr>
            <w:instrText xml:space="preserve">PAGE  </w:instrText>
          </w:r>
          <w:r>
            <w:rPr>
              <w:rStyle w:val="PageNumber"/>
            </w:rPr>
            <w:fldChar w:fldCharType="separate"/>
          </w:r>
          <w:r w:rsidR="000A2FD0">
            <w:rPr>
              <w:rStyle w:val="PageNumber"/>
              <w:noProof/>
            </w:rPr>
            <w:t>5</w:t>
          </w:r>
          <w:r>
            <w:rPr>
              <w:rStyle w:val="PageNumber"/>
            </w:rPr>
            <w:fldChar w:fldCharType="end"/>
          </w:r>
        </w:p>
      </w:tc>
    </w:tr>
  </w:tbl>
  <w:p w:rsidR="00CF3D01" w:rsidRDefault="00CF3D01" w:rsidP="000501C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D01" w:rsidRDefault="00CF3D01">
      <w:r>
        <w:separator/>
      </w:r>
    </w:p>
  </w:footnote>
  <w:footnote w:type="continuationSeparator" w:id="0">
    <w:p w:rsidR="00CF3D01" w:rsidRDefault="00CF3D01">
      <w:r>
        <w:continuationSeparator/>
      </w:r>
    </w:p>
  </w:footnote>
  <w:footnote w:id="1">
    <w:p w:rsidR="00CF3D01" w:rsidRDefault="00CF3D01">
      <w:pPr>
        <w:pStyle w:val="FootnoteText"/>
      </w:pPr>
      <w:r>
        <w:rPr>
          <w:rStyle w:val="FootnoteReference"/>
        </w:rPr>
        <w:footnoteRef/>
      </w:r>
      <w:r>
        <w:tab/>
        <w:t>Note that measures of productivity do not provide any information about economic efficiency — whether the allocation of resources to production is optimal in terms of maximising income. Productivity focuses only on the supply side — the production of goods and services — and not on whether these are the goods and services that best meet demand. Since welfare depends on price effects as well as volume changes, the use of MFP as an indicator of welfare or broader economic health has obvious limitations.</w:t>
      </w:r>
    </w:p>
  </w:footnote>
  <w:footnote w:id="2">
    <w:p w:rsidR="00CF3D01" w:rsidRDefault="00CF3D01" w:rsidP="0060647A">
      <w:pPr>
        <w:pStyle w:val="FootnoteText"/>
      </w:pPr>
      <w:r>
        <w:rPr>
          <w:rStyle w:val="FootnoteReference"/>
        </w:rPr>
        <w:footnoteRef/>
      </w:r>
      <w:r>
        <w:tab/>
        <w:t>If diverted to another industry, then one industry’s loss is another’s gain and productivity is only affected to the extent that the use of the resource in the industries makes a different contribution to the overall volume of production.</w:t>
      </w:r>
    </w:p>
  </w:footnote>
  <w:footnote w:id="3">
    <w:p w:rsidR="00CF3D01" w:rsidRDefault="00CF3D01">
      <w:pPr>
        <w:pStyle w:val="FootnoteText"/>
      </w:pPr>
      <w:r>
        <w:rPr>
          <w:rStyle w:val="FootnoteReference"/>
        </w:rPr>
        <w:footnoteRef/>
      </w:r>
      <w:r>
        <w:tab/>
        <w:t xml:space="preserve">Major adverse weather events also affect other industries, such as the impact of the 2011 floods on coal mines in Queensland. As large water users, industries like Mining and Utilities can also be adversely affected by prolonged droughts, either because of reduced output growth, or because of higher costs associated with the need to buy water. </w:t>
      </w:r>
    </w:p>
  </w:footnote>
  <w:footnote w:id="4">
    <w:p w:rsidR="00CF3D01" w:rsidRDefault="00CF3D01" w:rsidP="00CF7326">
      <w:pPr>
        <w:pStyle w:val="FootnoteText"/>
      </w:pPr>
      <w:r>
        <w:rPr>
          <w:rStyle w:val="FootnoteReference"/>
        </w:rPr>
        <w:footnoteRef/>
      </w:r>
      <w:r>
        <w:t xml:space="preserve"> </w:t>
      </w:r>
      <w:r>
        <w:tab/>
        <w:t>New deposits of mineral and energy commodities occur naturally, but at a time scale that is too slow to consider these resources ‘renewable’.</w:t>
      </w:r>
    </w:p>
  </w:footnote>
  <w:footnote w:id="5">
    <w:p w:rsidR="00CF3D01" w:rsidRDefault="00CF3D01" w:rsidP="007041F5">
      <w:pPr>
        <w:pStyle w:val="FootnoteText"/>
      </w:pPr>
      <w:r>
        <w:rPr>
          <w:rStyle w:val="FootnoteReference"/>
        </w:rPr>
        <w:footnoteRef/>
      </w:r>
      <w:r>
        <w:tab/>
        <w:t>The discovery of large, high-quality deposits could temporarily increase the average quality of mines in production. Ultimately however, it is more likely that new d</w:t>
      </w:r>
      <w:r w:rsidRPr="006A22B3">
        <w:t xml:space="preserve">iscoveries </w:t>
      </w:r>
      <w:r>
        <w:t xml:space="preserve">will </w:t>
      </w:r>
      <w:r w:rsidRPr="006A22B3">
        <w:t>attenuate but not eliminate the long-term decline in the average quality of mineral and energy deposits being mined</w:t>
      </w:r>
      <w:r>
        <w:t>.</w:t>
      </w:r>
    </w:p>
  </w:footnote>
  <w:footnote w:id="6">
    <w:p w:rsidR="00CF3D01" w:rsidRDefault="00CF3D01">
      <w:pPr>
        <w:pStyle w:val="FootnoteText"/>
      </w:pPr>
      <w:r>
        <w:rPr>
          <w:rStyle w:val="FootnoteReference"/>
        </w:rPr>
        <w:footnoteRef/>
      </w:r>
      <w:r>
        <w:tab/>
        <w:t>Note that exceeding the maximum sustainable capacity of the environment to assimilate waste might jeopardise the ability of the environment to provide a given quantity of waste-assimilation services on a renewable basis. This is similar in principle to the maximum sustainable yield concept in fisheries, whereby overfishing can cause a collapse in the fishery. It is also similar to the issue of land degradation, whereby excessive or inappropriate use of land ultimately causes yields to fall substantially, rather than being sustainable.</w:t>
      </w:r>
    </w:p>
  </w:footnote>
  <w:footnote w:id="7">
    <w:p w:rsidR="00CF3D01" w:rsidRDefault="00CF3D01">
      <w:pPr>
        <w:pStyle w:val="FootnoteText"/>
      </w:pPr>
      <w:r>
        <w:rPr>
          <w:rStyle w:val="FootnoteReference"/>
        </w:rPr>
        <w:footnoteRef/>
      </w:r>
      <w:r>
        <w:tab/>
        <w:t xml:space="preserve">This is similar to the resource depletion argument in mining, except that individual dam sites provide </w:t>
      </w:r>
      <w:r w:rsidRPr="00B22CF8">
        <w:rPr>
          <w:i/>
        </w:rPr>
        <w:t>renewable</w:t>
      </w:r>
      <w:r>
        <w:t xml:space="preserve"> inputs to production (as long as it rains and river health is not compromised), whereas individual mineral and energy deposits are eventually exhausted. The key point is that new dams tend to be of lesser quality compared with pre-existing dams, in the same way that new resource deposits in the mining industry tend to be of lower quality than previously exploited deposits.</w:t>
      </w:r>
    </w:p>
  </w:footnote>
  <w:footnote w:id="8">
    <w:p w:rsidR="00CF3D01" w:rsidRDefault="00CF3D01">
      <w:pPr>
        <w:pStyle w:val="FootnoteText"/>
      </w:pPr>
      <w:r>
        <w:rPr>
          <w:rStyle w:val="FootnoteReference"/>
        </w:rPr>
        <w:footnoteRef/>
      </w:r>
      <w:r>
        <w:tab/>
        <w:t>At least until such time as non-dam sources have become the dominant sources of water supply. At this point, MFP growth in the water supply sector should more closely reflect any ‘true’ efficiency improvements in the dominant supply technologies of the time — desalination or water recycling, for example.</w:t>
      </w:r>
    </w:p>
  </w:footnote>
  <w:footnote w:id="9">
    <w:p w:rsidR="00CF3D01" w:rsidRDefault="00CF3D01">
      <w:pPr>
        <w:pStyle w:val="FootnoteText"/>
      </w:pPr>
      <w:r>
        <w:rPr>
          <w:rStyle w:val="FootnoteReference"/>
        </w:rPr>
        <w:footnoteRef/>
      </w:r>
      <w:r>
        <w:tab/>
        <w:t>Reducing the impost on the environment may, of course, be highly desirable from a social welfare point of view if the gain to the community from this outcome exceeds the cost (part of which is reflected in the decline in measured industry productivity).</w:t>
      </w:r>
    </w:p>
  </w:footnote>
  <w:footnote w:id="10">
    <w:p w:rsidR="00CF3D01" w:rsidRDefault="00CF3D01" w:rsidP="00015E54">
      <w:pPr>
        <w:pStyle w:val="FootnoteText"/>
      </w:pPr>
      <w:r>
        <w:rPr>
          <w:rStyle w:val="FootnoteReference"/>
        </w:rPr>
        <w:footnoteRef/>
      </w:r>
      <w:r>
        <w:tab/>
        <w:t>See Murray-Darling Basin Authority (</w:t>
      </w:r>
      <w:r w:rsidRPr="00E33EFB">
        <w:t>http://</w:t>
      </w:r>
      <w:proofErr w:type="spellStart"/>
      <w:r w:rsidRPr="00E33EFB">
        <w:t>www.mdba.gov.au</w:t>
      </w:r>
      <w:proofErr w:type="spellEnd"/>
      <w:r w:rsidRPr="00E33EFB">
        <w:t>/explore-the-basin/about-the-basin</w:t>
      </w:r>
      <w:r>
        <w:t>).</w:t>
      </w:r>
    </w:p>
  </w:footnote>
  <w:footnote w:id="11">
    <w:p w:rsidR="00CF3D01" w:rsidRDefault="00CF3D01" w:rsidP="00015E54">
      <w:pPr>
        <w:pStyle w:val="FootnoteText"/>
      </w:pPr>
      <w:r>
        <w:rPr>
          <w:rStyle w:val="FootnoteReference"/>
        </w:rPr>
        <w:footnoteRef/>
      </w:r>
      <w:r>
        <w:tab/>
        <w:t xml:space="preserve">See ABS (2011) for a discussion of how the market-sector productivity cycles are determined. Note that productivity cycles identified specifically for the Agriculture industry are generally different to the cycles identified for the Market sector as a whole. For more information on industry-specific cycles see Barnes 2011, p. XVIII. </w:t>
      </w:r>
    </w:p>
  </w:footnote>
  <w:footnote w:id="12">
    <w:p w:rsidR="00CF3D01" w:rsidRDefault="00CF3D01">
      <w:pPr>
        <w:pStyle w:val="FootnoteText"/>
      </w:pPr>
      <w:r>
        <w:rPr>
          <w:rStyle w:val="FootnoteReference"/>
        </w:rPr>
        <w:footnoteRef/>
      </w:r>
      <w:r>
        <w:t xml:space="preserve"> Studies of the urban water sector and the electricity distribution sector by the Productivity Commission have criticised recent investment decisions on the basis that there were cheaper or more efficient ways of dealing with growing demand for power and water that should have been adopted first (see PC 2011 and PC 2012). To the extent that this is true, some part of the recent decline in measured MFP in this industry is excessive and could have been avoided.</w:t>
      </w:r>
    </w:p>
  </w:footnote>
  <w:footnote w:id="13">
    <w:p w:rsidR="00CF3D01" w:rsidRDefault="00CF3D01" w:rsidP="00E97F2F">
      <w:pPr>
        <w:pStyle w:val="FootnoteText"/>
      </w:pPr>
      <w:r>
        <w:rPr>
          <w:rStyle w:val="FootnoteReference"/>
        </w:rPr>
        <w:footnoteRef/>
      </w:r>
      <w:r>
        <w:t xml:space="preserve"> </w:t>
      </w:r>
      <w:r>
        <w:tab/>
        <w:t>In contrast to Mining, the generation of output in Utilities is feasible using technologies that use little or no environmental inputs (or at least not those that are supply constrained). Moreover, it is possible that all three types of natural resource inputs that are currently used by the Utilities industry could eventually be replaced by conventionally measured inputs. For example, desalination and water recycling plants could replace dams as the main source of urban water supply; tertiary treatment plants could substantially reduce the use of the environment to assimilate waste-water; and a carbon-free electricity sector could eliminate the use of the atmosphere as a sink for CO2.</w:t>
      </w:r>
    </w:p>
  </w:footnote>
  <w:footnote w:id="14">
    <w:p w:rsidR="00CF3D01" w:rsidRDefault="00CF3D01">
      <w:pPr>
        <w:pStyle w:val="FootnoteText"/>
      </w:pPr>
      <w:r>
        <w:rPr>
          <w:rStyle w:val="FootnoteReference"/>
        </w:rPr>
        <w:footnoteRef/>
      </w:r>
      <w:r>
        <w:t xml:space="preserve"> This will also be the case if natural resource inputs become ‘market’ inputs, and hence are measured explicitly as inputs. For example as carbon pricing is introduced, what is effectively a free input becomes a priced input (in the form of a carbon permit), and hence is measured as an input in the conventional MFP framework.</w:t>
      </w:r>
    </w:p>
  </w:footnote>
  <w:footnote w:id="15">
    <w:p w:rsidR="00CF3D01" w:rsidRDefault="00CF3D01">
      <w:pPr>
        <w:pStyle w:val="FootnoteText"/>
      </w:pPr>
      <w:r>
        <w:rPr>
          <w:rStyle w:val="FootnoteReference"/>
        </w:rPr>
        <w:footnoteRef/>
      </w:r>
      <w:r>
        <w:t xml:space="preserve"> There will be parts of industries that are likely to be affected, such as tourism, if a natural resource was used as the attraction.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CF3D01">
      <w:tc>
        <w:tcPr>
          <w:tcW w:w="2155" w:type="dxa"/>
          <w:tcBorders>
            <w:top w:val="single" w:sz="24" w:space="0" w:color="auto"/>
          </w:tcBorders>
        </w:tcPr>
        <w:p w:rsidR="00CF3D01" w:rsidRDefault="00CF3D01" w:rsidP="0019293B">
          <w:pPr>
            <w:pStyle w:val="HeaderEven"/>
          </w:pPr>
        </w:p>
      </w:tc>
      <w:tc>
        <w:tcPr>
          <w:tcW w:w="6634" w:type="dxa"/>
          <w:tcBorders>
            <w:top w:val="single" w:sz="6" w:space="0" w:color="auto"/>
          </w:tcBorders>
        </w:tcPr>
        <w:p w:rsidR="00CF3D01" w:rsidRDefault="00CF3D01" w:rsidP="0019293B">
          <w:pPr>
            <w:pStyle w:val="HeaderEven"/>
          </w:pPr>
        </w:p>
      </w:tc>
    </w:tr>
  </w:tbl>
  <w:p w:rsidR="00CF3D01" w:rsidRDefault="00CF3D01"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CF3D01">
      <w:tc>
        <w:tcPr>
          <w:tcW w:w="6634" w:type="dxa"/>
          <w:tcBorders>
            <w:top w:val="single" w:sz="6" w:space="0" w:color="auto"/>
          </w:tcBorders>
        </w:tcPr>
        <w:p w:rsidR="00CF3D01" w:rsidRDefault="00CF3D01" w:rsidP="00E669E2">
          <w:pPr>
            <w:pStyle w:val="HeaderOdd"/>
          </w:pPr>
        </w:p>
      </w:tc>
      <w:tc>
        <w:tcPr>
          <w:tcW w:w="2155" w:type="dxa"/>
          <w:tcBorders>
            <w:top w:val="single" w:sz="24" w:space="0" w:color="auto"/>
          </w:tcBorders>
        </w:tcPr>
        <w:p w:rsidR="00CF3D01" w:rsidRDefault="00CF3D01" w:rsidP="00E669E2">
          <w:pPr>
            <w:pStyle w:val="HeaderOdd"/>
          </w:pPr>
        </w:p>
      </w:tc>
    </w:tr>
  </w:tbl>
  <w:p w:rsidR="00CF3D01" w:rsidRDefault="00CF3D01" w:rsidP="00AC245A">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1">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2">
    <w:nsid w:val="3F3922FF"/>
    <w:multiLevelType w:val="hybridMultilevel"/>
    <w:tmpl w:val="73D8B88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48022AB7"/>
    <w:multiLevelType w:val="multilevel"/>
    <w:tmpl w:val="AD589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nsid w:val="51F74561"/>
    <w:multiLevelType w:val="singleLevel"/>
    <w:tmpl w:val="ED98921A"/>
    <w:lvl w:ilvl="0">
      <w:start w:val="1"/>
      <w:numFmt w:val="decimal"/>
      <w:lvlText w:val="%1."/>
      <w:legacy w:legacy="1" w:legacySpace="0" w:legacyIndent="340"/>
      <w:lvlJc w:val="left"/>
      <w:pPr>
        <w:ind w:left="340" w:hanging="340"/>
      </w:pPr>
    </w:lvl>
  </w:abstractNum>
  <w:abstractNum w:abstractNumId="2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9">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3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1">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2">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nsid w:val="5A096576"/>
    <w:multiLevelType w:val="singleLevel"/>
    <w:tmpl w:val="ED98921A"/>
    <w:lvl w:ilvl="0">
      <w:start w:val="1"/>
      <w:numFmt w:val="decimal"/>
      <w:lvlText w:val="%1."/>
      <w:legacy w:legacy="1" w:legacySpace="0" w:legacyIndent="340"/>
      <w:lvlJc w:val="left"/>
      <w:pPr>
        <w:ind w:left="340" w:hanging="340"/>
      </w:pPr>
    </w:lvl>
  </w:abstractNum>
  <w:abstractNum w:abstractNumId="34">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0055F7F"/>
    <w:multiLevelType w:val="singleLevel"/>
    <w:tmpl w:val="ED98921A"/>
    <w:lvl w:ilvl="0">
      <w:start w:val="1"/>
      <w:numFmt w:val="decimal"/>
      <w:lvlText w:val="%1."/>
      <w:legacy w:legacy="1" w:legacySpace="0" w:legacyIndent="340"/>
      <w:lvlJc w:val="left"/>
      <w:pPr>
        <w:ind w:left="340" w:hanging="340"/>
      </w:pPr>
    </w:lvl>
  </w:abstractNum>
  <w:abstractNum w:abstractNumId="36">
    <w:nsid w:val="608E741E"/>
    <w:multiLevelType w:val="singleLevel"/>
    <w:tmpl w:val="ED98921A"/>
    <w:lvl w:ilvl="0">
      <w:start w:val="1"/>
      <w:numFmt w:val="decimal"/>
      <w:lvlText w:val="%1."/>
      <w:legacy w:legacy="1" w:legacySpace="0" w:legacyIndent="340"/>
      <w:lvlJc w:val="left"/>
      <w:pPr>
        <w:ind w:left="340" w:hanging="340"/>
      </w:pPr>
    </w:lvl>
  </w:abstractNum>
  <w:abstractNum w:abstractNumId="37">
    <w:nsid w:val="61320C1E"/>
    <w:multiLevelType w:val="singleLevel"/>
    <w:tmpl w:val="C444122C"/>
    <w:lvl w:ilvl="0">
      <w:start w:val="1"/>
      <w:numFmt w:val="decimal"/>
      <w:lvlText w:val="%1."/>
      <w:legacy w:legacy="1" w:legacySpace="0" w:legacyIndent="284"/>
      <w:lvlJc w:val="left"/>
      <w:pPr>
        <w:ind w:left="284" w:hanging="284"/>
      </w:pPr>
    </w:lvl>
  </w:abstractNum>
  <w:abstractNum w:abstractNumId="38">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0">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41">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2">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4">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5">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6">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0"/>
  </w:num>
  <w:num w:numId="3">
    <w:abstractNumId w:val="44"/>
  </w:num>
  <w:num w:numId="4">
    <w:abstractNumId w:val="7"/>
  </w:num>
  <w:num w:numId="5">
    <w:abstractNumId w:val="27"/>
  </w:num>
  <w:num w:numId="6">
    <w:abstractNumId w:val="9"/>
  </w:num>
  <w:num w:numId="7">
    <w:abstractNumId w:val="39"/>
  </w:num>
  <w:num w:numId="8">
    <w:abstractNumId w:val="30"/>
  </w:num>
  <w:num w:numId="9">
    <w:abstractNumId w:val="45"/>
  </w:num>
  <w:num w:numId="10">
    <w:abstractNumId w:val="16"/>
  </w:num>
  <w:num w:numId="11">
    <w:abstractNumId w:val="28"/>
  </w:num>
  <w:num w:numId="12">
    <w:abstractNumId w:val="15"/>
  </w:num>
  <w:num w:numId="13">
    <w:abstractNumId w:val="14"/>
  </w:num>
  <w:num w:numId="14">
    <w:abstractNumId w:val="17"/>
  </w:num>
  <w:num w:numId="15">
    <w:abstractNumId w:val="19"/>
  </w:num>
  <w:num w:numId="16">
    <w:abstractNumId w:val="24"/>
  </w:num>
  <w:num w:numId="17">
    <w:abstractNumId w:val="22"/>
  </w:num>
  <w:num w:numId="18">
    <w:abstractNumId w:val="32"/>
  </w:num>
  <w:num w:numId="19">
    <w:abstractNumId w:val="23"/>
  </w:num>
  <w:num w:numId="20">
    <w:abstractNumId w:val="5"/>
  </w:num>
  <w:num w:numId="21">
    <w:abstractNumId w:val="3"/>
  </w:num>
  <w:num w:numId="22">
    <w:abstractNumId w:val="2"/>
  </w:num>
  <w:num w:numId="23">
    <w:abstractNumId w:val="4"/>
  </w:num>
  <w:num w:numId="24">
    <w:abstractNumId w:val="1"/>
  </w:num>
  <w:num w:numId="25">
    <w:abstractNumId w:val="0"/>
  </w:num>
  <w:num w:numId="26">
    <w:abstractNumId w:val="12"/>
  </w:num>
  <w:num w:numId="27">
    <w:abstractNumId w:val="36"/>
  </w:num>
  <w:num w:numId="28">
    <w:abstractNumId w:val="38"/>
  </w:num>
  <w:num w:numId="29">
    <w:abstractNumId w:val="26"/>
  </w:num>
  <w:num w:numId="30">
    <w:abstractNumId w:val="29"/>
  </w:num>
  <w:num w:numId="31">
    <w:abstractNumId w:val="31"/>
  </w:num>
  <w:num w:numId="32">
    <w:abstractNumId w:val="43"/>
  </w:num>
  <w:num w:numId="33">
    <w:abstractNumId w:val="35"/>
  </w:num>
  <w:num w:numId="34">
    <w:abstractNumId w:val="40"/>
  </w:num>
  <w:num w:numId="35">
    <w:abstractNumId w:val="41"/>
  </w:num>
  <w:num w:numId="36">
    <w:abstractNumId w:val="33"/>
  </w:num>
  <w:num w:numId="37">
    <w:abstractNumId w:val="21"/>
  </w:num>
  <w:num w:numId="38">
    <w:abstractNumId w:val="46"/>
  </w:num>
  <w:num w:numId="39">
    <w:abstractNumId w:val="8"/>
  </w:num>
  <w:num w:numId="40">
    <w:abstractNumId w:val="18"/>
  </w:num>
  <w:num w:numId="41">
    <w:abstractNumId w:val="42"/>
  </w:num>
  <w:num w:numId="42">
    <w:abstractNumId w:val="34"/>
  </w:num>
  <w:num w:numId="43">
    <w:abstractNumId w:val="13"/>
  </w:num>
  <w:num w:numId="44">
    <w:abstractNumId w:val="37"/>
  </w:num>
  <w:num w:numId="45">
    <w:abstractNumId w:val="25"/>
  </w:num>
  <w:num w:numId="46">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mirrorMargin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on productivity: natural resource inputs"/>
  </w:docVars>
  <w:rsids>
    <w:rsidRoot w:val="00B35F88"/>
    <w:rsid w:val="00002042"/>
    <w:rsid w:val="00002127"/>
    <w:rsid w:val="00002C0B"/>
    <w:rsid w:val="00002EAD"/>
    <w:rsid w:val="0000483F"/>
    <w:rsid w:val="00004966"/>
    <w:rsid w:val="00004E54"/>
    <w:rsid w:val="0000501D"/>
    <w:rsid w:val="00005193"/>
    <w:rsid w:val="0000590C"/>
    <w:rsid w:val="0000667F"/>
    <w:rsid w:val="00007404"/>
    <w:rsid w:val="00010608"/>
    <w:rsid w:val="00013545"/>
    <w:rsid w:val="00013932"/>
    <w:rsid w:val="000142E0"/>
    <w:rsid w:val="000153C2"/>
    <w:rsid w:val="000155E8"/>
    <w:rsid w:val="00015D17"/>
    <w:rsid w:val="00015E54"/>
    <w:rsid w:val="00015FEA"/>
    <w:rsid w:val="00016A67"/>
    <w:rsid w:val="00020CEE"/>
    <w:rsid w:val="00021284"/>
    <w:rsid w:val="0002182A"/>
    <w:rsid w:val="00021BEA"/>
    <w:rsid w:val="0002393C"/>
    <w:rsid w:val="000239C7"/>
    <w:rsid w:val="000245AA"/>
    <w:rsid w:val="00025278"/>
    <w:rsid w:val="00025D13"/>
    <w:rsid w:val="00025F10"/>
    <w:rsid w:val="00026ED0"/>
    <w:rsid w:val="000302BB"/>
    <w:rsid w:val="00030A39"/>
    <w:rsid w:val="00031C22"/>
    <w:rsid w:val="000346B7"/>
    <w:rsid w:val="00034F25"/>
    <w:rsid w:val="00035AA0"/>
    <w:rsid w:val="00036321"/>
    <w:rsid w:val="0003664B"/>
    <w:rsid w:val="000371D8"/>
    <w:rsid w:val="00040127"/>
    <w:rsid w:val="0004061B"/>
    <w:rsid w:val="00040B38"/>
    <w:rsid w:val="0004111F"/>
    <w:rsid w:val="00041FF8"/>
    <w:rsid w:val="00043645"/>
    <w:rsid w:val="0004393D"/>
    <w:rsid w:val="00043B3D"/>
    <w:rsid w:val="00043E90"/>
    <w:rsid w:val="000448C5"/>
    <w:rsid w:val="000450CB"/>
    <w:rsid w:val="00045C5A"/>
    <w:rsid w:val="00046715"/>
    <w:rsid w:val="00046A14"/>
    <w:rsid w:val="00047F39"/>
    <w:rsid w:val="00050123"/>
    <w:rsid w:val="000501C0"/>
    <w:rsid w:val="000504D5"/>
    <w:rsid w:val="000505A5"/>
    <w:rsid w:val="00050986"/>
    <w:rsid w:val="00051533"/>
    <w:rsid w:val="00051AEA"/>
    <w:rsid w:val="00051EDB"/>
    <w:rsid w:val="00052A05"/>
    <w:rsid w:val="000532A0"/>
    <w:rsid w:val="00053659"/>
    <w:rsid w:val="00053832"/>
    <w:rsid w:val="00053F0B"/>
    <w:rsid w:val="0005429F"/>
    <w:rsid w:val="000545D8"/>
    <w:rsid w:val="00055AC6"/>
    <w:rsid w:val="000565B3"/>
    <w:rsid w:val="00056730"/>
    <w:rsid w:val="000574F2"/>
    <w:rsid w:val="0006169D"/>
    <w:rsid w:val="00061E86"/>
    <w:rsid w:val="000625B2"/>
    <w:rsid w:val="00065E2D"/>
    <w:rsid w:val="000700A9"/>
    <w:rsid w:val="00070240"/>
    <w:rsid w:val="00070305"/>
    <w:rsid w:val="0007150B"/>
    <w:rsid w:val="00071BD3"/>
    <w:rsid w:val="0007287F"/>
    <w:rsid w:val="00074060"/>
    <w:rsid w:val="0007438F"/>
    <w:rsid w:val="0007444B"/>
    <w:rsid w:val="00074580"/>
    <w:rsid w:val="00074B2F"/>
    <w:rsid w:val="00075CCB"/>
    <w:rsid w:val="000766C6"/>
    <w:rsid w:val="00077DEC"/>
    <w:rsid w:val="00080244"/>
    <w:rsid w:val="00080F36"/>
    <w:rsid w:val="00081787"/>
    <w:rsid w:val="000836F3"/>
    <w:rsid w:val="0008414B"/>
    <w:rsid w:val="00084CC6"/>
    <w:rsid w:val="00084F24"/>
    <w:rsid w:val="00084F25"/>
    <w:rsid w:val="0008661A"/>
    <w:rsid w:val="00086AE3"/>
    <w:rsid w:val="0008779F"/>
    <w:rsid w:val="0008784E"/>
    <w:rsid w:val="0009040F"/>
    <w:rsid w:val="00091D26"/>
    <w:rsid w:val="00091E3E"/>
    <w:rsid w:val="00093741"/>
    <w:rsid w:val="000938F5"/>
    <w:rsid w:val="00094279"/>
    <w:rsid w:val="00095743"/>
    <w:rsid w:val="000A00C0"/>
    <w:rsid w:val="000A1E27"/>
    <w:rsid w:val="000A21B4"/>
    <w:rsid w:val="000A2C7E"/>
    <w:rsid w:val="000A2FD0"/>
    <w:rsid w:val="000A5213"/>
    <w:rsid w:val="000A7B14"/>
    <w:rsid w:val="000B1256"/>
    <w:rsid w:val="000B3BFC"/>
    <w:rsid w:val="000B3DB5"/>
    <w:rsid w:val="000B4FE7"/>
    <w:rsid w:val="000B52FF"/>
    <w:rsid w:val="000B5D13"/>
    <w:rsid w:val="000B5E1F"/>
    <w:rsid w:val="000B5FC0"/>
    <w:rsid w:val="000B601B"/>
    <w:rsid w:val="000B68B1"/>
    <w:rsid w:val="000B7064"/>
    <w:rsid w:val="000B7A13"/>
    <w:rsid w:val="000C0A03"/>
    <w:rsid w:val="000C1744"/>
    <w:rsid w:val="000C207E"/>
    <w:rsid w:val="000C20D4"/>
    <w:rsid w:val="000C2B24"/>
    <w:rsid w:val="000C5BB8"/>
    <w:rsid w:val="000C5D85"/>
    <w:rsid w:val="000C60C1"/>
    <w:rsid w:val="000C6AC8"/>
    <w:rsid w:val="000C7CC3"/>
    <w:rsid w:val="000D07CC"/>
    <w:rsid w:val="000D0843"/>
    <w:rsid w:val="000D0E42"/>
    <w:rsid w:val="000D1650"/>
    <w:rsid w:val="000D16EE"/>
    <w:rsid w:val="000D1AF8"/>
    <w:rsid w:val="000D259D"/>
    <w:rsid w:val="000D31D2"/>
    <w:rsid w:val="000D4591"/>
    <w:rsid w:val="000D5A1A"/>
    <w:rsid w:val="000E0E38"/>
    <w:rsid w:val="000E25DD"/>
    <w:rsid w:val="000E26E2"/>
    <w:rsid w:val="000E3BCD"/>
    <w:rsid w:val="000E4039"/>
    <w:rsid w:val="000E41B1"/>
    <w:rsid w:val="000E4F54"/>
    <w:rsid w:val="000E5D30"/>
    <w:rsid w:val="000E76DF"/>
    <w:rsid w:val="000E7A76"/>
    <w:rsid w:val="000F1401"/>
    <w:rsid w:val="000F1D6B"/>
    <w:rsid w:val="000F2AF1"/>
    <w:rsid w:val="000F2B2A"/>
    <w:rsid w:val="000F54CA"/>
    <w:rsid w:val="000F6741"/>
    <w:rsid w:val="000F6D0B"/>
    <w:rsid w:val="000F738B"/>
    <w:rsid w:val="000F7785"/>
    <w:rsid w:val="00100A55"/>
    <w:rsid w:val="0010168E"/>
    <w:rsid w:val="0010201A"/>
    <w:rsid w:val="00102114"/>
    <w:rsid w:val="0010240E"/>
    <w:rsid w:val="0010437D"/>
    <w:rsid w:val="001045EB"/>
    <w:rsid w:val="00104786"/>
    <w:rsid w:val="00104803"/>
    <w:rsid w:val="00105688"/>
    <w:rsid w:val="001068AC"/>
    <w:rsid w:val="0010760D"/>
    <w:rsid w:val="00110116"/>
    <w:rsid w:val="001106DC"/>
    <w:rsid w:val="00110800"/>
    <w:rsid w:val="001109E7"/>
    <w:rsid w:val="00110BD3"/>
    <w:rsid w:val="00111082"/>
    <w:rsid w:val="001138DE"/>
    <w:rsid w:val="00113AA3"/>
    <w:rsid w:val="00114696"/>
    <w:rsid w:val="00114CAC"/>
    <w:rsid w:val="001151F6"/>
    <w:rsid w:val="00116FEA"/>
    <w:rsid w:val="0012028A"/>
    <w:rsid w:val="00120A55"/>
    <w:rsid w:val="00120E73"/>
    <w:rsid w:val="00120F00"/>
    <w:rsid w:val="00121023"/>
    <w:rsid w:val="0012103B"/>
    <w:rsid w:val="00123764"/>
    <w:rsid w:val="0012506F"/>
    <w:rsid w:val="0012580A"/>
    <w:rsid w:val="00126A62"/>
    <w:rsid w:val="00126EB8"/>
    <w:rsid w:val="001274D4"/>
    <w:rsid w:val="001302A6"/>
    <w:rsid w:val="0013161E"/>
    <w:rsid w:val="00131C91"/>
    <w:rsid w:val="001322CC"/>
    <w:rsid w:val="001327A5"/>
    <w:rsid w:val="00132E80"/>
    <w:rsid w:val="0013317E"/>
    <w:rsid w:val="00134AE4"/>
    <w:rsid w:val="00134E70"/>
    <w:rsid w:val="001352FB"/>
    <w:rsid w:val="0013553B"/>
    <w:rsid w:val="001363AA"/>
    <w:rsid w:val="00140FB5"/>
    <w:rsid w:val="00141F67"/>
    <w:rsid w:val="00142878"/>
    <w:rsid w:val="00142D0D"/>
    <w:rsid w:val="001434EF"/>
    <w:rsid w:val="00143C77"/>
    <w:rsid w:val="00143D67"/>
    <w:rsid w:val="00144370"/>
    <w:rsid w:val="00145DE3"/>
    <w:rsid w:val="00145E65"/>
    <w:rsid w:val="00146176"/>
    <w:rsid w:val="00147F1D"/>
    <w:rsid w:val="00150334"/>
    <w:rsid w:val="001509C7"/>
    <w:rsid w:val="00151E03"/>
    <w:rsid w:val="00153ECE"/>
    <w:rsid w:val="00154ED2"/>
    <w:rsid w:val="00155C00"/>
    <w:rsid w:val="00156726"/>
    <w:rsid w:val="00160EF0"/>
    <w:rsid w:val="0016156E"/>
    <w:rsid w:val="0016176B"/>
    <w:rsid w:val="00162557"/>
    <w:rsid w:val="00162A8F"/>
    <w:rsid w:val="00162C44"/>
    <w:rsid w:val="00162E6B"/>
    <w:rsid w:val="0016389A"/>
    <w:rsid w:val="00163D18"/>
    <w:rsid w:val="001647E9"/>
    <w:rsid w:val="00167087"/>
    <w:rsid w:val="0017043B"/>
    <w:rsid w:val="00171484"/>
    <w:rsid w:val="0017270D"/>
    <w:rsid w:val="001740F7"/>
    <w:rsid w:val="00176DD7"/>
    <w:rsid w:val="001777AF"/>
    <w:rsid w:val="00180614"/>
    <w:rsid w:val="00180E1A"/>
    <w:rsid w:val="001823E1"/>
    <w:rsid w:val="001825E2"/>
    <w:rsid w:val="00182DF1"/>
    <w:rsid w:val="00183E2B"/>
    <w:rsid w:val="00183E82"/>
    <w:rsid w:val="001843F1"/>
    <w:rsid w:val="00185BFA"/>
    <w:rsid w:val="00186241"/>
    <w:rsid w:val="0018683A"/>
    <w:rsid w:val="00187817"/>
    <w:rsid w:val="00187FAF"/>
    <w:rsid w:val="001905AF"/>
    <w:rsid w:val="001910A7"/>
    <w:rsid w:val="001914C1"/>
    <w:rsid w:val="00191AE0"/>
    <w:rsid w:val="0019235F"/>
    <w:rsid w:val="0019293B"/>
    <w:rsid w:val="001930B7"/>
    <w:rsid w:val="0019312B"/>
    <w:rsid w:val="00194148"/>
    <w:rsid w:val="00194569"/>
    <w:rsid w:val="00196541"/>
    <w:rsid w:val="00197CFA"/>
    <w:rsid w:val="001A02D7"/>
    <w:rsid w:val="001A09FC"/>
    <w:rsid w:val="001A1A1C"/>
    <w:rsid w:val="001A204A"/>
    <w:rsid w:val="001A2DC1"/>
    <w:rsid w:val="001A5823"/>
    <w:rsid w:val="001A5F1C"/>
    <w:rsid w:val="001A5F6C"/>
    <w:rsid w:val="001A68D8"/>
    <w:rsid w:val="001A758C"/>
    <w:rsid w:val="001A7DD3"/>
    <w:rsid w:val="001B08D1"/>
    <w:rsid w:val="001B1A51"/>
    <w:rsid w:val="001B5EA1"/>
    <w:rsid w:val="001B6398"/>
    <w:rsid w:val="001B6E99"/>
    <w:rsid w:val="001B73CD"/>
    <w:rsid w:val="001B7834"/>
    <w:rsid w:val="001B79DD"/>
    <w:rsid w:val="001C0081"/>
    <w:rsid w:val="001C0865"/>
    <w:rsid w:val="001C0BE3"/>
    <w:rsid w:val="001C1525"/>
    <w:rsid w:val="001C1546"/>
    <w:rsid w:val="001C3ABA"/>
    <w:rsid w:val="001C4196"/>
    <w:rsid w:val="001C4271"/>
    <w:rsid w:val="001C448A"/>
    <w:rsid w:val="001C5FC2"/>
    <w:rsid w:val="001C69B5"/>
    <w:rsid w:val="001C71A0"/>
    <w:rsid w:val="001C76A4"/>
    <w:rsid w:val="001C771E"/>
    <w:rsid w:val="001D140A"/>
    <w:rsid w:val="001D194C"/>
    <w:rsid w:val="001D227C"/>
    <w:rsid w:val="001D32A3"/>
    <w:rsid w:val="001D4614"/>
    <w:rsid w:val="001D4755"/>
    <w:rsid w:val="001D478F"/>
    <w:rsid w:val="001D4930"/>
    <w:rsid w:val="001D4AFE"/>
    <w:rsid w:val="001D4E6C"/>
    <w:rsid w:val="001E2AEB"/>
    <w:rsid w:val="001E413B"/>
    <w:rsid w:val="001E45BA"/>
    <w:rsid w:val="001E484B"/>
    <w:rsid w:val="001E689D"/>
    <w:rsid w:val="001E7BE8"/>
    <w:rsid w:val="001F0248"/>
    <w:rsid w:val="001F02B5"/>
    <w:rsid w:val="001F0509"/>
    <w:rsid w:val="001F0CCB"/>
    <w:rsid w:val="001F1710"/>
    <w:rsid w:val="001F175E"/>
    <w:rsid w:val="001F3235"/>
    <w:rsid w:val="001F3EA9"/>
    <w:rsid w:val="001F3EB3"/>
    <w:rsid w:val="001F688F"/>
    <w:rsid w:val="001F6A10"/>
    <w:rsid w:val="001F783C"/>
    <w:rsid w:val="001F7E95"/>
    <w:rsid w:val="001F7FF4"/>
    <w:rsid w:val="00200FC7"/>
    <w:rsid w:val="0020109F"/>
    <w:rsid w:val="002017E5"/>
    <w:rsid w:val="0020246F"/>
    <w:rsid w:val="00202C2C"/>
    <w:rsid w:val="002031DA"/>
    <w:rsid w:val="00204ACA"/>
    <w:rsid w:val="00204C50"/>
    <w:rsid w:val="00205818"/>
    <w:rsid w:val="00206B01"/>
    <w:rsid w:val="00207665"/>
    <w:rsid w:val="00207C7E"/>
    <w:rsid w:val="0021000F"/>
    <w:rsid w:val="00211FDC"/>
    <w:rsid w:val="002122A2"/>
    <w:rsid w:val="0021359F"/>
    <w:rsid w:val="002139C6"/>
    <w:rsid w:val="002145F3"/>
    <w:rsid w:val="00215813"/>
    <w:rsid w:val="00216680"/>
    <w:rsid w:val="002202C1"/>
    <w:rsid w:val="00220464"/>
    <w:rsid w:val="00220E00"/>
    <w:rsid w:val="00223A05"/>
    <w:rsid w:val="00224015"/>
    <w:rsid w:val="00225059"/>
    <w:rsid w:val="00227E54"/>
    <w:rsid w:val="00227EE9"/>
    <w:rsid w:val="002306E9"/>
    <w:rsid w:val="002307F3"/>
    <w:rsid w:val="00230E28"/>
    <w:rsid w:val="00231A18"/>
    <w:rsid w:val="00231D62"/>
    <w:rsid w:val="0023219F"/>
    <w:rsid w:val="002329BE"/>
    <w:rsid w:val="002335C5"/>
    <w:rsid w:val="0023393A"/>
    <w:rsid w:val="00233C89"/>
    <w:rsid w:val="00233D16"/>
    <w:rsid w:val="00233F0D"/>
    <w:rsid w:val="0023630C"/>
    <w:rsid w:val="00236706"/>
    <w:rsid w:val="00236C0A"/>
    <w:rsid w:val="002402F9"/>
    <w:rsid w:val="002417C6"/>
    <w:rsid w:val="00241F96"/>
    <w:rsid w:val="00242279"/>
    <w:rsid w:val="0024276C"/>
    <w:rsid w:val="00242B4B"/>
    <w:rsid w:val="00243258"/>
    <w:rsid w:val="00243729"/>
    <w:rsid w:val="00244D43"/>
    <w:rsid w:val="00245C82"/>
    <w:rsid w:val="00246F03"/>
    <w:rsid w:val="00247578"/>
    <w:rsid w:val="0024782F"/>
    <w:rsid w:val="00250477"/>
    <w:rsid w:val="00250687"/>
    <w:rsid w:val="00251291"/>
    <w:rsid w:val="00251757"/>
    <w:rsid w:val="00252708"/>
    <w:rsid w:val="002558D3"/>
    <w:rsid w:val="00255A55"/>
    <w:rsid w:val="002561A0"/>
    <w:rsid w:val="002574D4"/>
    <w:rsid w:val="0025778E"/>
    <w:rsid w:val="002609D0"/>
    <w:rsid w:val="00262462"/>
    <w:rsid w:val="00262D2A"/>
    <w:rsid w:val="00262F20"/>
    <w:rsid w:val="002635AA"/>
    <w:rsid w:val="00265376"/>
    <w:rsid w:val="0026557F"/>
    <w:rsid w:val="0026643A"/>
    <w:rsid w:val="0027158F"/>
    <w:rsid w:val="002741F1"/>
    <w:rsid w:val="0027467B"/>
    <w:rsid w:val="002828CF"/>
    <w:rsid w:val="00283047"/>
    <w:rsid w:val="002830F7"/>
    <w:rsid w:val="002830FF"/>
    <w:rsid w:val="002831D6"/>
    <w:rsid w:val="00283D92"/>
    <w:rsid w:val="002841B6"/>
    <w:rsid w:val="002847C1"/>
    <w:rsid w:val="00285280"/>
    <w:rsid w:val="00285DA3"/>
    <w:rsid w:val="00285F28"/>
    <w:rsid w:val="0028689A"/>
    <w:rsid w:val="002869CF"/>
    <w:rsid w:val="00286B31"/>
    <w:rsid w:val="00286D21"/>
    <w:rsid w:val="00287C52"/>
    <w:rsid w:val="00291B40"/>
    <w:rsid w:val="00292326"/>
    <w:rsid w:val="00292365"/>
    <w:rsid w:val="00293378"/>
    <w:rsid w:val="002944DC"/>
    <w:rsid w:val="0029483A"/>
    <w:rsid w:val="00294A1E"/>
    <w:rsid w:val="002951DD"/>
    <w:rsid w:val="002956BE"/>
    <w:rsid w:val="00295C37"/>
    <w:rsid w:val="00296670"/>
    <w:rsid w:val="0029730F"/>
    <w:rsid w:val="002A05B2"/>
    <w:rsid w:val="002A223B"/>
    <w:rsid w:val="002A2439"/>
    <w:rsid w:val="002A25A6"/>
    <w:rsid w:val="002A47DA"/>
    <w:rsid w:val="002A4FAB"/>
    <w:rsid w:val="002A59E2"/>
    <w:rsid w:val="002A5B27"/>
    <w:rsid w:val="002A7741"/>
    <w:rsid w:val="002A7AE6"/>
    <w:rsid w:val="002B0C5E"/>
    <w:rsid w:val="002B16E1"/>
    <w:rsid w:val="002B1813"/>
    <w:rsid w:val="002B3216"/>
    <w:rsid w:val="002B36CD"/>
    <w:rsid w:val="002B4008"/>
    <w:rsid w:val="002B4E97"/>
    <w:rsid w:val="002B7EFC"/>
    <w:rsid w:val="002C07D5"/>
    <w:rsid w:val="002C0A28"/>
    <w:rsid w:val="002C1D38"/>
    <w:rsid w:val="002C2C2F"/>
    <w:rsid w:val="002C3721"/>
    <w:rsid w:val="002C4DC4"/>
    <w:rsid w:val="002C517E"/>
    <w:rsid w:val="002C545F"/>
    <w:rsid w:val="002C561E"/>
    <w:rsid w:val="002C5875"/>
    <w:rsid w:val="002C709F"/>
    <w:rsid w:val="002C7A82"/>
    <w:rsid w:val="002C7AFB"/>
    <w:rsid w:val="002D09D4"/>
    <w:rsid w:val="002D0E8E"/>
    <w:rsid w:val="002D0F5C"/>
    <w:rsid w:val="002D3F66"/>
    <w:rsid w:val="002D793E"/>
    <w:rsid w:val="002E02A2"/>
    <w:rsid w:val="002E2087"/>
    <w:rsid w:val="002E2305"/>
    <w:rsid w:val="002E38B4"/>
    <w:rsid w:val="002E44B3"/>
    <w:rsid w:val="002E4518"/>
    <w:rsid w:val="002E4B57"/>
    <w:rsid w:val="002E5244"/>
    <w:rsid w:val="002E5339"/>
    <w:rsid w:val="002E6687"/>
    <w:rsid w:val="002F1C26"/>
    <w:rsid w:val="002F1D77"/>
    <w:rsid w:val="002F3291"/>
    <w:rsid w:val="002F3445"/>
    <w:rsid w:val="002F3DDB"/>
    <w:rsid w:val="002F7C56"/>
    <w:rsid w:val="00301189"/>
    <w:rsid w:val="00301623"/>
    <w:rsid w:val="0030260A"/>
    <w:rsid w:val="003036FA"/>
    <w:rsid w:val="0030435A"/>
    <w:rsid w:val="003063FA"/>
    <w:rsid w:val="00306A88"/>
    <w:rsid w:val="003076E0"/>
    <w:rsid w:val="00307890"/>
    <w:rsid w:val="0031047D"/>
    <w:rsid w:val="00311C40"/>
    <w:rsid w:val="00311D1E"/>
    <w:rsid w:val="00312C31"/>
    <w:rsid w:val="00314354"/>
    <w:rsid w:val="0031443A"/>
    <w:rsid w:val="00316B61"/>
    <w:rsid w:val="00317C97"/>
    <w:rsid w:val="003215E6"/>
    <w:rsid w:val="00322377"/>
    <w:rsid w:val="00323E09"/>
    <w:rsid w:val="00325178"/>
    <w:rsid w:val="00326367"/>
    <w:rsid w:val="00330343"/>
    <w:rsid w:val="003324D5"/>
    <w:rsid w:val="003333C2"/>
    <w:rsid w:val="00333932"/>
    <w:rsid w:val="0033411B"/>
    <w:rsid w:val="00334ED4"/>
    <w:rsid w:val="0033534E"/>
    <w:rsid w:val="00335989"/>
    <w:rsid w:val="00335C5C"/>
    <w:rsid w:val="00336593"/>
    <w:rsid w:val="00336985"/>
    <w:rsid w:val="00336D72"/>
    <w:rsid w:val="00336E85"/>
    <w:rsid w:val="00337170"/>
    <w:rsid w:val="003403C2"/>
    <w:rsid w:val="003404C3"/>
    <w:rsid w:val="00340E6D"/>
    <w:rsid w:val="003410E4"/>
    <w:rsid w:val="0034113D"/>
    <w:rsid w:val="00341C31"/>
    <w:rsid w:val="003429FA"/>
    <w:rsid w:val="003432D8"/>
    <w:rsid w:val="0034365C"/>
    <w:rsid w:val="003444FC"/>
    <w:rsid w:val="00345C4D"/>
    <w:rsid w:val="00345D85"/>
    <w:rsid w:val="003507DE"/>
    <w:rsid w:val="00350CCD"/>
    <w:rsid w:val="003518AA"/>
    <w:rsid w:val="00352165"/>
    <w:rsid w:val="003521D8"/>
    <w:rsid w:val="00352E3F"/>
    <w:rsid w:val="003530BD"/>
    <w:rsid w:val="00353182"/>
    <w:rsid w:val="003534E9"/>
    <w:rsid w:val="00353FAC"/>
    <w:rsid w:val="00354317"/>
    <w:rsid w:val="00355661"/>
    <w:rsid w:val="00355824"/>
    <w:rsid w:val="00355913"/>
    <w:rsid w:val="00355F90"/>
    <w:rsid w:val="003565D9"/>
    <w:rsid w:val="00356933"/>
    <w:rsid w:val="003602E1"/>
    <w:rsid w:val="00363333"/>
    <w:rsid w:val="00363B11"/>
    <w:rsid w:val="003652A1"/>
    <w:rsid w:val="00365844"/>
    <w:rsid w:val="00365A57"/>
    <w:rsid w:val="00365B88"/>
    <w:rsid w:val="00365E7E"/>
    <w:rsid w:val="00366AE9"/>
    <w:rsid w:val="00367DE9"/>
    <w:rsid w:val="0037026F"/>
    <w:rsid w:val="00370394"/>
    <w:rsid w:val="00371240"/>
    <w:rsid w:val="00371372"/>
    <w:rsid w:val="003715B0"/>
    <w:rsid w:val="00373649"/>
    <w:rsid w:val="0037365C"/>
    <w:rsid w:val="00374731"/>
    <w:rsid w:val="0037542F"/>
    <w:rsid w:val="00375BAB"/>
    <w:rsid w:val="00375CDF"/>
    <w:rsid w:val="00375F0C"/>
    <w:rsid w:val="00376283"/>
    <w:rsid w:val="00376E29"/>
    <w:rsid w:val="00376F3B"/>
    <w:rsid w:val="003774BF"/>
    <w:rsid w:val="00377E8A"/>
    <w:rsid w:val="003800DB"/>
    <w:rsid w:val="0038237D"/>
    <w:rsid w:val="00383AF7"/>
    <w:rsid w:val="00383C9A"/>
    <w:rsid w:val="00384992"/>
    <w:rsid w:val="00384DA1"/>
    <w:rsid w:val="00385B48"/>
    <w:rsid w:val="00386B2B"/>
    <w:rsid w:val="00387979"/>
    <w:rsid w:val="003910FD"/>
    <w:rsid w:val="0039147C"/>
    <w:rsid w:val="003919F9"/>
    <w:rsid w:val="00393228"/>
    <w:rsid w:val="003933A4"/>
    <w:rsid w:val="003947CC"/>
    <w:rsid w:val="003958FC"/>
    <w:rsid w:val="0039789D"/>
    <w:rsid w:val="003A0C1E"/>
    <w:rsid w:val="003A2EC2"/>
    <w:rsid w:val="003A374B"/>
    <w:rsid w:val="003A444C"/>
    <w:rsid w:val="003A5324"/>
    <w:rsid w:val="003A5903"/>
    <w:rsid w:val="003A5B83"/>
    <w:rsid w:val="003A6E50"/>
    <w:rsid w:val="003B0307"/>
    <w:rsid w:val="003B058E"/>
    <w:rsid w:val="003B0A87"/>
    <w:rsid w:val="003B20E1"/>
    <w:rsid w:val="003B3876"/>
    <w:rsid w:val="003B418C"/>
    <w:rsid w:val="003B4ADC"/>
    <w:rsid w:val="003B4BCA"/>
    <w:rsid w:val="003B4C73"/>
    <w:rsid w:val="003B4E67"/>
    <w:rsid w:val="003B707F"/>
    <w:rsid w:val="003B7304"/>
    <w:rsid w:val="003B76C1"/>
    <w:rsid w:val="003C0137"/>
    <w:rsid w:val="003C2A2B"/>
    <w:rsid w:val="003C38B5"/>
    <w:rsid w:val="003C4263"/>
    <w:rsid w:val="003C4AF7"/>
    <w:rsid w:val="003C5CC6"/>
    <w:rsid w:val="003C5D99"/>
    <w:rsid w:val="003C69C0"/>
    <w:rsid w:val="003C7796"/>
    <w:rsid w:val="003D00E1"/>
    <w:rsid w:val="003D0769"/>
    <w:rsid w:val="003D2926"/>
    <w:rsid w:val="003D546C"/>
    <w:rsid w:val="003D6737"/>
    <w:rsid w:val="003D6B0D"/>
    <w:rsid w:val="003D6E60"/>
    <w:rsid w:val="003D7719"/>
    <w:rsid w:val="003D79D3"/>
    <w:rsid w:val="003D7B03"/>
    <w:rsid w:val="003D7FAA"/>
    <w:rsid w:val="003E07F4"/>
    <w:rsid w:val="003E2AC4"/>
    <w:rsid w:val="003E2F59"/>
    <w:rsid w:val="003E4900"/>
    <w:rsid w:val="003E4A62"/>
    <w:rsid w:val="003E52E8"/>
    <w:rsid w:val="003E5509"/>
    <w:rsid w:val="003E5654"/>
    <w:rsid w:val="003E74F2"/>
    <w:rsid w:val="003F0789"/>
    <w:rsid w:val="003F1A9B"/>
    <w:rsid w:val="003F27E4"/>
    <w:rsid w:val="003F2D8B"/>
    <w:rsid w:val="003F3AF6"/>
    <w:rsid w:val="003F44CE"/>
    <w:rsid w:val="003F5D73"/>
    <w:rsid w:val="003F5F06"/>
    <w:rsid w:val="003F6CAF"/>
    <w:rsid w:val="003F7F83"/>
    <w:rsid w:val="00400375"/>
    <w:rsid w:val="00400914"/>
    <w:rsid w:val="00401882"/>
    <w:rsid w:val="00401B19"/>
    <w:rsid w:val="00402083"/>
    <w:rsid w:val="004024D0"/>
    <w:rsid w:val="0040318D"/>
    <w:rsid w:val="00403D76"/>
    <w:rsid w:val="00405219"/>
    <w:rsid w:val="00405F60"/>
    <w:rsid w:val="004065BA"/>
    <w:rsid w:val="004067EA"/>
    <w:rsid w:val="00406B76"/>
    <w:rsid w:val="00407E69"/>
    <w:rsid w:val="004100C8"/>
    <w:rsid w:val="00410C34"/>
    <w:rsid w:val="004113BE"/>
    <w:rsid w:val="00411DBD"/>
    <w:rsid w:val="0041239C"/>
    <w:rsid w:val="00412ACE"/>
    <w:rsid w:val="00413EFB"/>
    <w:rsid w:val="0041409A"/>
    <w:rsid w:val="004144C7"/>
    <w:rsid w:val="00415174"/>
    <w:rsid w:val="00417EB7"/>
    <w:rsid w:val="0042043F"/>
    <w:rsid w:val="00420FA6"/>
    <w:rsid w:val="004217DF"/>
    <w:rsid w:val="00421AEC"/>
    <w:rsid w:val="0042244F"/>
    <w:rsid w:val="00423CD6"/>
    <w:rsid w:val="00424F64"/>
    <w:rsid w:val="004263C1"/>
    <w:rsid w:val="00430131"/>
    <w:rsid w:val="00430D67"/>
    <w:rsid w:val="00431249"/>
    <w:rsid w:val="0043162F"/>
    <w:rsid w:val="004316CD"/>
    <w:rsid w:val="00432090"/>
    <w:rsid w:val="004342E0"/>
    <w:rsid w:val="00434B98"/>
    <w:rsid w:val="00434C19"/>
    <w:rsid w:val="004371A6"/>
    <w:rsid w:val="0043723A"/>
    <w:rsid w:val="0043735B"/>
    <w:rsid w:val="0043742B"/>
    <w:rsid w:val="004416B6"/>
    <w:rsid w:val="00441A3F"/>
    <w:rsid w:val="00443A68"/>
    <w:rsid w:val="00443B53"/>
    <w:rsid w:val="004446B3"/>
    <w:rsid w:val="004447DD"/>
    <w:rsid w:val="00444CD3"/>
    <w:rsid w:val="0044509F"/>
    <w:rsid w:val="0044557C"/>
    <w:rsid w:val="0044619A"/>
    <w:rsid w:val="00447220"/>
    <w:rsid w:val="0044739F"/>
    <w:rsid w:val="004478C2"/>
    <w:rsid w:val="00447E8F"/>
    <w:rsid w:val="00450298"/>
    <w:rsid w:val="00450810"/>
    <w:rsid w:val="0045161A"/>
    <w:rsid w:val="00451BDE"/>
    <w:rsid w:val="0045358C"/>
    <w:rsid w:val="00454080"/>
    <w:rsid w:val="00454BCA"/>
    <w:rsid w:val="004550C9"/>
    <w:rsid w:val="004560DA"/>
    <w:rsid w:val="0045711E"/>
    <w:rsid w:val="0046038C"/>
    <w:rsid w:val="00460700"/>
    <w:rsid w:val="0046070F"/>
    <w:rsid w:val="004616BC"/>
    <w:rsid w:val="00462762"/>
    <w:rsid w:val="00462C7B"/>
    <w:rsid w:val="00464639"/>
    <w:rsid w:val="004647A0"/>
    <w:rsid w:val="00464957"/>
    <w:rsid w:val="00465FAD"/>
    <w:rsid w:val="0046609B"/>
    <w:rsid w:val="0047046A"/>
    <w:rsid w:val="004712BB"/>
    <w:rsid w:val="00471314"/>
    <w:rsid w:val="00472D50"/>
    <w:rsid w:val="00472DF2"/>
    <w:rsid w:val="00472F3B"/>
    <w:rsid w:val="004733CC"/>
    <w:rsid w:val="00474138"/>
    <w:rsid w:val="00475C51"/>
    <w:rsid w:val="00476A96"/>
    <w:rsid w:val="00476CB2"/>
    <w:rsid w:val="00477144"/>
    <w:rsid w:val="00480351"/>
    <w:rsid w:val="00481E45"/>
    <w:rsid w:val="00483DF5"/>
    <w:rsid w:val="004845B9"/>
    <w:rsid w:val="00486535"/>
    <w:rsid w:val="00486AB9"/>
    <w:rsid w:val="0048776A"/>
    <w:rsid w:val="004900E3"/>
    <w:rsid w:val="004908E5"/>
    <w:rsid w:val="00490B40"/>
    <w:rsid w:val="00491AC7"/>
    <w:rsid w:val="00491C20"/>
    <w:rsid w:val="00492A00"/>
    <w:rsid w:val="004934DC"/>
    <w:rsid w:val="004941BA"/>
    <w:rsid w:val="00494462"/>
    <w:rsid w:val="0049459F"/>
    <w:rsid w:val="004947A9"/>
    <w:rsid w:val="00495658"/>
    <w:rsid w:val="00495AAF"/>
    <w:rsid w:val="00496D1A"/>
    <w:rsid w:val="0049755F"/>
    <w:rsid w:val="00497D7D"/>
    <w:rsid w:val="004A00D1"/>
    <w:rsid w:val="004A19F2"/>
    <w:rsid w:val="004A1C66"/>
    <w:rsid w:val="004A3877"/>
    <w:rsid w:val="004A38D3"/>
    <w:rsid w:val="004A38DD"/>
    <w:rsid w:val="004A3959"/>
    <w:rsid w:val="004A4427"/>
    <w:rsid w:val="004A519C"/>
    <w:rsid w:val="004A6465"/>
    <w:rsid w:val="004A6516"/>
    <w:rsid w:val="004A6C9A"/>
    <w:rsid w:val="004A71F3"/>
    <w:rsid w:val="004B0128"/>
    <w:rsid w:val="004B0814"/>
    <w:rsid w:val="004B16F2"/>
    <w:rsid w:val="004B28DB"/>
    <w:rsid w:val="004B31B7"/>
    <w:rsid w:val="004B37D0"/>
    <w:rsid w:val="004B3AF5"/>
    <w:rsid w:val="004B439E"/>
    <w:rsid w:val="004B43AE"/>
    <w:rsid w:val="004B6D38"/>
    <w:rsid w:val="004C0B12"/>
    <w:rsid w:val="004C0C30"/>
    <w:rsid w:val="004C2F98"/>
    <w:rsid w:val="004C30ED"/>
    <w:rsid w:val="004C57B8"/>
    <w:rsid w:val="004C74A4"/>
    <w:rsid w:val="004C789E"/>
    <w:rsid w:val="004C78E4"/>
    <w:rsid w:val="004C7EA7"/>
    <w:rsid w:val="004D0B3C"/>
    <w:rsid w:val="004D1153"/>
    <w:rsid w:val="004D1ABF"/>
    <w:rsid w:val="004D1F8E"/>
    <w:rsid w:val="004D212F"/>
    <w:rsid w:val="004D21DD"/>
    <w:rsid w:val="004D4239"/>
    <w:rsid w:val="004D5675"/>
    <w:rsid w:val="004D6BC4"/>
    <w:rsid w:val="004D70C5"/>
    <w:rsid w:val="004E206A"/>
    <w:rsid w:val="004E2507"/>
    <w:rsid w:val="004E2C94"/>
    <w:rsid w:val="004E311A"/>
    <w:rsid w:val="004E317E"/>
    <w:rsid w:val="004E58ED"/>
    <w:rsid w:val="004E5BBF"/>
    <w:rsid w:val="004E5EA8"/>
    <w:rsid w:val="004E5F81"/>
    <w:rsid w:val="004E797B"/>
    <w:rsid w:val="004F0A30"/>
    <w:rsid w:val="004F3249"/>
    <w:rsid w:val="004F327C"/>
    <w:rsid w:val="004F3EB9"/>
    <w:rsid w:val="004F4882"/>
    <w:rsid w:val="004F48DD"/>
    <w:rsid w:val="004F5B48"/>
    <w:rsid w:val="004F5CD3"/>
    <w:rsid w:val="004F7C10"/>
    <w:rsid w:val="005009F4"/>
    <w:rsid w:val="00501357"/>
    <w:rsid w:val="00501626"/>
    <w:rsid w:val="0050181E"/>
    <w:rsid w:val="005021D0"/>
    <w:rsid w:val="00502341"/>
    <w:rsid w:val="0050311F"/>
    <w:rsid w:val="00503660"/>
    <w:rsid w:val="00504549"/>
    <w:rsid w:val="005074CE"/>
    <w:rsid w:val="005076CD"/>
    <w:rsid w:val="00510581"/>
    <w:rsid w:val="00510CED"/>
    <w:rsid w:val="00510E2B"/>
    <w:rsid w:val="005111EF"/>
    <w:rsid w:val="00511438"/>
    <w:rsid w:val="005129D0"/>
    <w:rsid w:val="0051320B"/>
    <w:rsid w:val="00513C40"/>
    <w:rsid w:val="0051408F"/>
    <w:rsid w:val="00514E99"/>
    <w:rsid w:val="00520691"/>
    <w:rsid w:val="00520A24"/>
    <w:rsid w:val="00522451"/>
    <w:rsid w:val="00522555"/>
    <w:rsid w:val="005232BB"/>
    <w:rsid w:val="005235F8"/>
    <w:rsid w:val="00523639"/>
    <w:rsid w:val="005236A1"/>
    <w:rsid w:val="0052401A"/>
    <w:rsid w:val="005263A1"/>
    <w:rsid w:val="00526948"/>
    <w:rsid w:val="00526CC5"/>
    <w:rsid w:val="00527509"/>
    <w:rsid w:val="005309FD"/>
    <w:rsid w:val="0053102C"/>
    <w:rsid w:val="00531389"/>
    <w:rsid w:val="00532118"/>
    <w:rsid w:val="005327E4"/>
    <w:rsid w:val="00532C93"/>
    <w:rsid w:val="00532DE9"/>
    <w:rsid w:val="00535489"/>
    <w:rsid w:val="00535A73"/>
    <w:rsid w:val="00535FE3"/>
    <w:rsid w:val="005377AF"/>
    <w:rsid w:val="00537AEA"/>
    <w:rsid w:val="00540040"/>
    <w:rsid w:val="00544937"/>
    <w:rsid w:val="00545148"/>
    <w:rsid w:val="00546D9E"/>
    <w:rsid w:val="00546DA5"/>
    <w:rsid w:val="00546E16"/>
    <w:rsid w:val="00547F63"/>
    <w:rsid w:val="00551024"/>
    <w:rsid w:val="00551F47"/>
    <w:rsid w:val="005527B9"/>
    <w:rsid w:val="00552B30"/>
    <w:rsid w:val="00554E87"/>
    <w:rsid w:val="0055523B"/>
    <w:rsid w:val="00556BFA"/>
    <w:rsid w:val="005570B7"/>
    <w:rsid w:val="005576A8"/>
    <w:rsid w:val="00557824"/>
    <w:rsid w:val="00557F72"/>
    <w:rsid w:val="005601C3"/>
    <w:rsid w:val="00561372"/>
    <w:rsid w:val="00565326"/>
    <w:rsid w:val="00566496"/>
    <w:rsid w:val="005666D8"/>
    <w:rsid w:val="0056681A"/>
    <w:rsid w:val="005669DB"/>
    <w:rsid w:val="00566D6E"/>
    <w:rsid w:val="00566DEB"/>
    <w:rsid w:val="00567DF3"/>
    <w:rsid w:val="005716A8"/>
    <w:rsid w:val="00571C67"/>
    <w:rsid w:val="005724F6"/>
    <w:rsid w:val="00572601"/>
    <w:rsid w:val="00572B87"/>
    <w:rsid w:val="005733CA"/>
    <w:rsid w:val="00573660"/>
    <w:rsid w:val="00577CF9"/>
    <w:rsid w:val="005801A0"/>
    <w:rsid w:val="00581857"/>
    <w:rsid w:val="00581C18"/>
    <w:rsid w:val="005822EC"/>
    <w:rsid w:val="00583118"/>
    <w:rsid w:val="005831E0"/>
    <w:rsid w:val="00583786"/>
    <w:rsid w:val="00583BD9"/>
    <w:rsid w:val="00583C39"/>
    <w:rsid w:val="0058495D"/>
    <w:rsid w:val="00586981"/>
    <w:rsid w:val="00587743"/>
    <w:rsid w:val="00587B25"/>
    <w:rsid w:val="00587CC0"/>
    <w:rsid w:val="0059050D"/>
    <w:rsid w:val="005909CF"/>
    <w:rsid w:val="00591E71"/>
    <w:rsid w:val="00593A4A"/>
    <w:rsid w:val="00593C9B"/>
    <w:rsid w:val="00593D71"/>
    <w:rsid w:val="005949A1"/>
    <w:rsid w:val="0059650C"/>
    <w:rsid w:val="005977E5"/>
    <w:rsid w:val="00597E29"/>
    <w:rsid w:val="005A0B4A"/>
    <w:rsid w:val="005A0D41"/>
    <w:rsid w:val="005A0EAD"/>
    <w:rsid w:val="005A3037"/>
    <w:rsid w:val="005A55FC"/>
    <w:rsid w:val="005A5B15"/>
    <w:rsid w:val="005B02C5"/>
    <w:rsid w:val="005B0653"/>
    <w:rsid w:val="005B1C21"/>
    <w:rsid w:val="005B23AD"/>
    <w:rsid w:val="005B3C30"/>
    <w:rsid w:val="005B75D1"/>
    <w:rsid w:val="005B79BC"/>
    <w:rsid w:val="005C058C"/>
    <w:rsid w:val="005C0950"/>
    <w:rsid w:val="005C0F87"/>
    <w:rsid w:val="005C143C"/>
    <w:rsid w:val="005C1F62"/>
    <w:rsid w:val="005C26C1"/>
    <w:rsid w:val="005C2E2D"/>
    <w:rsid w:val="005C35E2"/>
    <w:rsid w:val="005C37D1"/>
    <w:rsid w:val="005C4823"/>
    <w:rsid w:val="005C49E7"/>
    <w:rsid w:val="005C55D3"/>
    <w:rsid w:val="005C5A5A"/>
    <w:rsid w:val="005C6193"/>
    <w:rsid w:val="005C6349"/>
    <w:rsid w:val="005C671E"/>
    <w:rsid w:val="005C68FA"/>
    <w:rsid w:val="005D00C6"/>
    <w:rsid w:val="005D1D2D"/>
    <w:rsid w:val="005D1D5C"/>
    <w:rsid w:val="005D278B"/>
    <w:rsid w:val="005D2C3D"/>
    <w:rsid w:val="005D383D"/>
    <w:rsid w:val="005D3A73"/>
    <w:rsid w:val="005D3A92"/>
    <w:rsid w:val="005D4B07"/>
    <w:rsid w:val="005D5D96"/>
    <w:rsid w:val="005D5F5B"/>
    <w:rsid w:val="005D60D9"/>
    <w:rsid w:val="005D6EED"/>
    <w:rsid w:val="005D755A"/>
    <w:rsid w:val="005D7AD4"/>
    <w:rsid w:val="005E0B38"/>
    <w:rsid w:val="005E1CDF"/>
    <w:rsid w:val="005E1E3E"/>
    <w:rsid w:val="005E2A8D"/>
    <w:rsid w:val="005E5039"/>
    <w:rsid w:val="005E5257"/>
    <w:rsid w:val="005E55F1"/>
    <w:rsid w:val="005E6928"/>
    <w:rsid w:val="005E6AE7"/>
    <w:rsid w:val="005E77BE"/>
    <w:rsid w:val="005E7E89"/>
    <w:rsid w:val="005F0590"/>
    <w:rsid w:val="005F15EA"/>
    <w:rsid w:val="005F16F3"/>
    <w:rsid w:val="005F1FA9"/>
    <w:rsid w:val="005F3483"/>
    <w:rsid w:val="005F39EA"/>
    <w:rsid w:val="005F424A"/>
    <w:rsid w:val="005F472D"/>
    <w:rsid w:val="005F6592"/>
    <w:rsid w:val="00600ABA"/>
    <w:rsid w:val="00600E1F"/>
    <w:rsid w:val="00601015"/>
    <w:rsid w:val="0060144D"/>
    <w:rsid w:val="00602933"/>
    <w:rsid w:val="00602975"/>
    <w:rsid w:val="00603586"/>
    <w:rsid w:val="00604378"/>
    <w:rsid w:val="0060454C"/>
    <w:rsid w:val="006052A2"/>
    <w:rsid w:val="0060647A"/>
    <w:rsid w:val="00606737"/>
    <w:rsid w:val="00606842"/>
    <w:rsid w:val="00606EE1"/>
    <w:rsid w:val="006078E2"/>
    <w:rsid w:val="00607BF1"/>
    <w:rsid w:val="00611472"/>
    <w:rsid w:val="006117BF"/>
    <w:rsid w:val="006117F9"/>
    <w:rsid w:val="006136DE"/>
    <w:rsid w:val="006139FF"/>
    <w:rsid w:val="00613FA1"/>
    <w:rsid w:val="006143E7"/>
    <w:rsid w:val="00614762"/>
    <w:rsid w:val="00614F99"/>
    <w:rsid w:val="00615386"/>
    <w:rsid w:val="00615CD2"/>
    <w:rsid w:val="00616784"/>
    <w:rsid w:val="00617254"/>
    <w:rsid w:val="006201B4"/>
    <w:rsid w:val="006211CA"/>
    <w:rsid w:val="00621221"/>
    <w:rsid w:val="0062468F"/>
    <w:rsid w:val="006249DF"/>
    <w:rsid w:val="00625375"/>
    <w:rsid w:val="00625DC5"/>
    <w:rsid w:val="00626E2F"/>
    <w:rsid w:val="00630D4D"/>
    <w:rsid w:val="0063124B"/>
    <w:rsid w:val="006315C6"/>
    <w:rsid w:val="00631C5E"/>
    <w:rsid w:val="00632A74"/>
    <w:rsid w:val="00633BAD"/>
    <w:rsid w:val="00635275"/>
    <w:rsid w:val="006360CA"/>
    <w:rsid w:val="006367A7"/>
    <w:rsid w:val="00637476"/>
    <w:rsid w:val="00640474"/>
    <w:rsid w:val="00642C3B"/>
    <w:rsid w:val="006437AF"/>
    <w:rsid w:val="00643DB6"/>
    <w:rsid w:val="006441D5"/>
    <w:rsid w:val="00644AEE"/>
    <w:rsid w:val="00644D7C"/>
    <w:rsid w:val="0064517E"/>
    <w:rsid w:val="00645493"/>
    <w:rsid w:val="00645A8C"/>
    <w:rsid w:val="006465AB"/>
    <w:rsid w:val="00646672"/>
    <w:rsid w:val="006473CD"/>
    <w:rsid w:val="00647501"/>
    <w:rsid w:val="00650ED7"/>
    <w:rsid w:val="00651E2D"/>
    <w:rsid w:val="0065384D"/>
    <w:rsid w:val="006539A3"/>
    <w:rsid w:val="00654847"/>
    <w:rsid w:val="00655D0E"/>
    <w:rsid w:val="006562CA"/>
    <w:rsid w:val="00656453"/>
    <w:rsid w:val="006569D9"/>
    <w:rsid w:val="00657230"/>
    <w:rsid w:val="00657BD8"/>
    <w:rsid w:val="00662746"/>
    <w:rsid w:val="00663BEB"/>
    <w:rsid w:val="006644DC"/>
    <w:rsid w:val="00664D5F"/>
    <w:rsid w:val="00664F44"/>
    <w:rsid w:val="00665282"/>
    <w:rsid w:val="00666BEE"/>
    <w:rsid w:val="006676EF"/>
    <w:rsid w:val="0066785F"/>
    <w:rsid w:val="00670C2C"/>
    <w:rsid w:val="006728C5"/>
    <w:rsid w:val="006731FA"/>
    <w:rsid w:val="0067362E"/>
    <w:rsid w:val="006756BB"/>
    <w:rsid w:val="00675AAC"/>
    <w:rsid w:val="00675F0B"/>
    <w:rsid w:val="006771A4"/>
    <w:rsid w:val="00682787"/>
    <w:rsid w:val="00682E68"/>
    <w:rsid w:val="00683802"/>
    <w:rsid w:val="006839DE"/>
    <w:rsid w:val="006846EC"/>
    <w:rsid w:val="00685BC4"/>
    <w:rsid w:val="006868D6"/>
    <w:rsid w:val="00687A7A"/>
    <w:rsid w:val="0069036A"/>
    <w:rsid w:val="00691B5E"/>
    <w:rsid w:val="006922BD"/>
    <w:rsid w:val="00693027"/>
    <w:rsid w:val="006931D3"/>
    <w:rsid w:val="00693368"/>
    <w:rsid w:val="006940FA"/>
    <w:rsid w:val="00694316"/>
    <w:rsid w:val="00695877"/>
    <w:rsid w:val="00695CD3"/>
    <w:rsid w:val="00696719"/>
    <w:rsid w:val="00696B08"/>
    <w:rsid w:val="006A200A"/>
    <w:rsid w:val="006A22B3"/>
    <w:rsid w:val="006A273A"/>
    <w:rsid w:val="006A42AD"/>
    <w:rsid w:val="006A4655"/>
    <w:rsid w:val="006A46A4"/>
    <w:rsid w:val="006A50CC"/>
    <w:rsid w:val="006A5389"/>
    <w:rsid w:val="006A59C4"/>
    <w:rsid w:val="006A60A3"/>
    <w:rsid w:val="006A6D27"/>
    <w:rsid w:val="006A761A"/>
    <w:rsid w:val="006B0842"/>
    <w:rsid w:val="006B1FCE"/>
    <w:rsid w:val="006B25EE"/>
    <w:rsid w:val="006B2B3C"/>
    <w:rsid w:val="006B43D2"/>
    <w:rsid w:val="006B4A60"/>
    <w:rsid w:val="006B6F78"/>
    <w:rsid w:val="006C062E"/>
    <w:rsid w:val="006C1605"/>
    <w:rsid w:val="006C1706"/>
    <w:rsid w:val="006C1B92"/>
    <w:rsid w:val="006C1D81"/>
    <w:rsid w:val="006C2BA2"/>
    <w:rsid w:val="006C2E58"/>
    <w:rsid w:val="006C3D10"/>
    <w:rsid w:val="006C3F42"/>
    <w:rsid w:val="006C5130"/>
    <w:rsid w:val="006C639A"/>
    <w:rsid w:val="006C7038"/>
    <w:rsid w:val="006C796A"/>
    <w:rsid w:val="006D1134"/>
    <w:rsid w:val="006D1289"/>
    <w:rsid w:val="006D17E7"/>
    <w:rsid w:val="006D231D"/>
    <w:rsid w:val="006D2747"/>
    <w:rsid w:val="006D2804"/>
    <w:rsid w:val="006D2FE3"/>
    <w:rsid w:val="006D3A20"/>
    <w:rsid w:val="006D4BCF"/>
    <w:rsid w:val="006D6AB5"/>
    <w:rsid w:val="006D6EA4"/>
    <w:rsid w:val="006D77C9"/>
    <w:rsid w:val="006D7FDE"/>
    <w:rsid w:val="006E08C1"/>
    <w:rsid w:val="006E17F4"/>
    <w:rsid w:val="006E24B0"/>
    <w:rsid w:val="006E2672"/>
    <w:rsid w:val="006E3FFC"/>
    <w:rsid w:val="006E599E"/>
    <w:rsid w:val="006E5A7D"/>
    <w:rsid w:val="006E7177"/>
    <w:rsid w:val="006E73EF"/>
    <w:rsid w:val="006E7449"/>
    <w:rsid w:val="006E79F1"/>
    <w:rsid w:val="006E7E76"/>
    <w:rsid w:val="006F02FB"/>
    <w:rsid w:val="006F1C75"/>
    <w:rsid w:val="006F2E87"/>
    <w:rsid w:val="006F2F5D"/>
    <w:rsid w:val="006F45C5"/>
    <w:rsid w:val="006F59F2"/>
    <w:rsid w:val="006F60F6"/>
    <w:rsid w:val="006F69A3"/>
    <w:rsid w:val="006F6BBD"/>
    <w:rsid w:val="006F70AC"/>
    <w:rsid w:val="006F72F6"/>
    <w:rsid w:val="006F7473"/>
    <w:rsid w:val="006F754F"/>
    <w:rsid w:val="007006AD"/>
    <w:rsid w:val="007006AF"/>
    <w:rsid w:val="00702A1E"/>
    <w:rsid w:val="00703976"/>
    <w:rsid w:val="007041F5"/>
    <w:rsid w:val="007054C3"/>
    <w:rsid w:val="00706144"/>
    <w:rsid w:val="007061B0"/>
    <w:rsid w:val="007079EA"/>
    <w:rsid w:val="00710B9F"/>
    <w:rsid w:val="00710F82"/>
    <w:rsid w:val="00712DAA"/>
    <w:rsid w:val="00712F01"/>
    <w:rsid w:val="00713007"/>
    <w:rsid w:val="0071306C"/>
    <w:rsid w:val="00713642"/>
    <w:rsid w:val="00714537"/>
    <w:rsid w:val="00714568"/>
    <w:rsid w:val="00714D4D"/>
    <w:rsid w:val="007167FE"/>
    <w:rsid w:val="0071680A"/>
    <w:rsid w:val="00717466"/>
    <w:rsid w:val="00720A74"/>
    <w:rsid w:val="007211D9"/>
    <w:rsid w:val="007218C2"/>
    <w:rsid w:val="00721A13"/>
    <w:rsid w:val="00721D22"/>
    <w:rsid w:val="0072435D"/>
    <w:rsid w:val="0072440B"/>
    <w:rsid w:val="00724B00"/>
    <w:rsid w:val="00724B64"/>
    <w:rsid w:val="0072515E"/>
    <w:rsid w:val="007263E6"/>
    <w:rsid w:val="00726425"/>
    <w:rsid w:val="00726F04"/>
    <w:rsid w:val="0073035B"/>
    <w:rsid w:val="00731048"/>
    <w:rsid w:val="00733403"/>
    <w:rsid w:val="00735AA5"/>
    <w:rsid w:val="00736863"/>
    <w:rsid w:val="00736E5A"/>
    <w:rsid w:val="00740536"/>
    <w:rsid w:val="007418ED"/>
    <w:rsid w:val="00742605"/>
    <w:rsid w:val="007439B9"/>
    <w:rsid w:val="00743C33"/>
    <w:rsid w:val="00744720"/>
    <w:rsid w:val="00745344"/>
    <w:rsid w:val="00745B7B"/>
    <w:rsid w:val="00746106"/>
    <w:rsid w:val="00747891"/>
    <w:rsid w:val="00750773"/>
    <w:rsid w:val="00750E03"/>
    <w:rsid w:val="00751EFA"/>
    <w:rsid w:val="00752664"/>
    <w:rsid w:val="007528EB"/>
    <w:rsid w:val="00754BAE"/>
    <w:rsid w:val="00754BF2"/>
    <w:rsid w:val="00755BBC"/>
    <w:rsid w:val="0075676B"/>
    <w:rsid w:val="00757D44"/>
    <w:rsid w:val="007604BB"/>
    <w:rsid w:val="007610F3"/>
    <w:rsid w:val="0076150A"/>
    <w:rsid w:val="00761FC0"/>
    <w:rsid w:val="00762405"/>
    <w:rsid w:val="00762C00"/>
    <w:rsid w:val="00764339"/>
    <w:rsid w:val="0076433E"/>
    <w:rsid w:val="007660A5"/>
    <w:rsid w:val="00766334"/>
    <w:rsid w:val="00767E3B"/>
    <w:rsid w:val="00770AF9"/>
    <w:rsid w:val="00770DB7"/>
    <w:rsid w:val="007732D4"/>
    <w:rsid w:val="00773F76"/>
    <w:rsid w:val="00774197"/>
    <w:rsid w:val="00774EE6"/>
    <w:rsid w:val="00775029"/>
    <w:rsid w:val="00775FB2"/>
    <w:rsid w:val="007763A1"/>
    <w:rsid w:val="00776839"/>
    <w:rsid w:val="007804A2"/>
    <w:rsid w:val="00780737"/>
    <w:rsid w:val="00780F1C"/>
    <w:rsid w:val="00781B27"/>
    <w:rsid w:val="007822E5"/>
    <w:rsid w:val="007826AE"/>
    <w:rsid w:val="00782C1E"/>
    <w:rsid w:val="00782E5B"/>
    <w:rsid w:val="00783537"/>
    <w:rsid w:val="00783685"/>
    <w:rsid w:val="0078434E"/>
    <w:rsid w:val="00785232"/>
    <w:rsid w:val="00785379"/>
    <w:rsid w:val="00785446"/>
    <w:rsid w:val="00785660"/>
    <w:rsid w:val="00785DC5"/>
    <w:rsid w:val="007865C6"/>
    <w:rsid w:val="007904B7"/>
    <w:rsid w:val="00790BEB"/>
    <w:rsid w:val="007923A1"/>
    <w:rsid w:val="0079255C"/>
    <w:rsid w:val="0079583A"/>
    <w:rsid w:val="007970DB"/>
    <w:rsid w:val="007A14FA"/>
    <w:rsid w:val="007A17E5"/>
    <w:rsid w:val="007A21EB"/>
    <w:rsid w:val="007A3501"/>
    <w:rsid w:val="007A436C"/>
    <w:rsid w:val="007A4DA9"/>
    <w:rsid w:val="007A57E5"/>
    <w:rsid w:val="007A64E1"/>
    <w:rsid w:val="007A66DE"/>
    <w:rsid w:val="007B05B6"/>
    <w:rsid w:val="007B0D39"/>
    <w:rsid w:val="007B17F8"/>
    <w:rsid w:val="007B1A93"/>
    <w:rsid w:val="007B2662"/>
    <w:rsid w:val="007B2DEC"/>
    <w:rsid w:val="007B4401"/>
    <w:rsid w:val="007B4978"/>
    <w:rsid w:val="007B51D4"/>
    <w:rsid w:val="007B5BF6"/>
    <w:rsid w:val="007B5FF8"/>
    <w:rsid w:val="007B6521"/>
    <w:rsid w:val="007B6CC6"/>
    <w:rsid w:val="007B77A0"/>
    <w:rsid w:val="007B7AD5"/>
    <w:rsid w:val="007C3301"/>
    <w:rsid w:val="007C36C9"/>
    <w:rsid w:val="007C4574"/>
    <w:rsid w:val="007C4C40"/>
    <w:rsid w:val="007C606A"/>
    <w:rsid w:val="007D07B4"/>
    <w:rsid w:val="007D08D6"/>
    <w:rsid w:val="007D0A71"/>
    <w:rsid w:val="007D2C31"/>
    <w:rsid w:val="007D2C7B"/>
    <w:rsid w:val="007D2D01"/>
    <w:rsid w:val="007D5633"/>
    <w:rsid w:val="007D5C25"/>
    <w:rsid w:val="007D6401"/>
    <w:rsid w:val="007D6820"/>
    <w:rsid w:val="007D6DD5"/>
    <w:rsid w:val="007D7673"/>
    <w:rsid w:val="007D7DE4"/>
    <w:rsid w:val="007E0146"/>
    <w:rsid w:val="007E01E4"/>
    <w:rsid w:val="007E0F81"/>
    <w:rsid w:val="007E0FEA"/>
    <w:rsid w:val="007E1FB6"/>
    <w:rsid w:val="007E2908"/>
    <w:rsid w:val="007E405C"/>
    <w:rsid w:val="007E6093"/>
    <w:rsid w:val="007E60EF"/>
    <w:rsid w:val="007F1DEF"/>
    <w:rsid w:val="007F20A8"/>
    <w:rsid w:val="007F281D"/>
    <w:rsid w:val="007F29D5"/>
    <w:rsid w:val="007F3B43"/>
    <w:rsid w:val="007F4230"/>
    <w:rsid w:val="007F4D16"/>
    <w:rsid w:val="007F511F"/>
    <w:rsid w:val="007F52F4"/>
    <w:rsid w:val="007F557B"/>
    <w:rsid w:val="007F61F8"/>
    <w:rsid w:val="007F7107"/>
    <w:rsid w:val="00801244"/>
    <w:rsid w:val="00802460"/>
    <w:rsid w:val="0080277B"/>
    <w:rsid w:val="00802E1D"/>
    <w:rsid w:val="0080358D"/>
    <w:rsid w:val="0080435C"/>
    <w:rsid w:val="00804BA9"/>
    <w:rsid w:val="00805259"/>
    <w:rsid w:val="0081030F"/>
    <w:rsid w:val="00812FD1"/>
    <w:rsid w:val="00813955"/>
    <w:rsid w:val="00813A0D"/>
    <w:rsid w:val="00813D62"/>
    <w:rsid w:val="00814DAD"/>
    <w:rsid w:val="00815614"/>
    <w:rsid w:val="00815B38"/>
    <w:rsid w:val="008167A5"/>
    <w:rsid w:val="008201FC"/>
    <w:rsid w:val="008203D7"/>
    <w:rsid w:val="0082087D"/>
    <w:rsid w:val="00820B3D"/>
    <w:rsid w:val="008215FC"/>
    <w:rsid w:val="0082167D"/>
    <w:rsid w:val="008216E0"/>
    <w:rsid w:val="00822597"/>
    <w:rsid w:val="0082260F"/>
    <w:rsid w:val="00822EDA"/>
    <w:rsid w:val="0082458B"/>
    <w:rsid w:val="00824D14"/>
    <w:rsid w:val="00826169"/>
    <w:rsid w:val="008262F6"/>
    <w:rsid w:val="00826322"/>
    <w:rsid w:val="00826A0F"/>
    <w:rsid w:val="00830095"/>
    <w:rsid w:val="00830E35"/>
    <w:rsid w:val="008333B0"/>
    <w:rsid w:val="00833949"/>
    <w:rsid w:val="00833D2B"/>
    <w:rsid w:val="00836505"/>
    <w:rsid w:val="00836ABB"/>
    <w:rsid w:val="00836E04"/>
    <w:rsid w:val="00837A6F"/>
    <w:rsid w:val="00840A80"/>
    <w:rsid w:val="00840A8C"/>
    <w:rsid w:val="008418B3"/>
    <w:rsid w:val="00842933"/>
    <w:rsid w:val="008429CD"/>
    <w:rsid w:val="008437AC"/>
    <w:rsid w:val="00845109"/>
    <w:rsid w:val="00846BB6"/>
    <w:rsid w:val="00851D0F"/>
    <w:rsid w:val="008535F2"/>
    <w:rsid w:val="00856310"/>
    <w:rsid w:val="00856F47"/>
    <w:rsid w:val="00857960"/>
    <w:rsid w:val="008602D0"/>
    <w:rsid w:val="0086082C"/>
    <w:rsid w:val="00861586"/>
    <w:rsid w:val="008616A8"/>
    <w:rsid w:val="0086191B"/>
    <w:rsid w:val="00861FD6"/>
    <w:rsid w:val="008628E5"/>
    <w:rsid w:val="008641EC"/>
    <w:rsid w:val="00864ADC"/>
    <w:rsid w:val="008652BA"/>
    <w:rsid w:val="008655CE"/>
    <w:rsid w:val="008656F7"/>
    <w:rsid w:val="00865737"/>
    <w:rsid w:val="008662B6"/>
    <w:rsid w:val="00866A94"/>
    <w:rsid w:val="008675A4"/>
    <w:rsid w:val="00870985"/>
    <w:rsid w:val="008729A3"/>
    <w:rsid w:val="008747F7"/>
    <w:rsid w:val="00875074"/>
    <w:rsid w:val="008759D9"/>
    <w:rsid w:val="00880153"/>
    <w:rsid w:val="00880862"/>
    <w:rsid w:val="00880CAB"/>
    <w:rsid w:val="00880F97"/>
    <w:rsid w:val="0088133A"/>
    <w:rsid w:val="008820C1"/>
    <w:rsid w:val="008835C3"/>
    <w:rsid w:val="00883A21"/>
    <w:rsid w:val="00885332"/>
    <w:rsid w:val="00885847"/>
    <w:rsid w:val="008859F7"/>
    <w:rsid w:val="00885E4A"/>
    <w:rsid w:val="0088799F"/>
    <w:rsid w:val="0089161A"/>
    <w:rsid w:val="0089285E"/>
    <w:rsid w:val="00892F7D"/>
    <w:rsid w:val="008932FF"/>
    <w:rsid w:val="00893B12"/>
    <w:rsid w:val="00894306"/>
    <w:rsid w:val="0089436C"/>
    <w:rsid w:val="0089444C"/>
    <w:rsid w:val="00894AA9"/>
    <w:rsid w:val="008976C3"/>
    <w:rsid w:val="008A0A91"/>
    <w:rsid w:val="008A1288"/>
    <w:rsid w:val="008A2D22"/>
    <w:rsid w:val="008A30B6"/>
    <w:rsid w:val="008A3D09"/>
    <w:rsid w:val="008A3F91"/>
    <w:rsid w:val="008A4652"/>
    <w:rsid w:val="008A4D7E"/>
    <w:rsid w:val="008A610F"/>
    <w:rsid w:val="008A6253"/>
    <w:rsid w:val="008A65C6"/>
    <w:rsid w:val="008A7648"/>
    <w:rsid w:val="008B0127"/>
    <w:rsid w:val="008B17F6"/>
    <w:rsid w:val="008B1DE4"/>
    <w:rsid w:val="008B2029"/>
    <w:rsid w:val="008B2901"/>
    <w:rsid w:val="008B2D4C"/>
    <w:rsid w:val="008B32CB"/>
    <w:rsid w:val="008B3692"/>
    <w:rsid w:val="008B3734"/>
    <w:rsid w:val="008B3C80"/>
    <w:rsid w:val="008B4987"/>
    <w:rsid w:val="008B5C1E"/>
    <w:rsid w:val="008B62C4"/>
    <w:rsid w:val="008B65D1"/>
    <w:rsid w:val="008C0780"/>
    <w:rsid w:val="008C0BC3"/>
    <w:rsid w:val="008C15EB"/>
    <w:rsid w:val="008C1881"/>
    <w:rsid w:val="008C2B88"/>
    <w:rsid w:val="008C2F6B"/>
    <w:rsid w:val="008C3350"/>
    <w:rsid w:val="008C358E"/>
    <w:rsid w:val="008C404E"/>
    <w:rsid w:val="008C4106"/>
    <w:rsid w:val="008C4A61"/>
    <w:rsid w:val="008C4A6F"/>
    <w:rsid w:val="008C4C98"/>
    <w:rsid w:val="008C6212"/>
    <w:rsid w:val="008C63EB"/>
    <w:rsid w:val="008C7362"/>
    <w:rsid w:val="008C7511"/>
    <w:rsid w:val="008D2FC9"/>
    <w:rsid w:val="008D32D0"/>
    <w:rsid w:val="008D345E"/>
    <w:rsid w:val="008D365C"/>
    <w:rsid w:val="008D3EA3"/>
    <w:rsid w:val="008D5545"/>
    <w:rsid w:val="008D6BC0"/>
    <w:rsid w:val="008D6CF7"/>
    <w:rsid w:val="008D7488"/>
    <w:rsid w:val="008D7598"/>
    <w:rsid w:val="008D77DE"/>
    <w:rsid w:val="008D7819"/>
    <w:rsid w:val="008D7A30"/>
    <w:rsid w:val="008D7F95"/>
    <w:rsid w:val="008E03A4"/>
    <w:rsid w:val="008E07AE"/>
    <w:rsid w:val="008E1196"/>
    <w:rsid w:val="008E2239"/>
    <w:rsid w:val="008E2AF3"/>
    <w:rsid w:val="008E2B85"/>
    <w:rsid w:val="008E2CC1"/>
    <w:rsid w:val="008E3B63"/>
    <w:rsid w:val="008E6489"/>
    <w:rsid w:val="008E650A"/>
    <w:rsid w:val="008E73FB"/>
    <w:rsid w:val="008F067D"/>
    <w:rsid w:val="008F07D7"/>
    <w:rsid w:val="008F0F79"/>
    <w:rsid w:val="008F10F9"/>
    <w:rsid w:val="008F19D4"/>
    <w:rsid w:val="008F2BE7"/>
    <w:rsid w:val="008F4114"/>
    <w:rsid w:val="008F4D5F"/>
    <w:rsid w:val="008F54C8"/>
    <w:rsid w:val="008F586F"/>
    <w:rsid w:val="008F67C3"/>
    <w:rsid w:val="008F6FBC"/>
    <w:rsid w:val="00902BB2"/>
    <w:rsid w:val="00902CCF"/>
    <w:rsid w:val="009030BF"/>
    <w:rsid w:val="009037D8"/>
    <w:rsid w:val="0090419A"/>
    <w:rsid w:val="00905FB0"/>
    <w:rsid w:val="0090616A"/>
    <w:rsid w:val="0091014A"/>
    <w:rsid w:val="0091032F"/>
    <w:rsid w:val="00910E5F"/>
    <w:rsid w:val="0091355B"/>
    <w:rsid w:val="00914368"/>
    <w:rsid w:val="00914AFA"/>
    <w:rsid w:val="0091551F"/>
    <w:rsid w:val="00915DD0"/>
    <w:rsid w:val="00916CBA"/>
    <w:rsid w:val="00916DD7"/>
    <w:rsid w:val="009172C8"/>
    <w:rsid w:val="00917391"/>
    <w:rsid w:val="00917FB1"/>
    <w:rsid w:val="00920874"/>
    <w:rsid w:val="00920FBB"/>
    <w:rsid w:val="00921704"/>
    <w:rsid w:val="00923F8C"/>
    <w:rsid w:val="00924945"/>
    <w:rsid w:val="00925193"/>
    <w:rsid w:val="00926179"/>
    <w:rsid w:val="009265FB"/>
    <w:rsid w:val="00926C9D"/>
    <w:rsid w:val="00926E15"/>
    <w:rsid w:val="00927187"/>
    <w:rsid w:val="00927BFD"/>
    <w:rsid w:val="00927DC3"/>
    <w:rsid w:val="00930228"/>
    <w:rsid w:val="00930797"/>
    <w:rsid w:val="00931076"/>
    <w:rsid w:val="00931769"/>
    <w:rsid w:val="00931EA0"/>
    <w:rsid w:val="00932F6B"/>
    <w:rsid w:val="009336C1"/>
    <w:rsid w:val="009345D9"/>
    <w:rsid w:val="00934B15"/>
    <w:rsid w:val="00935460"/>
    <w:rsid w:val="00935AF8"/>
    <w:rsid w:val="00936D0A"/>
    <w:rsid w:val="00937CEC"/>
    <w:rsid w:val="00941D6E"/>
    <w:rsid w:val="00942A91"/>
    <w:rsid w:val="00942B62"/>
    <w:rsid w:val="00942BA4"/>
    <w:rsid w:val="0094308C"/>
    <w:rsid w:val="00943091"/>
    <w:rsid w:val="009431B3"/>
    <w:rsid w:val="009434DA"/>
    <w:rsid w:val="00943B0B"/>
    <w:rsid w:val="009469B9"/>
    <w:rsid w:val="009479EC"/>
    <w:rsid w:val="00947E18"/>
    <w:rsid w:val="009502BD"/>
    <w:rsid w:val="0095039B"/>
    <w:rsid w:val="00951255"/>
    <w:rsid w:val="00954408"/>
    <w:rsid w:val="009564F0"/>
    <w:rsid w:val="00956A0C"/>
    <w:rsid w:val="00956BD9"/>
    <w:rsid w:val="00960E1B"/>
    <w:rsid w:val="009615D9"/>
    <w:rsid w:val="00961B39"/>
    <w:rsid w:val="00962489"/>
    <w:rsid w:val="0096410B"/>
    <w:rsid w:val="00966256"/>
    <w:rsid w:val="00966D3B"/>
    <w:rsid w:val="009672C2"/>
    <w:rsid w:val="00967771"/>
    <w:rsid w:val="00970571"/>
    <w:rsid w:val="00971212"/>
    <w:rsid w:val="009715E6"/>
    <w:rsid w:val="009727BE"/>
    <w:rsid w:val="00972B7B"/>
    <w:rsid w:val="009731D3"/>
    <w:rsid w:val="009746C9"/>
    <w:rsid w:val="00974D28"/>
    <w:rsid w:val="009764BC"/>
    <w:rsid w:val="00976B82"/>
    <w:rsid w:val="00977DD9"/>
    <w:rsid w:val="009827B4"/>
    <w:rsid w:val="00982851"/>
    <w:rsid w:val="0098682A"/>
    <w:rsid w:val="00986A87"/>
    <w:rsid w:val="009879D3"/>
    <w:rsid w:val="00990C2C"/>
    <w:rsid w:val="009920AA"/>
    <w:rsid w:val="00993589"/>
    <w:rsid w:val="009948EE"/>
    <w:rsid w:val="0099743B"/>
    <w:rsid w:val="00997ADE"/>
    <w:rsid w:val="00997BC2"/>
    <w:rsid w:val="009A007A"/>
    <w:rsid w:val="009A14F2"/>
    <w:rsid w:val="009A216A"/>
    <w:rsid w:val="009A258B"/>
    <w:rsid w:val="009A2CAF"/>
    <w:rsid w:val="009A3131"/>
    <w:rsid w:val="009A471F"/>
    <w:rsid w:val="009A4B62"/>
    <w:rsid w:val="009A5242"/>
    <w:rsid w:val="009A59C5"/>
    <w:rsid w:val="009A60D8"/>
    <w:rsid w:val="009A6635"/>
    <w:rsid w:val="009A666A"/>
    <w:rsid w:val="009A6BD2"/>
    <w:rsid w:val="009B0E9A"/>
    <w:rsid w:val="009B0F11"/>
    <w:rsid w:val="009B1496"/>
    <w:rsid w:val="009B1EDB"/>
    <w:rsid w:val="009B1F60"/>
    <w:rsid w:val="009B305B"/>
    <w:rsid w:val="009B31DF"/>
    <w:rsid w:val="009B3A05"/>
    <w:rsid w:val="009B419B"/>
    <w:rsid w:val="009B5D07"/>
    <w:rsid w:val="009B6703"/>
    <w:rsid w:val="009B6DDB"/>
    <w:rsid w:val="009B7DA0"/>
    <w:rsid w:val="009B7F0D"/>
    <w:rsid w:val="009C2928"/>
    <w:rsid w:val="009C3C3E"/>
    <w:rsid w:val="009C4135"/>
    <w:rsid w:val="009C52D6"/>
    <w:rsid w:val="009C57F4"/>
    <w:rsid w:val="009C6A45"/>
    <w:rsid w:val="009C7490"/>
    <w:rsid w:val="009D08FD"/>
    <w:rsid w:val="009D0B9E"/>
    <w:rsid w:val="009D147B"/>
    <w:rsid w:val="009D14C0"/>
    <w:rsid w:val="009D1731"/>
    <w:rsid w:val="009D2200"/>
    <w:rsid w:val="009D2261"/>
    <w:rsid w:val="009D4D0C"/>
    <w:rsid w:val="009D5359"/>
    <w:rsid w:val="009D5798"/>
    <w:rsid w:val="009D7542"/>
    <w:rsid w:val="009E16CA"/>
    <w:rsid w:val="009E2835"/>
    <w:rsid w:val="009E3A8F"/>
    <w:rsid w:val="009E3ACF"/>
    <w:rsid w:val="009E43F0"/>
    <w:rsid w:val="009E5079"/>
    <w:rsid w:val="009E5E2E"/>
    <w:rsid w:val="009E6E9A"/>
    <w:rsid w:val="009E750B"/>
    <w:rsid w:val="009E79BE"/>
    <w:rsid w:val="009E79D9"/>
    <w:rsid w:val="009E7CBA"/>
    <w:rsid w:val="009E7DCB"/>
    <w:rsid w:val="009E7EF4"/>
    <w:rsid w:val="009F117D"/>
    <w:rsid w:val="009F130E"/>
    <w:rsid w:val="009F192D"/>
    <w:rsid w:val="009F1C21"/>
    <w:rsid w:val="009F3110"/>
    <w:rsid w:val="009F3BB1"/>
    <w:rsid w:val="009F44CE"/>
    <w:rsid w:val="009F4802"/>
    <w:rsid w:val="009F51FD"/>
    <w:rsid w:val="009F6439"/>
    <w:rsid w:val="009F696D"/>
    <w:rsid w:val="009F6BC6"/>
    <w:rsid w:val="00A01411"/>
    <w:rsid w:val="00A0157F"/>
    <w:rsid w:val="00A016DB"/>
    <w:rsid w:val="00A017B0"/>
    <w:rsid w:val="00A023D9"/>
    <w:rsid w:val="00A02970"/>
    <w:rsid w:val="00A02E88"/>
    <w:rsid w:val="00A0370B"/>
    <w:rsid w:val="00A05A06"/>
    <w:rsid w:val="00A063ED"/>
    <w:rsid w:val="00A064DE"/>
    <w:rsid w:val="00A07C87"/>
    <w:rsid w:val="00A10B70"/>
    <w:rsid w:val="00A12FA4"/>
    <w:rsid w:val="00A13406"/>
    <w:rsid w:val="00A13711"/>
    <w:rsid w:val="00A13F54"/>
    <w:rsid w:val="00A14294"/>
    <w:rsid w:val="00A14935"/>
    <w:rsid w:val="00A15A42"/>
    <w:rsid w:val="00A17328"/>
    <w:rsid w:val="00A200F8"/>
    <w:rsid w:val="00A205D3"/>
    <w:rsid w:val="00A22A42"/>
    <w:rsid w:val="00A23A20"/>
    <w:rsid w:val="00A23BEC"/>
    <w:rsid w:val="00A24D36"/>
    <w:rsid w:val="00A25214"/>
    <w:rsid w:val="00A267F1"/>
    <w:rsid w:val="00A268B9"/>
    <w:rsid w:val="00A26A4D"/>
    <w:rsid w:val="00A26F43"/>
    <w:rsid w:val="00A2703A"/>
    <w:rsid w:val="00A27C94"/>
    <w:rsid w:val="00A31648"/>
    <w:rsid w:val="00A322C2"/>
    <w:rsid w:val="00A33DFF"/>
    <w:rsid w:val="00A34B37"/>
    <w:rsid w:val="00A35115"/>
    <w:rsid w:val="00A36F16"/>
    <w:rsid w:val="00A37D1B"/>
    <w:rsid w:val="00A413E7"/>
    <w:rsid w:val="00A43376"/>
    <w:rsid w:val="00A43FEB"/>
    <w:rsid w:val="00A44C56"/>
    <w:rsid w:val="00A45417"/>
    <w:rsid w:val="00A4588E"/>
    <w:rsid w:val="00A45E7A"/>
    <w:rsid w:val="00A46189"/>
    <w:rsid w:val="00A47C32"/>
    <w:rsid w:val="00A50AAF"/>
    <w:rsid w:val="00A50F61"/>
    <w:rsid w:val="00A510E7"/>
    <w:rsid w:val="00A52019"/>
    <w:rsid w:val="00A528AE"/>
    <w:rsid w:val="00A53456"/>
    <w:rsid w:val="00A53969"/>
    <w:rsid w:val="00A54E5D"/>
    <w:rsid w:val="00A55239"/>
    <w:rsid w:val="00A554AB"/>
    <w:rsid w:val="00A5596C"/>
    <w:rsid w:val="00A56E38"/>
    <w:rsid w:val="00A573F9"/>
    <w:rsid w:val="00A6035D"/>
    <w:rsid w:val="00A60D71"/>
    <w:rsid w:val="00A61947"/>
    <w:rsid w:val="00A671E6"/>
    <w:rsid w:val="00A674D3"/>
    <w:rsid w:val="00A707A1"/>
    <w:rsid w:val="00A70947"/>
    <w:rsid w:val="00A71C2D"/>
    <w:rsid w:val="00A725CD"/>
    <w:rsid w:val="00A72A62"/>
    <w:rsid w:val="00A731FD"/>
    <w:rsid w:val="00A74A4D"/>
    <w:rsid w:val="00A75ACF"/>
    <w:rsid w:val="00A763BB"/>
    <w:rsid w:val="00A76C08"/>
    <w:rsid w:val="00A770B3"/>
    <w:rsid w:val="00A7776E"/>
    <w:rsid w:val="00A77850"/>
    <w:rsid w:val="00A8111B"/>
    <w:rsid w:val="00A8140C"/>
    <w:rsid w:val="00A833C6"/>
    <w:rsid w:val="00A84B42"/>
    <w:rsid w:val="00A85368"/>
    <w:rsid w:val="00A85C00"/>
    <w:rsid w:val="00A86916"/>
    <w:rsid w:val="00A916B8"/>
    <w:rsid w:val="00A92B53"/>
    <w:rsid w:val="00A93455"/>
    <w:rsid w:val="00A935E9"/>
    <w:rsid w:val="00A9379F"/>
    <w:rsid w:val="00A93CFE"/>
    <w:rsid w:val="00A9437E"/>
    <w:rsid w:val="00A94D4A"/>
    <w:rsid w:val="00A94FA6"/>
    <w:rsid w:val="00A9710C"/>
    <w:rsid w:val="00A97542"/>
    <w:rsid w:val="00AA3180"/>
    <w:rsid w:val="00AA49A0"/>
    <w:rsid w:val="00AA4F6F"/>
    <w:rsid w:val="00AA5040"/>
    <w:rsid w:val="00AA50A1"/>
    <w:rsid w:val="00AA64C3"/>
    <w:rsid w:val="00AA6710"/>
    <w:rsid w:val="00AA725D"/>
    <w:rsid w:val="00AA7F92"/>
    <w:rsid w:val="00AB0681"/>
    <w:rsid w:val="00AB0B47"/>
    <w:rsid w:val="00AB1FD4"/>
    <w:rsid w:val="00AB265C"/>
    <w:rsid w:val="00AB3857"/>
    <w:rsid w:val="00AB4724"/>
    <w:rsid w:val="00AB48C9"/>
    <w:rsid w:val="00AB57F4"/>
    <w:rsid w:val="00AB5C4C"/>
    <w:rsid w:val="00AB72F0"/>
    <w:rsid w:val="00AC092C"/>
    <w:rsid w:val="00AC1686"/>
    <w:rsid w:val="00AC17CE"/>
    <w:rsid w:val="00AC2321"/>
    <w:rsid w:val="00AC245A"/>
    <w:rsid w:val="00AC2586"/>
    <w:rsid w:val="00AC5935"/>
    <w:rsid w:val="00AC6623"/>
    <w:rsid w:val="00AC6C0E"/>
    <w:rsid w:val="00AC78D3"/>
    <w:rsid w:val="00AD0129"/>
    <w:rsid w:val="00AD150A"/>
    <w:rsid w:val="00AD17B6"/>
    <w:rsid w:val="00AD23A2"/>
    <w:rsid w:val="00AD3DEB"/>
    <w:rsid w:val="00AD51BE"/>
    <w:rsid w:val="00AD520B"/>
    <w:rsid w:val="00AD5B88"/>
    <w:rsid w:val="00AD6356"/>
    <w:rsid w:val="00AD7EF5"/>
    <w:rsid w:val="00AE039D"/>
    <w:rsid w:val="00AE12EB"/>
    <w:rsid w:val="00AE1E07"/>
    <w:rsid w:val="00AE289C"/>
    <w:rsid w:val="00AE3551"/>
    <w:rsid w:val="00AE38DF"/>
    <w:rsid w:val="00AE3D45"/>
    <w:rsid w:val="00AE4D43"/>
    <w:rsid w:val="00AE6786"/>
    <w:rsid w:val="00AE75AC"/>
    <w:rsid w:val="00AF03C9"/>
    <w:rsid w:val="00AF2ACF"/>
    <w:rsid w:val="00AF44B1"/>
    <w:rsid w:val="00AF49B7"/>
    <w:rsid w:val="00AF55EE"/>
    <w:rsid w:val="00AF6530"/>
    <w:rsid w:val="00B024A3"/>
    <w:rsid w:val="00B02EDA"/>
    <w:rsid w:val="00B03DB1"/>
    <w:rsid w:val="00B062A0"/>
    <w:rsid w:val="00B0683B"/>
    <w:rsid w:val="00B07D2A"/>
    <w:rsid w:val="00B10103"/>
    <w:rsid w:val="00B10159"/>
    <w:rsid w:val="00B1021A"/>
    <w:rsid w:val="00B107D3"/>
    <w:rsid w:val="00B1114E"/>
    <w:rsid w:val="00B11BE4"/>
    <w:rsid w:val="00B11F79"/>
    <w:rsid w:val="00B1367E"/>
    <w:rsid w:val="00B13842"/>
    <w:rsid w:val="00B13AEF"/>
    <w:rsid w:val="00B1462F"/>
    <w:rsid w:val="00B150BB"/>
    <w:rsid w:val="00B16EDD"/>
    <w:rsid w:val="00B200FF"/>
    <w:rsid w:val="00B20B44"/>
    <w:rsid w:val="00B22168"/>
    <w:rsid w:val="00B229FE"/>
    <w:rsid w:val="00B235AD"/>
    <w:rsid w:val="00B23B02"/>
    <w:rsid w:val="00B2413C"/>
    <w:rsid w:val="00B248C4"/>
    <w:rsid w:val="00B2509A"/>
    <w:rsid w:val="00B27916"/>
    <w:rsid w:val="00B300D3"/>
    <w:rsid w:val="00B30757"/>
    <w:rsid w:val="00B31124"/>
    <w:rsid w:val="00B318FD"/>
    <w:rsid w:val="00B31B13"/>
    <w:rsid w:val="00B31C6A"/>
    <w:rsid w:val="00B337E2"/>
    <w:rsid w:val="00B35D4B"/>
    <w:rsid w:val="00B35E82"/>
    <w:rsid w:val="00B35F88"/>
    <w:rsid w:val="00B3669A"/>
    <w:rsid w:val="00B40032"/>
    <w:rsid w:val="00B40FB9"/>
    <w:rsid w:val="00B42678"/>
    <w:rsid w:val="00B428E7"/>
    <w:rsid w:val="00B43150"/>
    <w:rsid w:val="00B440AD"/>
    <w:rsid w:val="00B443B9"/>
    <w:rsid w:val="00B46C8D"/>
    <w:rsid w:val="00B47A9E"/>
    <w:rsid w:val="00B50218"/>
    <w:rsid w:val="00B510CC"/>
    <w:rsid w:val="00B51BE9"/>
    <w:rsid w:val="00B51F77"/>
    <w:rsid w:val="00B52EE0"/>
    <w:rsid w:val="00B53885"/>
    <w:rsid w:val="00B53AC3"/>
    <w:rsid w:val="00B53E7E"/>
    <w:rsid w:val="00B54DD4"/>
    <w:rsid w:val="00B55443"/>
    <w:rsid w:val="00B5573F"/>
    <w:rsid w:val="00B55955"/>
    <w:rsid w:val="00B55E24"/>
    <w:rsid w:val="00B573A8"/>
    <w:rsid w:val="00B57673"/>
    <w:rsid w:val="00B57CC2"/>
    <w:rsid w:val="00B60914"/>
    <w:rsid w:val="00B60A3B"/>
    <w:rsid w:val="00B61A2A"/>
    <w:rsid w:val="00B61F49"/>
    <w:rsid w:val="00B6342E"/>
    <w:rsid w:val="00B636FF"/>
    <w:rsid w:val="00B640A7"/>
    <w:rsid w:val="00B658C3"/>
    <w:rsid w:val="00B66188"/>
    <w:rsid w:val="00B6678B"/>
    <w:rsid w:val="00B7082F"/>
    <w:rsid w:val="00B7086A"/>
    <w:rsid w:val="00B70B36"/>
    <w:rsid w:val="00B70D9A"/>
    <w:rsid w:val="00B7113F"/>
    <w:rsid w:val="00B712F8"/>
    <w:rsid w:val="00B72858"/>
    <w:rsid w:val="00B728E8"/>
    <w:rsid w:val="00B74BD3"/>
    <w:rsid w:val="00B808A7"/>
    <w:rsid w:val="00B80D6E"/>
    <w:rsid w:val="00B80D7F"/>
    <w:rsid w:val="00B81F20"/>
    <w:rsid w:val="00B82063"/>
    <w:rsid w:val="00B83210"/>
    <w:rsid w:val="00B84216"/>
    <w:rsid w:val="00B84F5F"/>
    <w:rsid w:val="00B855D8"/>
    <w:rsid w:val="00B91E93"/>
    <w:rsid w:val="00B9266A"/>
    <w:rsid w:val="00B92D8A"/>
    <w:rsid w:val="00B94F43"/>
    <w:rsid w:val="00B951B8"/>
    <w:rsid w:val="00B95C35"/>
    <w:rsid w:val="00B96849"/>
    <w:rsid w:val="00B97235"/>
    <w:rsid w:val="00BA0ADD"/>
    <w:rsid w:val="00BA0BB5"/>
    <w:rsid w:val="00BA197D"/>
    <w:rsid w:val="00BA1B6D"/>
    <w:rsid w:val="00BA1CC8"/>
    <w:rsid w:val="00BA3785"/>
    <w:rsid w:val="00BA446F"/>
    <w:rsid w:val="00BA4E94"/>
    <w:rsid w:val="00BA52C1"/>
    <w:rsid w:val="00BA55B1"/>
    <w:rsid w:val="00BA5CD6"/>
    <w:rsid w:val="00BA73B6"/>
    <w:rsid w:val="00BA773C"/>
    <w:rsid w:val="00BB2603"/>
    <w:rsid w:val="00BB491A"/>
    <w:rsid w:val="00BB4FCD"/>
    <w:rsid w:val="00BB7470"/>
    <w:rsid w:val="00BB7478"/>
    <w:rsid w:val="00BC08FB"/>
    <w:rsid w:val="00BC0AC8"/>
    <w:rsid w:val="00BC3643"/>
    <w:rsid w:val="00BC504F"/>
    <w:rsid w:val="00BC5359"/>
    <w:rsid w:val="00BD02EB"/>
    <w:rsid w:val="00BD1070"/>
    <w:rsid w:val="00BD13EA"/>
    <w:rsid w:val="00BD1DC2"/>
    <w:rsid w:val="00BD332C"/>
    <w:rsid w:val="00BD4219"/>
    <w:rsid w:val="00BD42BB"/>
    <w:rsid w:val="00BD4715"/>
    <w:rsid w:val="00BD4CAD"/>
    <w:rsid w:val="00BD6C3D"/>
    <w:rsid w:val="00BD6C50"/>
    <w:rsid w:val="00BD7080"/>
    <w:rsid w:val="00BD7E9B"/>
    <w:rsid w:val="00BE0048"/>
    <w:rsid w:val="00BE145D"/>
    <w:rsid w:val="00BE196E"/>
    <w:rsid w:val="00BE1D69"/>
    <w:rsid w:val="00BE2072"/>
    <w:rsid w:val="00BE22B2"/>
    <w:rsid w:val="00BE25CA"/>
    <w:rsid w:val="00BE2E33"/>
    <w:rsid w:val="00BE3315"/>
    <w:rsid w:val="00BE3698"/>
    <w:rsid w:val="00BE3808"/>
    <w:rsid w:val="00BE3E8C"/>
    <w:rsid w:val="00BE400D"/>
    <w:rsid w:val="00BE400E"/>
    <w:rsid w:val="00BE6B23"/>
    <w:rsid w:val="00BE7333"/>
    <w:rsid w:val="00BF0CE6"/>
    <w:rsid w:val="00BF1EA9"/>
    <w:rsid w:val="00BF1F97"/>
    <w:rsid w:val="00BF3EF0"/>
    <w:rsid w:val="00BF4994"/>
    <w:rsid w:val="00BF544A"/>
    <w:rsid w:val="00BF59DA"/>
    <w:rsid w:val="00BF5AFB"/>
    <w:rsid w:val="00BF61C2"/>
    <w:rsid w:val="00BF69C4"/>
    <w:rsid w:val="00BF6D07"/>
    <w:rsid w:val="00C002B3"/>
    <w:rsid w:val="00C00346"/>
    <w:rsid w:val="00C00DBB"/>
    <w:rsid w:val="00C0178E"/>
    <w:rsid w:val="00C018F4"/>
    <w:rsid w:val="00C02796"/>
    <w:rsid w:val="00C03205"/>
    <w:rsid w:val="00C03906"/>
    <w:rsid w:val="00C03DF4"/>
    <w:rsid w:val="00C04611"/>
    <w:rsid w:val="00C05F0B"/>
    <w:rsid w:val="00C062E9"/>
    <w:rsid w:val="00C06A1C"/>
    <w:rsid w:val="00C07B64"/>
    <w:rsid w:val="00C115A3"/>
    <w:rsid w:val="00C132CE"/>
    <w:rsid w:val="00C13721"/>
    <w:rsid w:val="00C14A8A"/>
    <w:rsid w:val="00C14EAB"/>
    <w:rsid w:val="00C15E45"/>
    <w:rsid w:val="00C16350"/>
    <w:rsid w:val="00C203A2"/>
    <w:rsid w:val="00C21C7E"/>
    <w:rsid w:val="00C23200"/>
    <w:rsid w:val="00C23E3E"/>
    <w:rsid w:val="00C23F8F"/>
    <w:rsid w:val="00C24934"/>
    <w:rsid w:val="00C2519B"/>
    <w:rsid w:val="00C259A9"/>
    <w:rsid w:val="00C26DB5"/>
    <w:rsid w:val="00C2792F"/>
    <w:rsid w:val="00C304C9"/>
    <w:rsid w:val="00C3066D"/>
    <w:rsid w:val="00C30873"/>
    <w:rsid w:val="00C31884"/>
    <w:rsid w:val="00C319BF"/>
    <w:rsid w:val="00C3285A"/>
    <w:rsid w:val="00C3393B"/>
    <w:rsid w:val="00C33968"/>
    <w:rsid w:val="00C3465B"/>
    <w:rsid w:val="00C361BF"/>
    <w:rsid w:val="00C36D07"/>
    <w:rsid w:val="00C37903"/>
    <w:rsid w:val="00C40955"/>
    <w:rsid w:val="00C4186F"/>
    <w:rsid w:val="00C420D6"/>
    <w:rsid w:val="00C42196"/>
    <w:rsid w:val="00C4255F"/>
    <w:rsid w:val="00C426DE"/>
    <w:rsid w:val="00C43389"/>
    <w:rsid w:val="00C43E59"/>
    <w:rsid w:val="00C440C6"/>
    <w:rsid w:val="00C44218"/>
    <w:rsid w:val="00C44308"/>
    <w:rsid w:val="00C447D2"/>
    <w:rsid w:val="00C44C8F"/>
    <w:rsid w:val="00C44EC7"/>
    <w:rsid w:val="00C45467"/>
    <w:rsid w:val="00C461D3"/>
    <w:rsid w:val="00C510CB"/>
    <w:rsid w:val="00C51EFF"/>
    <w:rsid w:val="00C53AFE"/>
    <w:rsid w:val="00C543F4"/>
    <w:rsid w:val="00C5462C"/>
    <w:rsid w:val="00C54965"/>
    <w:rsid w:val="00C54B8D"/>
    <w:rsid w:val="00C55E6D"/>
    <w:rsid w:val="00C603A0"/>
    <w:rsid w:val="00C61181"/>
    <w:rsid w:val="00C6163A"/>
    <w:rsid w:val="00C616BE"/>
    <w:rsid w:val="00C61D76"/>
    <w:rsid w:val="00C625C9"/>
    <w:rsid w:val="00C6291C"/>
    <w:rsid w:val="00C633CB"/>
    <w:rsid w:val="00C633E7"/>
    <w:rsid w:val="00C63DE7"/>
    <w:rsid w:val="00C64549"/>
    <w:rsid w:val="00C64B22"/>
    <w:rsid w:val="00C64B7A"/>
    <w:rsid w:val="00C66383"/>
    <w:rsid w:val="00C67413"/>
    <w:rsid w:val="00C71DB9"/>
    <w:rsid w:val="00C71FB7"/>
    <w:rsid w:val="00C73AA2"/>
    <w:rsid w:val="00C73AD4"/>
    <w:rsid w:val="00C73B82"/>
    <w:rsid w:val="00C756CE"/>
    <w:rsid w:val="00C764A8"/>
    <w:rsid w:val="00C76EAE"/>
    <w:rsid w:val="00C77ABA"/>
    <w:rsid w:val="00C807B6"/>
    <w:rsid w:val="00C840A9"/>
    <w:rsid w:val="00C87044"/>
    <w:rsid w:val="00C8762C"/>
    <w:rsid w:val="00C87A11"/>
    <w:rsid w:val="00C87F9D"/>
    <w:rsid w:val="00C907FB"/>
    <w:rsid w:val="00C9129A"/>
    <w:rsid w:val="00C9276C"/>
    <w:rsid w:val="00C92D4B"/>
    <w:rsid w:val="00C93893"/>
    <w:rsid w:val="00C93E2B"/>
    <w:rsid w:val="00C94E46"/>
    <w:rsid w:val="00C9613D"/>
    <w:rsid w:val="00C96628"/>
    <w:rsid w:val="00C968E9"/>
    <w:rsid w:val="00C96F3D"/>
    <w:rsid w:val="00C9719E"/>
    <w:rsid w:val="00C97CBD"/>
    <w:rsid w:val="00C97DA7"/>
    <w:rsid w:val="00CA00F9"/>
    <w:rsid w:val="00CA118D"/>
    <w:rsid w:val="00CA138F"/>
    <w:rsid w:val="00CA1829"/>
    <w:rsid w:val="00CA1E96"/>
    <w:rsid w:val="00CA2961"/>
    <w:rsid w:val="00CA2984"/>
    <w:rsid w:val="00CA2DC5"/>
    <w:rsid w:val="00CA36D7"/>
    <w:rsid w:val="00CA4E78"/>
    <w:rsid w:val="00CA4F91"/>
    <w:rsid w:val="00CA5014"/>
    <w:rsid w:val="00CA5D66"/>
    <w:rsid w:val="00CA69B4"/>
    <w:rsid w:val="00CA7868"/>
    <w:rsid w:val="00CA7D10"/>
    <w:rsid w:val="00CB1FF3"/>
    <w:rsid w:val="00CB294B"/>
    <w:rsid w:val="00CB2C57"/>
    <w:rsid w:val="00CB410A"/>
    <w:rsid w:val="00CB41AA"/>
    <w:rsid w:val="00CB4A0F"/>
    <w:rsid w:val="00CB50D7"/>
    <w:rsid w:val="00CB6174"/>
    <w:rsid w:val="00CB7064"/>
    <w:rsid w:val="00CB7177"/>
    <w:rsid w:val="00CB74CB"/>
    <w:rsid w:val="00CB761F"/>
    <w:rsid w:val="00CB7926"/>
    <w:rsid w:val="00CB7A06"/>
    <w:rsid w:val="00CC072C"/>
    <w:rsid w:val="00CC1998"/>
    <w:rsid w:val="00CC2139"/>
    <w:rsid w:val="00CC246C"/>
    <w:rsid w:val="00CC3852"/>
    <w:rsid w:val="00CC4946"/>
    <w:rsid w:val="00CC58D9"/>
    <w:rsid w:val="00CC65DB"/>
    <w:rsid w:val="00CC77EA"/>
    <w:rsid w:val="00CD1283"/>
    <w:rsid w:val="00CD12C7"/>
    <w:rsid w:val="00CD2A84"/>
    <w:rsid w:val="00CD51BB"/>
    <w:rsid w:val="00CD5639"/>
    <w:rsid w:val="00CD64B1"/>
    <w:rsid w:val="00CD7D36"/>
    <w:rsid w:val="00CE048D"/>
    <w:rsid w:val="00CE0F3B"/>
    <w:rsid w:val="00CE12B7"/>
    <w:rsid w:val="00CE16F7"/>
    <w:rsid w:val="00CE1715"/>
    <w:rsid w:val="00CE1FC7"/>
    <w:rsid w:val="00CE246F"/>
    <w:rsid w:val="00CE32BB"/>
    <w:rsid w:val="00CE3549"/>
    <w:rsid w:val="00CE3E61"/>
    <w:rsid w:val="00CE3FC3"/>
    <w:rsid w:val="00CE5863"/>
    <w:rsid w:val="00CE6A95"/>
    <w:rsid w:val="00CE6B76"/>
    <w:rsid w:val="00CF0B52"/>
    <w:rsid w:val="00CF0EB2"/>
    <w:rsid w:val="00CF222F"/>
    <w:rsid w:val="00CF3D01"/>
    <w:rsid w:val="00CF4A99"/>
    <w:rsid w:val="00CF54C3"/>
    <w:rsid w:val="00CF594B"/>
    <w:rsid w:val="00CF6724"/>
    <w:rsid w:val="00CF7116"/>
    <w:rsid w:val="00CF7326"/>
    <w:rsid w:val="00D000F7"/>
    <w:rsid w:val="00D00C45"/>
    <w:rsid w:val="00D0190A"/>
    <w:rsid w:val="00D01AE0"/>
    <w:rsid w:val="00D02670"/>
    <w:rsid w:val="00D029D6"/>
    <w:rsid w:val="00D0329D"/>
    <w:rsid w:val="00D04839"/>
    <w:rsid w:val="00D04BB5"/>
    <w:rsid w:val="00D05660"/>
    <w:rsid w:val="00D05E1E"/>
    <w:rsid w:val="00D0698E"/>
    <w:rsid w:val="00D07358"/>
    <w:rsid w:val="00D107CE"/>
    <w:rsid w:val="00D13699"/>
    <w:rsid w:val="00D14038"/>
    <w:rsid w:val="00D1410F"/>
    <w:rsid w:val="00D14B07"/>
    <w:rsid w:val="00D14D20"/>
    <w:rsid w:val="00D17654"/>
    <w:rsid w:val="00D205FA"/>
    <w:rsid w:val="00D22527"/>
    <w:rsid w:val="00D22E9A"/>
    <w:rsid w:val="00D231DE"/>
    <w:rsid w:val="00D238C2"/>
    <w:rsid w:val="00D252C1"/>
    <w:rsid w:val="00D259FD"/>
    <w:rsid w:val="00D25EF8"/>
    <w:rsid w:val="00D270A4"/>
    <w:rsid w:val="00D30759"/>
    <w:rsid w:val="00D316D6"/>
    <w:rsid w:val="00D31FE9"/>
    <w:rsid w:val="00D320FE"/>
    <w:rsid w:val="00D32264"/>
    <w:rsid w:val="00D32690"/>
    <w:rsid w:val="00D336F9"/>
    <w:rsid w:val="00D344A2"/>
    <w:rsid w:val="00D3460D"/>
    <w:rsid w:val="00D34E1B"/>
    <w:rsid w:val="00D376BA"/>
    <w:rsid w:val="00D404B8"/>
    <w:rsid w:val="00D406D3"/>
    <w:rsid w:val="00D42735"/>
    <w:rsid w:val="00D429B0"/>
    <w:rsid w:val="00D42EBA"/>
    <w:rsid w:val="00D44118"/>
    <w:rsid w:val="00D442AC"/>
    <w:rsid w:val="00D4446B"/>
    <w:rsid w:val="00D45B8C"/>
    <w:rsid w:val="00D479B9"/>
    <w:rsid w:val="00D47DB0"/>
    <w:rsid w:val="00D50FDF"/>
    <w:rsid w:val="00D5128A"/>
    <w:rsid w:val="00D51EA5"/>
    <w:rsid w:val="00D522FF"/>
    <w:rsid w:val="00D52304"/>
    <w:rsid w:val="00D52E3B"/>
    <w:rsid w:val="00D53E15"/>
    <w:rsid w:val="00D54D26"/>
    <w:rsid w:val="00D5568A"/>
    <w:rsid w:val="00D55F5F"/>
    <w:rsid w:val="00D564BE"/>
    <w:rsid w:val="00D56BB4"/>
    <w:rsid w:val="00D600A9"/>
    <w:rsid w:val="00D609C1"/>
    <w:rsid w:val="00D6249E"/>
    <w:rsid w:val="00D628FE"/>
    <w:rsid w:val="00D62AF8"/>
    <w:rsid w:val="00D63D73"/>
    <w:rsid w:val="00D650F4"/>
    <w:rsid w:val="00D6514F"/>
    <w:rsid w:val="00D65A40"/>
    <w:rsid w:val="00D665B1"/>
    <w:rsid w:val="00D66E1E"/>
    <w:rsid w:val="00D6715E"/>
    <w:rsid w:val="00D71774"/>
    <w:rsid w:val="00D71A86"/>
    <w:rsid w:val="00D7273D"/>
    <w:rsid w:val="00D72BA0"/>
    <w:rsid w:val="00D737F7"/>
    <w:rsid w:val="00D75722"/>
    <w:rsid w:val="00D75E1B"/>
    <w:rsid w:val="00D77004"/>
    <w:rsid w:val="00D77077"/>
    <w:rsid w:val="00D772A6"/>
    <w:rsid w:val="00D77400"/>
    <w:rsid w:val="00D7741E"/>
    <w:rsid w:val="00D80C1B"/>
    <w:rsid w:val="00D822ED"/>
    <w:rsid w:val="00D82307"/>
    <w:rsid w:val="00D83271"/>
    <w:rsid w:val="00D83F93"/>
    <w:rsid w:val="00D840A2"/>
    <w:rsid w:val="00D84E29"/>
    <w:rsid w:val="00D85243"/>
    <w:rsid w:val="00D852E2"/>
    <w:rsid w:val="00D85D17"/>
    <w:rsid w:val="00D86082"/>
    <w:rsid w:val="00D87756"/>
    <w:rsid w:val="00D90E89"/>
    <w:rsid w:val="00D910DA"/>
    <w:rsid w:val="00D917D6"/>
    <w:rsid w:val="00D92A83"/>
    <w:rsid w:val="00D933B3"/>
    <w:rsid w:val="00D94322"/>
    <w:rsid w:val="00D943B0"/>
    <w:rsid w:val="00D94B80"/>
    <w:rsid w:val="00D94D52"/>
    <w:rsid w:val="00D9507A"/>
    <w:rsid w:val="00D967CF"/>
    <w:rsid w:val="00D96F76"/>
    <w:rsid w:val="00DA0332"/>
    <w:rsid w:val="00DA0875"/>
    <w:rsid w:val="00DA1520"/>
    <w:rsid w:val="00DA21D3"/>
    <w:rsid w:val="00DA3487"/>
    <w:rsid w:val="00DA392E"/>
    <w:rsid w:val="00DA495C"/>
    <w:rsid w:val="00DA5BBA"/>
    <w:rsid w:val="00DA6821"/>
    <w:rsid w:val="00DA706D"/>
    <w:rsid w:val="00DA7DFE"/>
    <w:rsid w:val="00DB14D2"/>
    <w:rsid w:val="00DB1FA0"/>
    <w:rsid w:val="00DB200A"/>
    <w:rsid w:val="00DB3E55"/>
    <w:rsid w:val="00DB437B"/>
    <w:rsid w:val="00DB465B"/>
    <w:rsid w:val="00DB535B"/>
    <w:rsid w:val="00DB5805"/>
    <w:rsid w:val="00DB588E"/>
    <w:rsid w:val="00DB65EB"/>
    <w:rsid w:val="00DB67C9"/>
    <w:rsid w:val="00DB6A29"/>
    <w:rsid w:val="00DC0250"/>
    <w:rsid w:val="00DC0566"/>
    <w:rsid w:val="00DC0ACB"/>
    <w:rsid w:val="00DC0C95"/>
    <w:rsid w:val="00DC1FC5"/>
    <w:rsid w:val="00DC22F2"/>
    <w:rsid w:val="00DC2477"/>
    <w:rsid w:val="00DC2F3D"/>
    <w:rsid w:val="00DC2FC5"/>
    <w:rsid w:val="00DC3147"/>
    <w:rsid w:val="00DC3F3D"/>
    <w:rsid w:val="00DC43E2"/>
    <w:rsid w:val="00DC4B99"/>
    <w:rsid w:val="00DC52F7"/>
    <w:rsid w:val="00DC5AFA"/>
    <w:rsid w:val="00DC695C"/>
    <w:rsid w:val="00DD0D0E"/>
    <w:rsid w:val="00DD1D6E"/>
    <w:rsid w:val="00DD22D2"/>
    <w:rsid w:val="00DD3920"/>
    <w:rsid w:val="00DD3CFA"/>
    <w:rsid w:val="00DD3DA0"/>
    <w:rsid w:val="00DD3FEB"/>
    <w:rsid w:val="00DD6580"/>
    <w:rsid w:val="00DD72D2"/>
    <w:rsid w:val="00DD7FD2"/>
    <w:rsid w:val="00DE0150"/>
    <w:rsid w:val="00DE028A"/>
    <w:rsid w:val="00DE0770"/>
    <w:rsid w:val="00DE0D23"/>
    <w:rsid w:val="00DE0EE8"/>
    <w:rsid w:val="00DE2482"/>
    <w:rsid w:val="00DE2938"/>
    <w:rsid w:val="00DE3AF9"/>
    <w:rsid w:val="00DE5B11"/>
    <w:rsid w:val="00DE75F2"/>
    <w:rsid w:val="00DF038A"/>
    <w:rsid w:val="00DF056D"/>
    <w:rsid w:val="00DF111A"/>
    <w:rsid w:val="00DF193D"/>
    <w:rsid w:val="00DF26BA"/>
    <w:rsid w:val="00DF26C5"/>
    <w:rsid w:val="00DF2FD8"/>
    <w:rsid w:val="00DF324A"/>
    <w:rsid w:val="00DF370B"/>
    <w:rsid w:val="00DF3A39"/>
    <w:rsid w:val="00DF4853"/>
    <w:rsid w:val="00DF4C51"/>
    <w:rsid w:val="00DF5282"/>
    <w:rsid w:val="00DF5E26"/>
    <w:rsid w:val="00DF6675"/>
    <w:rsid w:val="00DF6862"/>
    <w:rsid w:val="00DF7699"/>
    <w:rsid w:val="00DF7AD1"/>
    <w:rsid w:val="00DF7C2D"/>
    <w:rsid w:val="00E0051B"/>
    <w:rsid w:val="00E017E6"/>
    <w:rsid w:val="00E02374"/>
    <w:rsid w:val="00E02750"/>
    <w:rsid w:val="00E04063"/>
    <w:rsid w:val="00E0447D"/>
    <w:rsid w:val="00E04A55"/>
    <w:rsid w:val="00E05FDF"/>
    <w:rsid w:val="00E06F48"/>
    <w:rsid w:val="00E07F92"/>
    <w:rsid w:val="00E10D43"/>
    <w:rsid w:val="00E10FD4"/>
    <w:rsid w:val="00E12522"/>
    <w:rsid w:val="00E14701"/>
    <w:rsid w:val="00E1481C"/>
    <w:rsid w:val="00E14CF0"/>
    <w:rsid w:val="00E15B90"/>
    <w:rsid w:val="00E16413"/>
    <w:rsid w:val="00E17C72"/>
    <w:rsid w:val="00E17E73"/>
    <w:rsid w:val="00E20981"/>
    <w:rsid w:val="00E2154E"/>
    <w:rsid w:val="00E21AA9"/>
    <w:rsid w:val="00E21FC6"/>
    <w:rsid w:val="00E227C3"/>
    <w:rsid w:val="00E23E7A"/>
    <w:rsid w:val="00E2482B"/>
    <w:rsid w:val="00E248E2"/>
    <w:rsid w:val="00E25086"/>
    <w:rsid w:val="00E25EBF"/>
    <w:rsid w:val="00E26C69"/>
    <w:rsid w:val="00E27EDF"/>
    <w:rsid w:val="00E30A0B"/>
    <w:rsid w:val="00E312A1"/>
    <w:rsid w:val="00E31398"/>
    <w:rsid w:val="00E319F7"/>
    <w:rsid w:val="00E3300D"/>
    <w:rsid w:val="00E33A55"/>
    <w:rsid w:val="00E33EFB"/>
    <w:rsid w:val="00E342A4"/>
    <w:rsid w:val="00E36DE0"/>
    <w:rsid w:val="00E379D9"/>
    <w:rsid w:val="00E40624"/>
    <w:rsid w:val="00E4120D"/>
    <w:rsid w:val="00E41507"/>
    <w:rsid w:val="00E41E1C"/>
    <w:rsid w:val="00E42783"/>
    <w:rsid w:val="00E431A9"/>
    <w:rsid w:val="00E43A03"/>
    <w:rsid w:val="00E44AA8"/>
    <w:rsid w:val="00E45128"/>
    <w:rsid w:val="00E46BE8"/>
    <w:rsid w:val="00E47995"/>
    <w:rsid w:val="00E53BD3"/>
    <w:rsid w:val="00E544A6"/>
    <w:rsid w:val="00E54A7A"/>
    <w:rsid w:val="00E5748B"/>
    <w:rsid w:val="00E5760B"/>
    <w:rsid w:val="00E60072"/>
    <w:rsid w:val="00E60101"/>
    <w:rsid w:val="00E61430"/>
    <w:rsid w:val="00E6153D"/>
    <w:rsid w:val="00E61724"/>
    <w:rsid w:val="00E61F76"/>
    <w:rsid w:val="00E62019"/>
    <w:rsid w:val="00E6257D"/>
    <w:rsid w:val="00E62E53"/>
    <w:rsid w:val="00E62F82"/>
    <w:rsid w:val="00E63045"/>
    <w:rsid w:val="00E64CED"/>
    <w:rsid w:val="00E64D32"/>
    <w:rsid w:val="00E656A8"/>
    <w:rsid w:val="00E65AB5"/>
    <w:rsid w:val="00E6609C"/>
    <w:rsid w:val="00E669E2"/>
    <w:rsid w:val="00E67422"/>
    <w:rsid w:val="00E6771F"/>
    <w:rsid w:val="00E67AEF"/>
    <w:rsid w:val="00E700C2"/>
    <w:rsid w:val="00E705B8"/>
    <w:rsid w:val="00E70BDC"/>
    <w:rsid w:val="00E718FC"/>
    <w:rsid w:val="00E7308A"/>
    <w:rsid w:val="00E743A9"/>
    <w:rsid w:val="00E7591E"/>
    <w:rsid w:val="00E75D00"/>
    <w:rsid w:val="00E75FE9"/>
    <w:rsid w:val="00E76135"/>
    <w:rsid w:val="00E76898"/>
    <w:rsid w:val="00E7733F"/>
    <w:rsid w:val="00E805DD"/>
    <w:rsid w:val="00E811BD"/>
    <w:rsid w:val="00E82AFD"/>
    <w:rsid w:val="00E82BBA"/>
    <w:rsid w:val="00E82C20"/>
    <w:rsid w:val="00E82FA0"/>
    <w:rsid w:val="00E83025"/>
    <w:rsid w:val="00E8450C"/>
    <w:rsid w:val="00E85149"/>
    <w:rsid w:val="00E853D3"/>
    <w:rsid w:val="00E85C92"/>
    <w:rsid w:val="00E862D9"/>
    <w:rsid w:val="00E91ABB"/>
    <w:rsid w:val="00E922A3"/>
    <w:rsid w:val="00E92394"/>
    <w:rsid w:val="00E92580"/>
    <w:rsid w:val="00E932CB"/>
    <w:rsid w:val="00E94ACF"/>
    <w:rsid w:val="00E955A3"/>
    <w:rsid w:val="00E96255"/>
    <w:rsid w:val="00E96465"/>
    <w:rsid w:val="00E96AFA"/>
    <w:rsid w:val="00E97F2F"/>
    <w:rsid w:val="00EA05BD"/>
    <w:rsid w:val="00EA06DC"/>
    <w:rsid w:val="00EA1D1D"/>
    <w:rsid w:val="00EA2C48"/>
    <w:rsid w:val="00EA2CB4"/>
    <w:rsid w:val="00EA3ADF"/>
    <w:rsid w:val="00EA3EB6"/>
    <w:rsid w:val="00EA4D0C"/>
    <w:rsid w:val="00EA5900"/>
    <w:rsid w:val="00EA618D"/>
    <w:rsid w:val="00EA7E8F"/>
    <w:rsid w:val="00EB074A"/>
    <w:rsid w:val="00EB1266"/>
    <w:rsid w:val="00EB3C78"/>
    <w:rsid w:val="00EB51CC"/>
    <w:rsid w:val="00EB5C76"/>
    <w:rsid w:val="00EB63E3"/>
    <w:rsid w:val="00EB6453"/>
    <w:rsid w:val="00EB728F"/>
    <w:rsid w:val="00EC01EC"/>
    <w:rsid w:val="00EC0E07"/>
    <w:rsid w:val="00EC2809"/>
    <w:rsid w:val="00EC2844"/>
    <w:rsid w:val="00EC32A4"/>
    <w:rsid w:val="00EC47D2"/>
    <w:rsid w:val="00EC4950"/>
    <w:rsid w:val="00EC54EE"/>
    <w:rsid w:val="00EC5FB6"/>
    <w:rsid w:val="00EC65D3"/>
    <w:rsid w:val="00EC7106"/>
    <w:rsid w:val="00EC7BAC"/>
    <w:rsid w:val="00EC7CD3"/>
    <w:rsid w:val="00ED09CC"/>
    <w:rsid w:val="00ED12BF"/>
    <w:rsid w:val="00ED1E54"/>
    <w:rsid w:val="00ED20A7"/>
    <w:rsid w:val="00ED44B6"/>
    <w:rsid w:val="00ED455B"/>
    <w:rsid w:val="00ED5A9D"/>
    <w:rsid w:val="00ED6219"/>
    <w:rsid w:val="00ED6B74"/>
    <w:rsid w:val="00ED7272"/>
    <w:rsid w:val="00ED76DF"/>
    <w:rsid w:val="00EE0600"/>
    <w:rsid w:val="00EE2F9B"/>
    <w:rsid w:val="00EE314D"/>
    <w:rsid w:val="00EE3793"/>
    <w:rsid w:val="00EE3B44"/>
    <w:rsid w:val="00EE459E"/>
    <w:rsid w:val="00EE503B"/>
    <w:rsid w:val="00EE5116"/>
    <w:rsid w:val="00EE5261"/>
    <w:rsid w:val="00EE5851"/>
    <w:rsid w:val="00EE61EC"/>
    <w:rsid w:val="00EE70AF"/>
    <w:rsid w:val="00EE77D2"/>
    <w:rsid w:val="00EE7DAF"/>
    <w:rsid w:val="00EF1E35"/>
    <w:rsid w:val="00EF4575"/>
    <w:rsid w:val="00EF62E2"/>
    <w:rsid w:val="00EF637B"/>
    <w:rsid w:val="00EF6BFD"/>
    <w:rsid w:val="00EF6C6C"/>
    <w:rsid w:val="00EF6FF1"/>
    <w:rsid w:val="00EF7AD1"/>
    <w:rsid w:val="00F00162"/>
    <w:rsid w:val="00F017A6"/>
    <w:rsid w:val="00F01FFC"/>
    <w:rsid w:val="00F028E9"/>
    <w:rsid w:val="00F04853"/>
    <w:rsid w:val="00F054BD"/>
    <w:rsid w:val="00F056FC"/>
    <w:rsid w:val="00F0677F"/>
    <w:rsid w:val="00F06DBC"/>
    <w:rsid w:val="00F07526"/>
    <w:rsid w:val="00F07FC9"/>
    <w:rsid w:val="00F10078"/>
    <w:rsid w:val="00F10476"/>
    <w:rsid w:val="00F11624"/>
    <w:rsid w:val="00F12535"/>
    <w:rsid w:val="00F131BE"/>
    <w:rsid w:val="00F135D8"/>
    <w:rsid w:val="00F13740"/>
    <w:rsid w:val="00F13793"/>
    <w:rsid w:val="00F14A81"/>
    <w:rsid w:val="00F159DC"/>
    <w:rsid w:val="00F161BE"/>
    <w:rsid w:val="00F212BD"/>
    <w:rsid w:val="00F21602"/>
    <w:rsid w:val="00F22CA4"/>
    <w:rsid w:val="00F2308E"/>
    <w:rsid w:val="00F243D6"/>
    <w:rsid w:val="00F2468A"/>
    <w:rsid w:val="00F24EFC"/>
    <w:rsid w:val="00F2540E"/>
    <w:rsid w:val="00F254B5"/>
    <w:rsid w:val="00F2627C"/>
    <w:rsid w:val="00F27F13"/>
    <w:rsid w:val="00F27FEC"/>
    <w:rsid w:val="00F31299"/>
    <w:rsid w:val="00F316F2"/>
    <w:rsid w:val="00F31E21"/>
    <w:rsid w:val="00F3534A"/>
    <w:rsid w:val="00F357D8"/>
    <w:rsid w:val="00F377D6"/>
    <w:rsid w:val="00F40A76"/>
    <w:rsid w:val="00F40AA8"/>
    <w:rsid w:val="00F40C14"/>
    <w:rsid w:val="00F40EA1"/>
    <w:rsid w:val="00F42612"/>
    <w:rsid w:val="00F4352C"/>
    <w:rsid w:val="00F4464E"/>
    <w:rsid w:val="00F44D58"/>
    <w:rsid w:val="00F451A6"/>
    <w:rsid w:val="00F503A8"/>
    <w:rsid w:val="00F51609"/>
    <w:rsid w:val="00F517D7"/>
    <w:rsid w:val="00F51B6C"/>
    <w:rsid w:val="00F52946"/>
    <w:rsid w:val="00F533A8"/>
    <w:rsid w:val="00F53535"/>
    <w:rsid w:val="00F54B31"/>
    <w:rsid w:val="00F54E32"/>
    <w:rsid w:val="00F55130"/>
    <w:rsid w:val="00F5526C"/>
    <w:rsid w:val="00F55B93"/>
    <w:rsid w:val="00F55E74"/>
    <w:rsid w:val="00F5672C"/>
    <w:rsid w:val="00F567A2"/>
    <w:rsid w:val="00F60061"/>
    <w:rsid w:val="00F60099"/>
    <w:rsid w:val="00F60D7C"/>
    <w:rsid w:val="00F61DC6"/>
    <w:rsid w:val="00F628F6"/>
    <w:rsid w:val="00F6335C"/>
    <w:rsid w:val="00F64166"/>
    <w:rsid w:val="00F65C8F"/>
    <w:rsid w:val="00F66179"/>
    <w:rsid w:val="00F66A79"/>
    <w:rsid w:val="00F67000"/>
    <w:rsid w:val="00F702E8"/>
    <w:rsid w:val="00F72255"/>
    <w:rsid w:val="00F7247D"/>
    <w:rsid w:val="00F73129"/>
    <w:rsid w:val="00F731B8"/>
    <w:rsid w:val="00F73F4D"/>
    <w:rsid w:val="00F75473"/>
    <w:rsid w:val="00F80D18"/>
    <w:rsid w:val="00F814FC"/>
    <w:rsid w:val="00F81762"/>
    <w:rsid w:val="00F8198B"/>
    <w:rsid w:val="00F823AF"/>
    <w:rsid w:val="00F84C27"/>
    <w:rsid w:val="00F85325"/>
    <w:rsid w:val="00F85B62"/>
    <w:rsid w:val="00F8653E"/>
    <w:rsid w:val="00F87432"/>
    <w:rsid w:val="00F87770"/>
    <w:rsid w:val="00F90774"/>
    <w:rsid w:val="00F91966"/>
    <w:rsid w:val="00F92C24"/>
    <w:rsid w:val="00F92CBB"/>
    <w:rsid w:val="00F93494"/>
    <w:rsid w:val="00F93641"/>
    <w:rsid w:val="00F93917"/>
    <w:rsid w:val="00F93BFA"/>
    <w:rsid w:val="00F93FCB"/>
    <w:rsid w:val="00F94C59"/>
    <w:rsid w:val="00F95183"/>
    <w:rsid w:val="00F95E6B"/>
    <w:rsid w:val="00F96737"/>
    <w:rsid w:val="00F97C03"/>
    <w:rsid w:val="00FA0CB8"/>
    <w:rsid w:val="00FA17B1"/>
    <w:rsid w:val="00FA29A6"/>
    <w:rsid w:val="00FA2CE5"/>
    <w:rsid w:val="00FA4092"/>
    <w:rsid w:val="00FA4D0B"/>
    <w:rsid w:val="00FA6A24"/>
    <w:rsid w:val="00FA6AC9"/>
    <w:rsid w:val="00FA75A1"/>
    <w:rsid w:val="00FA7CE7"/>
    <w:rsid w:val="00FB296A"/>
    <w:rsid w:val="00FB2D86"/>
    <w:rsid w:val="00FB4343"/>
    <w:rsid w:val="00FB61CD"/>
    <w:rsid w:val="00FB7601"/>
    <w:rsid w:val="00FB7B21"/>
    <w:rsid w:val="00FC07C0"/>
    <w:rsid w:val="00FC096A"/>
    <w:rsid w:val="00FC1803"/>
    <w:rsid w:val="00FC1DF7"/>
    <w:rsid w:val="00FC3028"/>
    <w:rsid w:val="00FC3681"/>
    <w:rsid w:val="00FC40EE"/>
    <w:rsid w:val="00FC4AD8"/>
    <w:rsid w:val="00FC682E"/>
    <w:rsid w:val="00FC694C"/>
    <w:rsid w:val="00FC6FDE"/>
    <w:rsid w:val="00FD051B"/>
    <w:rsid w:val="00FD0586"/>
    <w:rsid w:val="00FD22B1"/>
    <w:rsid w:val="00FD2CDA"/>
    <w:rsid w:val="00FD30E2"/>
    <w:rsid w:val="00FD33E5"/>
    <w:rsid w:val="00FD3EB1"/>
    <w:rsid w:val="00FD43EA"/>
    <w:rsid w:val="00FD4F8A"/>
    <w:rsid w:val="00FD614F"/>
    <w:rsid w:val="00FD6617"/>
    <w:rsid w:val="00FD71DB"/>
    <w:rsid w:val="00FD73F5"/>
    <w:rsid w:val="00FD79CE"/>
    <w:rsid w:val="00FD7AE6"/>
    <w:rsid w:val="00FE0194"/>
    <w:rsid w:val="00FE1663"/>
    <w:rsid w:val="00FE1894"/>
    <w:rsid w:val="00FE2DC9"/>
    <w:rsid w:val="00FE3017"/>
    <w:rsid w:val="00FE387D"/>
    <w:rsid w:val="00FE3A35"/>
    <w:rsid w:val="00FE76BC"/>
    <w:rsid w:val="00FE7A71"/>
    <w:rsid w:val="00FF0B24"/>
    <w:rsid w:val="00FF2F58"/>
    <w:rsid w:val="00FF389D"/>
    <w:rsid w:val="00FF47D9"/>
    <w:rsid w:val="00FF5F90"/>
    <w:rsid w:val="00FF640B"/>
    <w:rsid w:val="00FF68AE"/>
    <w:rsid w:val="00FF6E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0A2FD0"/>
    <w:rPr>
      <w:sz w:val="26"/>
      <w:szCs w:val="24"/>
    </w:rPr>
  </w:style>
  <w:style w:type="paragraph" w:styleId="Heading1">
    <w:name w:val="heading 1"/>
    <w:basedOn w:val="BodyText"/>
    <w:next w:val="BodyText"/>
    <w:rsid w:val="000A2FD0"/>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0A2FD0"/>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0A2FD0"/>
    <w:pPr>
      <w:spacing w:before="560" w:line="320" w:lineRule="exact"/>
      <w:ind w:left="0" w:firstLine="0"/>
      <w:outlineLvl w:val="2"/>
    </w:pPr>
    <w:rPr>
      <w:sz w:val="26"/>
    </w:rPr>
  </w:style>
  <w:style w:type="paragraph" w:styleId="Heading4">
    <w:name w:val="heading 4"/>
    <w:basedOn w:val="Heading3"/>
    <w:next w:val="BodyText"/>
    <w:link w:val="Heading4Char"/>
    <w:qFormat/>
    <w:rsid w:val="000A2FD0"/>
    <w:pPr>
      <w:spacing w:before="480"/>
      <w:outlineLvl w:val="3"/>
    </w:pPr>
    <w:rPr>
      <w:b w:val="0"/>
      <w:i/>
      <w:sz w:val="24"/>
    </w:rPr>
  </w:style>
  <w:style w:type="paragraph" w:styleId="Heading5">
    <w:name w:val="heading 5"/>
    <w:basedOn w:val="Heading4"/>
    <w:next w:val="BodyText"/>
    <w:qFormat/>
    <w:rsid w:val="000A2FD0"/>
    <w:pPr>
      <w:outlineLvl w:val="4"/>
    </w:pPr>
    <w:rPr>
      <w:rFonts w:ascii="Times New Roman" w:hAnsi="Times New Roman"/>
      <w:sz w:val="26"/>
    </w:rPr>
  </w:style>
  <w:style w:type="paragraph" w:styleId="Heading6">
    <w:name w:val="heading 6"/>
    <w:basedOn w:val="BodyText"/>
    <w:next w:val="BodyText"/>
    <w:rsid w:val="000A2FD0"/>
    <w:pPr>
      <w:spacing w:after="60"/>
      <w:jc w:val="left"/>
      <w:outlineLvl w:val="5"/>
    </w:pPr>
    <w:rPr>
      <w:i/>
      <w:sz w:val="22"/>
    </w:rPr>
  </w:style>
  <w:style w:type="paragraph" w:styleId="Heading7">
    <w:name w:val="heading 7"/>
    <w:basedOn w:val="BodyText"/>
    <w:next w:val="BodyText"/>
    <w:rsid w:val="000A2FD0"/>
    <w:pPr>
      <w:spacing w:after="60" w:line="240" w:lineRule="auto"/>
      <w:jc w:val="left"/>
      <w:outlineLvl w:val="6"/>
    </w:pPr>
    <w:rPr>
      <w:rFonts w:ascii="Arial" w:hAnsi="Arial"/>
      <w:sz w:val="20"/>
    </w:rPr>
  </w:style>
  <w:style w:type="paragraph" w:styleId="Heading8">
    <w:name w:val="heading 8"/>
    <w:basedOn w:val="BodyText"/>
    <w:next w:val="BodyText"/>
    <w:rsid w:val="000A2FD0"/>
    <w:pPr>
      <w:spacing w:after="60" w:line="240" w:lineRule="auto"/>
      <w:jc w:val="left"/>
      <w:outlineLvl w:val="7"/>
    </w:pPr>
    <w:rPr>
      <w:rFonts w:ascii="Arial" w:hAnsi="Arial"/>
      <w:i/>
      <w:sz w:val="20"/>
    </w:rPr>
  </w:style>
  <w:style w:type="paragraph" w:styleId="Heading9">
    <w:name w:val="heading 9"/>
    <w:basedOn w:val="BodyText"/>
    <w:next w:val="BodyText"/>
    <w:rsid w:val="000A2FD0"/>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0A2F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2FD0"/>
  </w:style>
  <w:style w:type="paragraph" w:styleId="BodyText">
    <w:name w:val="Body Text"/>
    <w:link w:val="BodyTextChar"/>
    <w:qFormat/>
    <w:rsid w:val="000A2FD0"/>
    <w:pPr>
      <w:spacing w:before="240" w:line="320" w:lineRule="atLeast"/>
      <w:jc w:val="both"/>
    </w:pPr>
    <w:rPr>
      <w:sz w:val="26"/>
    </w:rPr>
  </w:style>
  <w:style w:type="character" w:customStyle="1" w:styleId="BodyTextChar">
    <w:name w:val="Body Text Char"/>
    <w:basedOn w:val="DefaultParagraphFont"/>
    <w:link w:val="BodyText"/>
    <w:rsid w:val="00583118"/>
    <w:rPr>
      <w:sz w:val="26"/>
    </w:rPr>
  </w:style>
  <w:style w:type="paragraph" w:customStyle="1" w:styleId="Chapter">
    <w:name w:val="Chapter"/>
    <w:basedOn w:val="Heading1"/>
    <w:next w:val="BodyText"/>
    <w:semiHidden/>
    <w:rsid w:val="000A2FD0"/>
    <w:pPr>
      <w:ind w:left="0" w:firstLine="0"/>
      <w:outlineLvl w:val="9"/>
    </w:pPr>
  </w:style>
  <w:style w:type="character" w:customStyle="1" w:styleId="Heading2Char">
    <w:name w:val="Heading 2 Char"/>
    <w:basedOn w:val="DefaultParagraphFont"/>
    <w:link w:val="Heading2"/>
    <w:rsid w:val="00583118"/>
    <w:rPr>
      <w:rFonts w:ascii="Arial" w:hAnsi="Arial"/>
      <w:b/>
      <w:sz w:val="32"/>
    </w:rPr>
  </w:style>
  <w:style w:type="character" w:customStyle="1" w:styleId="Heading3Char">
    <w:name w:val="Heading 3 Char"/>
    <w:basedOn w:val="DefaultParagraphFont"/>
    <w:link w:val="Heading3"/>
    <w:rsid w:val="00583118"/>
    <w:rPr>
      <w:rFonts w:ascii="Arial" w:hAnsi="Arial"/>
      <w:b/>
      <w:sz w:val="26"/>
    </w:rPr>
  </w:style>
  <w:style w:type="character" w:customStyle="1" w:styleId="Heading4Char">
    <w:name w:val="Heading 4 Char"/>
    <w:basedOn w:val="DefaultParagraphFont"/>
    <w:link w:val="Heading4"/>
    <w:rsid w:val="00583118"/>
    <w:rPr>
      <w:rFonts w:ascii="Arial" w:hAnsi="Arial"/>
      <w:i/>
      <w:sz w:val="24"/>
    </w:rPr>
  </w:style>
  <w:style w:type="paragraph" w:styleId="Footer">
    <w:name w:val="footer"/>
    <w:basedOn w:val="BodyText"/>
    <w:semiHidden/>
    <w:rsid w:val="000A2FD0"/>
    <w:pPr>
      <w:spacing w:before="80" w:line="200" w:lineRule="exact"/>
      <w:ind w:right="6"/>
      <w:jc w:val="left"/>
    </w:pPr>
    <w:rPr>
      <w:caps/>
      <w:spacing w:val="-4"/>
      <w:sz w:val="16"/>
    </w:rPr>
  </w:style>
  <w:style w:type="paragraph" w:customStyle="1" w:styleId="FooterEnd">
    <w:name w:val="Footer End"/>
    <w:basedOn w:val="Footer"/>
    <w:rsid w:val="000A2FD0"/>
    <w:pPr>
      <w:spacing w:before="0" w:line="20" w:lineRule="exact"/>
    </w:pPr>
  </w:style>
  <w:style w:type="paragraph" w:styleId="Header">
    <w:name w:val="header"/>
    <w:basedOn w:val="BodyText"/>
    <w:rsid w:val="000A2FD0"/>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0A2FD0"/>
    <w:pPr>
      <w:spacing w:line="20" w:lineRule="exact"/>
    </w:pPr>
    <w:rPr>
      <w:sz w:val="16"/>
    </w:rPr>
  </w:style>
  <w:style w:type="paragraph" w:customStyle="1" w:styleId="HeaderEven">
    <w:name w:val="Header Even"/>
    <w:basedOn w:val="Header"/>
    <w:semiHidden/>
    <w:rsid w:val="000A2FD0"/>
  </w:style>
  <w:style w:type="paragraph" w:customStyle="1" w:styleId="HeaderOdd">
    <w:name w:val="Header Odd"/>
    <w:basedOn w:val="Header"/>
    <w:semiHidden/>
    <w:rsid w:val="000A2FD0"/>
  </w:style>
  <w:style w:type="character" w:styleId="PageNumber">
    <w:name w:val="page number"/>
    <w:basedOn w:val="DefaultParagraphFont"/>
    <w:rsid w:val="000A2FD0"/>
    <w:rPr>
      <w:rFonts w:ascii="Arial" w:hAnsi="Arial"/>
      <w:b/>
      <w:sz w:val="16"/>
    </w:rPr>
  </w:style>
  <w:style w:type="paragraph" w:customStyle="1" w:styleId="Abbreviation">
    <w:name w:val="Abbreviation"/>
    <w:basedOn w:val="BodyText"/>
    <w:rsid w:val="000A2FD0"/>
    <w:pPr>
      <w:spacing w:before="120"/>
      <w:ind w:left="2381" w:hanging="2381"/>
      <w:jc w:val="left"/>
    </w:pPr>
  </w:style>
  <w:style w:type="paragraph" w:customStyle="1" w:styleId="Box">
    <w:name w:val="Box"/>
    <w:basedOn w:val="BodyText"/>
    <w:qFormat/>
    <w:rsid w:val="000A2FD0"/>
    <w:pPr>
      <w:keepNext/>
      <w:spacing w:before="120" w:line="280" w:lineRule="atLeast"/>
    </w:pPr>
    <w:rPr>
      <w:rFonts w:ascii="Arial" w:hAnsi="Arial"/>
      <w:sz w:val="22"/>
    </w:rPr>
  </w:style>
  <w:style w:type="paragraph" w:customStyle="1" w:styleId="BoxContinued">
    <w:name w:val="Box Continued"/>
    <w:basedOn w:val="BodyText"/>
    <w:next w:val="BodyText"/>
    <w:semiHidden/>
    <w:rsid w:val="000A2FD0"/>
    <w:pPr>
      <w:spacing w:before="180" w:line="220" w:lineRule="exact"/>
      <w:jc w:val="right"/>
    </w:pPr>
    <w:rPr>
      <w:rFonts w:ascii="Arial" w:hAnsi="Arial"/>
      <w:sz w:val="18"/>
    </w:rPr>
  </w:style>
  <w:style w:type="paragraph" w:customStyle="1" w:styleId="BoxHeading1">
    <w:name w:val="Box Heading 1"/>
    <w:basedOn w:val="BodyText"/>
    <w:next w:val="Box"/>
    <w:rsid w:val="000A2FD0"/>
    <w:pPr>
      <w:keepNext/>
      <w:spacing w:before="200" w:line="280" w:lineRule="atLeast"/>
    </w:pPr>
    <w:rPr>
      <w:rFonts w:ascii="Arial" w:hAnsi="Arial"/>
      <w:b/>
      <w:sz w:val="22"/>
    </w:rPr>
  </w:style>
  <w:style w:type="paragraph" w:customStyle="1" w:styleId="BoxHeading2">
    <w:name w:val="Box Heading 2"/>
    <w:basedOn w:val="BoxHeading1"/>
    <w:next w:val="Normal"/>
    <w:rsid w:val="000A2FD0"/>
    <w:rPr>
      <w:b w:val="0"/>
      <w:i/>
    </w:rPr>
  </w:style>
  <w:style w:type="paragraph" w:customStyle="1" w:styleId="BoxListBullet">
    <w:name w:val="Box List Bullet"/>
    <w:basedOn w:val="BodyText"/>
    <w:rsid w:val="000A2FD0"/>
    <w:pPr>
      <w:keepNext/>
      <w:numPr>
        <w:numId w:val="1"/>
      </w:numPr>
      <w:spacing w:before="60" w:line="280" w:lineRule="atLeast"/>
    </w:pPr>
    <w:rPr>
      <w:rFonts w:ascii="Arial" w:hAnsi="Arial"/>
      <w:sz w:val="22"/>
    </w:rPr>
  </w:style>
  <w:style w:type="paragraph" w:customStyle="1" w:styleId="BoxListBullet2">
    <w:name w:val="Box List Bullet 2"/>
    <w:basedOn w:val="BodyText"/>
    <w:rsid w:val="000A2FD0"/>
    <w:pPr>
      <w:keepNext/>
      <w:numPr>
        <w:numId w:val="2"/>
      </w:numPr>
      <w:spacing w:before="60" w:line="280" w:lineRule="atLeast"/>
    </w:pPr>
    <w:rPr>
      <w:rFonts w:ascii="Arial" w:hAnsi="Arial"/>
      <w:sz w:val="22"/>
    </w:rPr>
  </w:style>
  <w:style w:type="paragraph" w:customStyle="1" w:styleId="BoxListNumber">
    <w:name w:val="Box List Number"/>
    <w:basedOn w:val="BodyText"/>
    <w:rsid w:val="000A2FD0"/>
    <w:pPr>
      <w:keepNext/>
      <w:numPr>
        <w:numId w:val="13"/>
      </w:numPr>
      <w:spacing w:before="60" w:line="280" w:lineRule="atLeast"/>
    </w:pPr>
    <w:rPr>
      <w:rFonts w:ascii="Arial" w:hAnsi="Arial"/>
      <w:sz w:val="22"/>
    </w:rPr>
  </w:style>
  <w:style w:type="paragraph" w:customStyle="1" w:styleId="BoxListNumber2">
    <w:name w:val="Box List Number 2"/>
    <w:basedOn w:val="BoxListNumber"/>
    <w:rsid w:val="000A2FD0"/>
    <w:pPr>
      <w:numPr>
        <w:ilvl w:val="1"/>
      </w:numPr>
    </w:pPr>
  </w:style>
  <w:style w:type="paragraph" w:customStyle="1" w:styleId="BoxQuote">
    <w:name w:val="Box Quote"/>
    <w:basedOn w:val="BodyText"/>
    <w:next w:val="Box"/>
    <w:rsid w:val="000A2FD0"/>
    <w:pPr>
      <w:keepNext/>
      <w:spacing w:before="60" w:line="260" w:lineRule="exact"/>
      <w:ind w:left="284"/>
    </w:pPr>
    <w:rPr>
      <w:rFonts w:ascii="Arial" w:hAnsi="Arial"/>
      <w:sz w:val="20"/>
    </w:rPr>
  </w:style>
  <w:style w:type="paragraph" w:customStyle="1" w:styleId="Note">
    <w:name w:val="Note"/>
    <w:basedOn w:val="BodyText"/>
    <w:next w:val="BodyText"/>
    <w:link w:val="NoteChar"/>
    <w:rsid w:val="000A2FD0"/>
    <w:pPr>
      <w:keepLines/>
      <w:spacing w:before="80" w:line="220" w:lineRule="exact"/>
    </w:pPr>
    <w:rPr>
      <w:rFonts w:ascii="Arial" w:hAnsi="Arial"/>
      <w:sz w:val="18"/>
    </w:rPr>
  </w:style>
  <w:style w:type="character" w:customStyle="1" w:styleId="NoteChar">
    <w:name w:val="Note Char"/>
    <w:link w:val="Note"/>
    <w:locked/>
    <w:rsid w:val="00583118"/>
    <w:rPr>
      <w:rFonts w:ascii="Arial" w:hAnsi="Arial"/>
      <w:sz w:val="18"/>
    </w:rPr>
  </w:style>
  <w:style w:type="paragraph" w:customStyle="1" w:styleId="Source">
    <w:name w:val="Source"/>
    <w:basedOn w:val="Note"/>
    <w:next w:val="BodyText"/>
    <w:link w:val="SourceChar"/>
    <w:rsid w:val="000A2FD0"/>
    <w:pPr>
      <w:spacing w:after="120"/>
    </w:pPr>
  </w:style>
  <w:style w:type="character" w:customStyle="1" w:styleId="SourceChar">
    <w:name w:val="Source Char"/>
    <w:basedOn w:val="NoteChar"/>
    <w:link w:val="Source"/>
    <w:rsid w:val="00583118"/>
    <w:rPr>
      <w:rFonts w:ascii="Arial" w:hAnsi="Arial"/>
      <w:sz w:val="18"/>
    </w:rPr>
  </w:style>
  <w:style w:type="paragraph" w:customStyle="1" w:styleId="BoxSource">
    <w:name w:val="Box Source"/>
    <w:basedOn w:val="Source"/>
    <w:next w:val="BodyText"/>
    <w:rsid w:val="000A2FD0"/>
    <w:pPr>
      <w:spacing w:before="180" w:after="0"/>
    </w:pPr>
  </w:style>
  <w:style w:type="paragraph" w:customStyle="1" w:styleId="BoxSpace">
    <w:name w:val="Box Space"/>
    <w:basedOn w:val="BodyText"/>
    <w:rsid w:val="003333C2"/>
    <w:pPr>
      <w:keepNext/>
      <w:spacing w:before="360" w:line="80" w:lineRule="exact"/>
      <w:jc w:val="left"/>
    </w:pPr>
  </w:style>
  <w:style w:type="paragraph" w:styleId="Caption">
    <w:name w:val="caption"/>
    <w:basedOn w:val="Normal"/>
    <w:next w:val="BodyText"/>
    <w:rsid w:val="000A2FD0"/>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0A2FD0"/>
    <w:pPr>
      <w:spacing w:before="120" w:after="0"/>
      <w:ind w:left="1304" w:hanging="1304"/>
    </w:pPr>
    <w:rPr>
      <w:sz w:val="24"/>
    </w:rPr>
  </w:style>
  <w:style w:type="paragraph" w:customStyle="1" w:styleId="BoxSubtitle">
    <w:name w:val="Box Subtitle"/>
    <w:basedOn w:val="BoxTitle"/>
    <w:next w:val="Normal"/>
    <w:rsid w:val="000A2FD0"/>
    <w:pPr>
      <w:spacing w:after="80" w:line="200" w:lineRule="exact"/>
      <w:ind w:firstLine="0"/>
    </w:pPr>
    <w:rPr>
      <w:b w:val="0"/>
      <w:sz w:val="20"/>
    </w:rPr>
  </w:style>
  <w:style w:type="paragraph" w:customStyle="1" w:styleId="ChapterSummary">
    <w:name w:val="Chapter Summary"/>
    <w:basedOn w:val="BodyText"/>
    <w:rsid w:val="000A2FD0"/>
    <w:pPr>
      <w:ind w:left="907"/>
    </w:pPr>
    <w:rPr>
      <w:rFonts w:ascii="Arial" w:hAnsi="Arial"/>
      <w:b/>
      <w:sz w:val="22"/>
    </w:rPr>
  </w:style>
  <w:style w:type="character" w:styleId="CommentReference">
    <w:name w:val="annotation reference"/>
    <w:basedOn w:val="DefaultParagraphFont"/>
    <w:semiHidden/>
    <w:rsid w:val="000A2FD0"/>
    <w:rPr>
      <w:b/>
      <w:vanish/>
      <w:color w:val="FF00FF"/>
      <w:sz w:val="20"/>
    </w:rPr>
  </w:style>
  <w:style w:type="paragraph" w:styleId="CommentText">
    <w:name w:val="annotation text"/>
    <w:basedOn w:val="Normal"/>
    <w:link w:val="CommentTextChar"/>
    <w:semiHidden/>
    <w:rsid w:val="000A2FD0"/>
    <w:pPr>
      <w:spacing w:before="120" w:line="240" w:lineRule="atLeast"/>
      <w:ind w:left="567" w:hanging="567"/>
    </w:pPr>
    <w:rPr>
      <w:sz w:val="20"/>
    </w:rPr>
  </w:style>
  <w:style w:type="paragraph" w:customStyle="1" w:styleId="Continued">
    <w:name w:val="Continued"/>
    <w:basedOn w:val="BoxContinued"/>
    <w:next w:val="BodyText"/>
    <w:rsid w:val="000A2FD0"/>
  </w:style>
  <w:style w:type="character" w:customStyle="1" w:styleId="DocumentInfo">
    <w:name w:val="Document Info"/>
    <w:basedOn w:val="DefaultParagraphFont"/>
    <w:semiHidden/>
    <w:rsid w:val="000A2FD0"/>
    <w:rPr>
      <w:rFonts w:ascii="Arial" w:hAnsi="Arial"/>
      <w:sz w:val="14"/>
    </w:rPr>
  </w:style>
  <w:style w:type="character" w:customStyle="1" w:styleId="DraftingNote">
    <w:name w:val="Drafting Note"/>
    <w:basedOn w:val="DefaultParagraphFont"/>
    <w:rsid w:val="000A2FD0"/>
    <w:rPr>
      <w:b/>
      <w:color w:val="FF0000"/>
      <w:sz w:val="24"/>
      <w:u w:val="dotted"/>
    </w:rPr>
  </w:style>
  <w:style w:type="paragraph" w:customStyle="1" w:styleId="Figure">
    <w:name w:val="Figure"/>
    <w:basedOn w:val="BodyText"/>
    <w:rsid w:val="000A2FD0"/>
    <w:pPr>
      <w:keepNext/>
      <w:spacing w:before="120" w:after="120" w:line="240" w:lineRule="atLeast"/>
      <w:jc w:val="center"/>
    </w:pPr>
  </w:style>
  <w:style w:type="paragraph" w:customStyle="1" w:styleId="FigureTitle">
    <w:name w:val="Figure Title"/>
    <w:basedOn w:val="Caption"/>
    <w:next w:val="Subtitle"/>
    <w:rsid w:val="000A2FD0"/>
    <w:rPr>
      <w:sz w:val="24"/>
    </w:rPr>
  </w:style>
  <w:style w:type="paragraph" w:styleId="Subtitle">
    <w:name w:val="Subtitle"/>
    <w:basedOn w:val="Caption"/>
    <w:link w:val="SubtitleChar"/>
    <w:rsid w:val="000A2FD0"/>
    <w:pPr>
      <w:spacing w:before="0" w:line="200" w:lineRule="exact"/>
      <w:ind w:firstLine="0"/>
    </w:pPr>
    <w:rPr>
      <w:b w:val="0"/>
      <w:sz w:val="20"/>
    </w:rPr>
  </w:style>
  <w:style w:type="character" w:customStyle="1" w:styleId="SubtitleChar">
    <w:name w:val="Subtitle Char"/>
    <w:basedOn w:val="DefaultParagraphFont"/>
    <w:link w:val="Subtitle"/>
    <w:rsid w:val="000A2FD0"/>
    <w:rPr>
      <w:rFonts w:ascii="Arial" w:hAnsi="Arial"/>
      <w:szCs w:val="24"/>
    </w:rPr>
  </w:style>
  <w:style w:type="paragraph" w:customStyle="1" w:styleId="Finding">
    <w:name w:val="Finding"/>
    <w:basedOn w:val="BodyText"/>
    <w:rsid w:val="000A2FD0"/>
    <w:pPr>
      <w:keepLines/>
      <w:spacing w:before="180"/>
    </w:pPr>
    <w:rPr>
      <w:i/>
    </w:rPr>
  </w:style>
  <w:style w:type="paragraph" w:customStyle="1" w:styleId="FindingBullet">
    <w:name w:val="Finding Bullet"/>
    <w:basedOn w:val="Finding"/>
    <w:rsid w:val="000A2FD0"/>
    <w:pPr>
      <w:numPr>
        <w:numId w:val="3"/>
      </w:numPr>
      <w:spacing w:before="80"/>
    </w:pPr>
  </w:style>
  <w:style w:type="paragraph" w:customStyle="1" w:styleId="FindingNoTitle">
    <w:name w:val="Finding NoTitle"/>
    <w:basedOn w:val="Finding"/>
    <w:rsid w:val="000A2FD0"/>
    <w:pPr>
      <w:spacing w:before="240"/>
    </w:pPr>
  </w:style>
  <w:style w:type="paragraph" w:customStyle="1" w:styleId="RecTitle">
    <w:name w:val="Rec Title"/>
    <w:basedOn w:val="BodyText"/>
    <w:next w:val="Normal"/>
    <w:rsid w:val="000A2FD0"/>
    <w:pPr>
      <w:keepNext/>
      <w:keepLines/>
    </w:pPr>
    <w:rPr>
      <w:caps/>
      <w:sz w:val="20"/>
    </w:rPr>
  </w:style>
  <w:style w:type="paragraph" w:customStyle="1" w:styleId="FindingTitle">
    <w:name w:val="Finding Title"/>
    <w:basedOn w:val="RecTitle"/>
    <w:next w:val="Finding"/>
    <w:rsid w:val="000A2FD0"/>
    <w:pPr>
      <w:framePr w:wrap="notBeside" w:hAnchor="text"/>
    </w:pPr>
  </w:style>
  <w:style w:type="character" w:styleId="FootnoteReference">
    <w:name w:val="footnote reference"/>
    <w:basedOn w:val="DefaultParagraphFont"/>
    <w:semiHidden/>
    <w:rsid w:val="000A2FD0"/>
    <w:rPr>
      <w:rFonts w:ascii="Times New Roman" w:hAnsi="Times New Roman"/>
      <w:position w:val="6"/>
      <w:sz w:val="22"/>
      <w:vertAlign w:val="baseline"/>
    </w:rPr>
  </w:style>
  <w:style w:type="paragraph" w:styleId="FootnoteText">
    <w:name w:val="footnote text"/>
    <w:basedOn w:val="BodyText"/>
    <w:link w:val="FootnoteTextChar"/>
    <w:rsid w:val="000A2FD0"/>
    <w:pPr>
      <w:tabs>
        <w:tab w:val="left" w:pos="284"/>
      </w:tabs>
      <w:spacing w:before="80" w:line="260" w:lineRule="exact"/>
      <w:ind w:left="284" w:hanging="284"/>
    </w:pPr>
    <w:rPr>
      <w:sz w:val="22"/>
    </w:rPr>
  </w:style>
  <w:style w:type="character" w:customStyle="1" w:styleId="FootnoteTextChar">
    <w:name w:val="Footnote Text Char"/>
    <w:basedOn w:val="DefaultParagraphFont"/>
    <w:link w:val="FootnoteText"/>
    <w:rsid w:val="00583118"/>
    <w:rPr>
      <w:sz w:val="22"/>
    </w:rPr>
  </w:style>
  <w:style w:type="paragraph" w:customStyle="1" w:styleId="InformationRequest">
    <w:name w:val="Information Request"/>
    <w:basedOn w:val="Finding"/>
    <w:next w:val="BodyText"/>
    <w:rsid w:val="000A2FD0"/>
    <w:pPr>
      <w:spacing w:before="360" w:after="120"/>
    </w:pPr>
    <w:rPr>
      <w:rFonts w:ascii="Arial" w:hAnsi="Arial"/>
      <w:sz w:val="24"/>
    </w:rPr>
  </w:style>
  <w:style w:type="paragraph" w:customStyle="1" w:styleId="Jurisdictioncommentsbodytext">
    <w:name w:val="Jurisdiction comments body text"/>
    <w:rsid w:val="000A2FD0"/>
    <w:pPr>
      <w:spacing w:after="140"/>
      <w:jc w:val="both"/>
    </w:pPr>
    <w:rPr>
      <w:rFonts w:ascii="Arial" w:hAnsi="Arial"/>
      <w:sz w:val="24"/>
      <w:lang w:eastAsia="en-US"/>
    </w:rPr>
  </w:style>
  <w:style w:type="paragraph" w:customStyle="1" w:styleId="Jurisdictioncommentsheading">
    <w:name w:val="Jurisdiction comments heading"/>
    <w:rsid w:val="000A2FD0"/>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0A2FD0"/>
    <w:pPr>
      <w:numPr>
        <w:numId w:val="4"/>
      </w:numPr>
      <w:spacing w:after="140"/>
      <w:jc w:val="both"/>
    </w:pPr>
    <w:rPr>
      <w:rFonts w:ascii="Arial" w:hAnsi="Arial"/>
      <w:sz w:val="24"/>
      <w:lang w:eastAsia="en-US"/>
    </w:rPr>
  </w:style>
  <w:style w:type="paragraph" w:styleId="ListBullet">
    <w:name w:val="List Bullet"/>
    <w:basedOn w:val="BodyText"/>
    <w:rsid w:val="000A2FD0"/>
    <w:pPr>
      <w:numPr>
        <w:numId w:val="5"/>
      </w:numPr>
      <w:spacing w:before="120"/>
    </w:pPr>
  </w:style>
  <w:style w:type="paragraph" w:styleId="ListBullet2">
    <w:name w:val="List Bullet 2"/>
    <w:basedOn w:val="BodyText"/>
    <w:rsid w:val="000A2FD0"/>
    <w:pPr>
      <w:numPr>
        <w:numId w:val="6"/>
      </w:numPr>
      <w:spacing w:before="120"/>
    </w:pPr>
  </w:style>
  <w:style w:type="paragraph" w:styleId="ListBullet3">
    <w:name w:val="List Bullet 3"/>
    <w:basedOn w:val="BodyText"/>
    <w:rsid w:val="000A2FD0"/>
    <w:pPr>
      <w:numPr>
        <w:numId w:val="7"/>
      </w:numPr>
      <w:spacing w:before="120"/>
    </w:pPr>
  </w:style>
  <w:style w:type="paragraph" w:styleId="ListNumber">
    <w:name w:val="List Number"/>
    <w:basedOn w:val="BodyText"/>
    <w:rsid w:val="000A2FD0"/>
    <w:pPr>
      <w:numPr>
        <w:numId w:val="12"/>
      </w:numPr>
      <w:spacing w:before="120"/>
    </w:pPr>
  </w:style>
  <w:style w:type="paragraph" w:styleId="ListNumber2">
    <w:name w:val="List Number 2"/>
    <w:basedOn w:val="ListNumber"/>
    <w:rsid w:val="000A2FD0"/>
    <w:pPr>
      <w:numPr>
        <w:ilvl w:val="1"/>
      </w:numPr>
    </w:pPr>
  </w:style>
  <w:style w:type="paragraph" w:styleId="ListNumber3">
    <w:name w:val="List Number 3"/>
    <w:basedOn w:val="ListNumber2"/>
    <w:rsid w:val="000A2FD0"/>
    <w:pPr>
      <w:numPr>
        <w:ilvl w:val="2"/>
      </w:numPr>
    </w:pPr>
  </w:style>
  <w:style w:type="character" w:customStyle="1" w:styleId="NoteLabel">
    <w:name w:val="Note Label"/>
    <w:basedOn w:val="DefaultParagraphFont"/>
    <w:rsid w:val="000A2FD0"/>
    <w:rPr>
      <w:rFonts w:ascii="Arial" w:hAnsi="Arial"/>
      <w:b/>
      <w:position w:val="6"/>
      <w:sz w:val="18"/>
    </w:rPr>
  </w:style>
  <w:style w:type="paragraph" w:customStyle="1" w:styleId="PartDivider">
    <w:name w:val="Part Divider"/>
    <w:basedOn w:val="BodyText"/>
    <w:next w:val="BodyText"/>
    <w:semiHidden/>
    <w:rsid w:val="000A2FD0"/>
    <w:pPr>
      <w:spacing w:before="0" w:line="40" w:lineRule="exact"/>
      <w:jc w:val="right"/>
    </w:pPr>
    <w:rPr>
      <w:smallCaps/>
      <w:sz w:val="16"/>
    </w:rPr>
  </w:style>
  <w:style w:type="paragraph" w:customStyle="1" w:styleId="PartNumber">
    <w:name w:val="Part Number"/>
    <w:basedOn w:val="BodyText"/>
    <w:next w:val="BodyText"/>
    <w:semiHidden/>
    <w:rsid w:val="000A2FD0"/>
    <w:pPr>
      <w:spacing w:before="4000" w:line="320" w:lineRule="exact"/>
      <w:ind w:left="6634"/>
      <w:jc w:val="right"/>
    </w:pPr>
    <w:rPr>
      <w:smallCaps/>
      <w:spacing w:val="60"/>
      <w:sz w:val="32"/>
    </w:rPr>
  </w:style>
  <w:style w:type="paragraph" w:customStyle="1" w:styleId="PartTitle">
    <w:name w:val="Part Title"/>
    <w:basedOn w:val="BodyText"/>
    <w:semiHidden/>
    <w:rsid w:val="000A2FD0"/>
    <w:pPr>
      <w:spacing w:before="160" w:after="1360" w:line="520" w:lineRule="exact"/>
      <w:ind w:right="2381"/>
      <w:jc w:val="right"/>
    </w:pPr>
    <w:rPr>
      <w:smallCaps/>
      <w:sz w:val="52"/>
    </w:rPr>
  </w:style>
  <w:style w:type="paragraph" w:styleId="Quote">
    <w:name w:val="Quote"/>
    <w:basedOn w:val="BodyText"/>
    <w:next w:val="BodyText"/>
    <w:qFormat/>
    <w:rsid w:val="000A2FD0"/>
    <w:pPr>
      <w:spacing w:before="120" w:line="280" w:lineRule="exact"/>
      <w:ind w:left="340"/>
    </w:pPr>
    <w:rPr>
      <w:sz w:val="24"/>
    </w:rPr>
  </w:style>
  <w:style w:type="paragraph" w:customStyle="1" w:styleId="QuoteBullet">
    <w:name w:val="Quote Bullet"/>
    <w:basedOn w:val="Quote"/>
    <w:rsid w:val="000A2FD0"/>
    <w:pPr>
      <w:numPr>
        <w:numId w:val="8"/>
      </w:numPr>
    </w:pPr>
  </w:style>
  <w:style w:type="paragraph" w:customStyle="1" w:styleId="Rec">
    <w:name w:val="Rec"/>
    <w:basedOn w:val="BodyText"/>
    <w:rsid w:val="000A2FD0"/>
    <w:pPr>
      <w:keepLines/>
      <w:spacing w:before="180"/>
    </w:pPr>
    <w:rPr>
      <w:b/>
      <w:i/>
    </w:rPr>
  </w:style>
  <w:style w:type="paragraph" w:customStyle="1" w:styleId="RecBullet">
    <w:name w:val="Rec Bullet"/>
    <w:basedOn w:val="Rec"/>
    <w:rsid w:val="000A2FD0"/>
    <w:pPr>
      <w:numPr>
        <w:numId w:val="9"/>
      </w:numPr>
      <w:spacing w:before="80"/>
    </w:pPr>
  </w:style>
  <w:style w:type="paragraph" w:customStyle="1" w:styleId="RecB">
    <w:name w:val="RecB"/>
    <w:basedOn w:val="Normal"/>
    <w:rsid w:val="000A2FD0"/>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0A2FD0"/>
    <w:pPr>
      <w:numPr>
        <w:numId w:val="14"/>
      </w:numPr>
      <w:spacing w:before="80"/>
    </w:pPr>
  </w:style>
  <w:style w:type="paragraph" w:customStyle="1" w:styleId="RecBNoTitle">
    <w:name w:val="RecB NoTitle"/>
    <w:basedOn w:val="RecB"/>
    <w:rsid w:val="000A2FD0"/>
    <w:pPr>
      <w:spacing w:before="240"/>
    </w:pPr>
  </w:style>
  <w:style w:type="paragraph" w:customStyle="1" w:styleId="Reference">
    <w:name w:val="Reference"/>
    <w:basedOn w:val="BodyText"/>
    <w:link w:val="ReferenceChar"/>
    <w:rsid w:val="000A2FD0"/>
    <w:pPr>
      <w:spacing w:before="120"/>
      <w:ind w:left="340" w:hanging="340"/>
    </w:pPr>
  </w:style>
  <w:style w:type="paragraph" w:customStyle="1" w:styleId="SequenceInfo">
    <w:name w:val="Sequence Info"/>
    <w:basedOn w:val="BodyText"/>
    <w:semiHidden/>
    <w:rsid w:val="000A2FD0"/>
    <w:rPr>
      <w:vanish/>
      <w:sz w:val="16"/>
    </w:rPr>
  </w:style>
  <w:style w:type="paragraph" w:customStyle="1" w:styleId="SideNote">
    <w:name w:val="Side Note"/>
    <w:basedOn w:val="BodyText"/>
    <w:next w:val="BodyText"/>
    <w:semiHidden/>
    <w:rsid w:val="000A2FD0"/>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0A2FD0"/>
    <w:pPr>
      <w:framePr w:wrap="around"/>
      <w:numPr>
        <w:numId w:val="10"/>
      </w:numPr>
      <w:tabs>
        <w:tab w:val="left" w:pos="227"/>
      </w:tabs>
    </w:pPr>
  </w:style>
  <w:style w:type="paragraph" w:customStyle="1" w:styleId="SideNoteGraphic">
    <w:name w:val="Side Note Graphic"/>
    <w:basedOn w:val="SideNote"/>
    <w:next w:val="BodyText"/>
    <w:semiHidden/>
    <w:rsid w:val="000A2FD0"/>
    <w:pPr>
      <w:framePr w:wrap="around"/>
    </w:pPr>
  </w:style>
  <w:style w:type="paragraph" w:customStyle="1" w:styleId="TableBodyText">
    <w:name w:val="Table Body Text"/>
    <w:basedOn w:val="BodyText"/>
    <w:rsid w:val="000A2FD0"/>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0A2FD0"/>
    <w:pPr>
      <w:numPr>
        <w:numId w:val="11"/>
      </w:numPr>
      <w:jc w:val="left"/>
    </w:pPr>
  </w:style>
  <w:style w:type="paragraph" w:customStyle="1" w:styleId="TableColumnHeading">
    <w:name w:val="Table Column Heading"/>
    <w:basedOn w:val="TableBodyText"/>
    <w:rsid w:val="000A2FD0"/>
    <w:pPr>
      <w:spacing w:before="80" w:after="80"/>
    </w:pPr>
    <w:rPr>
      <w:i/>
    </w:rPr>
  </w:style>
  <w:style w:type="paragraph" w:styleId="TOC2">
    <w:name w:val="toc 2"/>
    <w:basedOn w:val="BodyText"/>
    <w:semiHidden/>
    <w:rsid w:val="000A2FD0"/>
    <w:pPr>
      <w:tabs>
        <w:tab w:val="right" w:pos="8789"/>
      </w:tabs>
      <w:ind w:left="510" w:right="851" w:hanging="510"/>
      <w:jc w:val="left"/>
    </w:pPr>
    <w:rPr>
      <w:b/>
    </w:rPr>
  </w:style>
  <w:style w:type="paragraph" w:styleId="TOC3">
    <w:name w:val="toc 3"/>
    <w:basedOn w:val="TOC2"/>
    <w:semiHidden/>
    <w:rsid w:val="000A2FD0"/>
    <w:pPr>
      <w:spacing w:before="60"/>
      <w:ind w:left="1190" w:hanging="680"/>
    </w:pPr>
    <w:rPr>
      <w:b w:val="0"/>
    </w:rPr>
  </w:style>
  <w:style w:type="paragraph" w:styleId="TableofFigures">
    <w:name w:val="table of figures"/>
    <w:basedOn w:val="TOC3"/>
    <w:next w:val="BodyText"/>
    <w:semiHidden/>
    <w:rsid w:val="000A2FD0"/>
    <w:pPr>
      <w:ind w:left="737" w:hanging="737"/>
    </w:pPr>
  </w:style>
  <w:style w:type="paragraph" w:customStyle="1" w:styleId="TableTitle">
    <w:name w:val="Table Title"/>
    <w:basedOn w:val="Caption"/>
    <w:next w:val="Subtitle"/>
    <w:link w:val="TableTitleChar"/>
    <w:rsid w:val="000A2FD0"/>
    <w:rPr>
      <w:sz w:val="24"/>
    </w:rPr>
  </w:style>
  <w:style w:type="character" w:customStyle="1" w:styleId="TableTitleChar">
    <w:name w:val="Table Title Char"/>
    <w:link w:val="TableTitle"/>
    <w:locked/>
    <w:rsid w:val="00583118"/>
    <w:rPr>
      <w:rFonts w:ascii="Arial" w:hAnsi="Arial"/>
      <w:b/>
      <w:sz w:val="24"/>
      <w:szCs w:val="24"/>
    </w:rPr>
  </w:style>
  <w:style w:type="paragraph" w:customStyle="1" w:styleId="TableUnitsRow">
    <w:name w:val="Table Units Row"/>
    <w:basedOn w:val="TableBodyText"/>
    <w:rsid w:val="000A2FD0"/>
    <w:pPr>
      <w:spacing w:before="80" w:after="80"/>
    </w:pPr>
  </w:style>
  <w:style w:type="paragraph" w:styleId="TOC1">
    <w:name w:val="toc 1"/>
    <w:basedOn w:val="Normal"/>
    <w:next w:val="TOC2"/>
    <w:rsid w:val="000A2FD0"/>
    <w:pPr>
      <w:tabs>
        <w:tab w:val="right" w:pos="8789"/>
      </w:tabs>
      <w:spacing w:before="480" w:after="60" w:line="320" w:lineRule="exact"/>
      <w:ind w:left="1191" w:right="851" w:hanging="1191"/>
    </w:pPr>
    <w:rPr>
      <w:b/>
      <w:caps/>
    </w:rPr>
  </w:style>
  <w:style w:type="paragraph" w:styleId="TOC4">
    <w:name w:val="toc 4"/>
    <w:basedOn w:val="TOC3"/>
    <w:semiHidden/>
    <w:rsid w:val="000A2FD0"/>
    <w:pPr>
      <w:ind w:left="1191" w:firstLine="0"/>
    </w:pPr>
  </w:style>
  <w:style w:type="paragraph" w:customStyle="1" w:styleId="RecBBullet2">
    <w:name w:val="RecB Bullet 2"/>
    <w:basedOn w:val="ListBullet2"/>
    <w:rsid w:val="000A2FD0"/>
    <w:pPr>
      <w:pBdr>
        <w:left w:val="single" w:sz="24" w:space="29" w:color="C0C0C0"/>
      </w:pBdr>
    </w:pPr>
    <w:rPr>
      <w:b/>
      <w:i/>
    </w:rPr>
  </w:style>
  <w:style w:type="paragraph" w:styleId="BalloonText">
    <w:name w:val="Balloon Text"/>
    <w:basedOn w:val="Normal"/>
    <w:link w:val="BalloonTextChar"/>
    <w:rsid w:val="000A2FD0"/>
    <w:rPr>
      <w:rFonts w:ascii="Tahoma" w:hAnsi="Tahoma" w:cs="Tahoma"/>
      <w:sz w:val="16"/>
      <w:szCs w:val="16"/>
    </w:rPr>
  </w:style>
  <w:style w:type="character" w:customStyle="1" w:styleId="BalloonTextChar">
    <w:name w:val="Balloon Text Char"/>
    <w:basedOn w:val="DefaultParagraphFont"/>
    <w:link w:val="BalloonText"/>
    <w:rsid w:val="000A2FD0"/>
    <w:rPr>
      <w:rFonts w:ascii="Tahoma" w:hAnsi="Tahoma" w:cs="Tahoma"/>
      <w:sz w:val="16"/>
      <w:szCs w:val="16"/>
    </w:rPr>
  </w:style>
  <w:style w:type="paragraph" w:customStyle="1" w:styleId="BoxListBullet3">
    <w:name w:val="Box List Bullet 3"/>
    <w:basedOn w:val="ListBullet3"/>
    <w:rsid w:val="000A2FD0"/>
    <w:pPr>
      <w:numPr>
        <w:numId w:val="1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0A2FD0"/>
    <w:rPr>
      <w:i/>
      <w:iCs/>
    </w:rPr>
  </w:style>
  <w:style w:type="paragraph" w:styleId="ListParagraph">
    <w:name w:val="List Paragraph"/>
    <w:basedOn w:val="Normal"/>
    <w:uiPriority w:val="34"/>
    <w:qFormat/>
    <w:rsid w:val="00583118"/>
    <w:pPr>
      <w:ind w:left="720"/>
    </w:pPr>
  </w:style>
  <w:style w:type="character" w:styleId="Hyperlink">
    <w:name w:val="Hyperlink"/>
    <w:basedOn w:val="DefaultParagraphFont"/>
    <w:rsid w:val="00FC694C"/>
    <w:rPr>
      <w:color w:val="0000FF" w:themeColor="hyperlink"/>
      <w:u w:val="single"/>
    </w:rPr>
  </w:style>
  <w:style w:type="paragraph" w:customStyle="1" w:styleId="BoxQuoteBullet">
    <w:name w:val="Box Quote Bullet"/>
    <w:basedOn w:val="BoxQuote"/>
    <w:next w:val="Box"/>
    <w:rsid w:val="000A2FD0"/>
    <w:pPr>
      <w:numPr>
        <w:numId w:val="15"/>
      </w:numPr>
      <w:ind w:left="568" w:hanging="284"/>
    </w:pPr>
  </w:style>
  <w:style w:type="paragraph" w:customStyle="1" w:styleId="InformationRequestBullet">
    <w:name w:val="Information Request Bullet"/>
    <w:basedOn w:val="ListBullet"/>
    <w:next w:val="BodyText"/>
    <w:rsid w:val="000A2FD0"/>
    <w:pPr>
      <w:numPr>
        <w:numId w:val="16"/>
      </w:numPr>
      <w:ind w:left="340" w:hanging="340"/>
    </w:pPr>
    <w:rPr>
      <w:rFonts w:ascii="Arial" w:hAnsi="Arial"/>
      <w:i/>
      <w:sz w:val="24"/>
    </w:rPr>
  </w:style>
  <w:style w:type="paragraph" w:styleId="NormalWeb">
    <w:name w:val="Normal (Web)"/>
    <w:basedOn w:val="Normal"/>
    <w:uiPriority w:val="99"/>
    <w:unhideWhenUsed/>
    <w:rsid w:val="00D6514F"/>
    <w:pPr>
      <w:spacing w:before="100" w:beforeAutospacing="1" w:after="100" w:afterAutospacing="1"/>
    </w:pPr>
    <w:rPr>
      <w:rFonts w:eastAsiaTheme="minorEastAsia"/>
      <w:sz w:val="24"/>
    </w:rPr>
  </w:style>
  <w:style w:type="paragraph" w:styleId="CommentSubject">
    <w:name w:val="annotation subject"/>
    <w:basedOn w:val="CommentText"/>
    <w:next w:val="CommentText"/>
    <w:link w:val="CommentSubjectChar"/>
    <w:rsid w:val="00544937"/>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544937"/>
    <w:rPr>
      <w:szCs w:val="24"/>
    </w:rPr>
  </w:style>
  <w:style w:type="character" w:customStyle="1" w:styleId="CommentSubjectChar">
    <w:name w:val="Comment Subject Char"/>
    <w:basedOn w:val="CommentTextChar"/>
    <w:link w:val="CommentSubject"/>
    <w:rsid w:val="00544937"/>
    <w:rPr>
      <w:b/>
      <w:bCs/>
      <w:szCs w:val="24"/>
    </w:rPr>
  </w:style>
  <w:style w:type="character" w:customStyle="1" w:styleId="ReferenceChar">
    <w:name w:val="Reference Char"/>
    <w:basedOn w:val="DefaultParagraphFont"/>
    <w:link w:val="Reference"/>
    <w:rsid w:val="003076E0"/>
    <w:rPr>
      <w:sz w:val="26"/>
    </w:rPr>
  </w:style>
  <w:style w:type="character" w:styleId="FollowedHyperlink">
    <w:name w:val="FollowedHyperlink"/>
    <w:basedOn w:val="DefaultParagraphFont"/>
    <w:rsid w:val="002831D6"/>
    <w:rPr>
      <w:color w:val="800080" w:themeColor="followedHyperlink"/>
      <w:u w:val="single"/>
    </w:rPr>
  </w:style>
  <w:style w:type="paragraph" w:customStyle="1" w:styleId="BoxSpaceAbove">
    <w:name w:val="Box Space Above"/>
    <w:basedOn w:val="BodyText"/>
    <w:rsid w:val="000A2FD0"/>
    <w:pPr>
      <w:keepNext/>
      <w:spacing w:before="360" w:line="80" w:lineRule="exact"/>
      <w:jc w:val="left"/>
    </w:pPr>
  </w:style>
  <w:style w:type="paragraph" w:customStyle="1" w:styleId="BoxSpaceBelow">
    <w:name w:val="Box Space Below"/>
    <w:basedOn w:val="Box"/>
    <w:rsid w:val="000A2FD0"/>
    <w:pPr>
      <w:keepNext w:val="0"/>
      <w:spacing w:before="60" w:after="60" w:line="80" w:lineRule="exact"/>
    </w:pPr>
    <w:rPr>
      <w:sz w:val="14"/>
    </w:rPr>
  </w:style>
  <w:style w:type="table" w:styleId="TableGrid">
    <w:name w:val="Table Grid"/>
    <w:basedOn w:val="TableNormal"/>
    <w:rsid w:val="00FA2C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BoxHeading">
    <w:name w:val="PC Box Heading"/>
    <w:basedOn w:val="BodyText"/>
    <w:link w:val="PCBoxHeadingChar"/>
    <w:qFormat/>
    <w:rsid w:val="00AC245A"/>
    <w:pPr>
      <w:pBdr>
        <w:top w:val="single" w:sz="4" w:space="5" w:color="auto"/>
        <w:left w:val="single" w:sz="4" w:space="8" w:color="auto"/>
        <w:bottom w:val="single" w:sz="4" w:space="14" w:color="auto"/>
        <w:right w:val="single" w:sz="4" w:space="8" w:color="auto"/>
      </w:pBdr>
      <w:spacing w:before="120" w:line="240" w:lineRule="auto"/>
      <w:ind w:left="284" w:right="284"/>
    </w:pPr>
    <w:rPr>
      <w:b/>
      <w:i/>
      <w:sz w:val="24"/>
      <w:szCs w:val="24"/>
      <w:lang w:eastAsia="en-US"/>
    </w:rPr>
  </w:style>
  <w:style w:type="paragraph" w:customStyle="1" w:styleId="PCBoxtext">
    <w:name w:val="PC Box text"/>
    <w:basedOn w:val="BodyText"/>
    <w:link w:val="PCBoxtextChar"/>
    <w:rsid w:val="00AC245A"/>
    <w:pPr>
      <w:pBdr>
        <w:top w:val="single" w:sz="4" w:space="5" w:color="auto"/>
        <w:left w:val="single" w:sz="4" w:space="8" w:color="auto"/>
        <w:bottom w:val="single" w:sz="4" w:space="14" w:color="auto"/>
        <w:right w:val="single" w:sz="4" w:space="8" w:color="auto"/>
      </w:pBdr>
      <w:spacing w:before="160" w:line="240" w:lineRule="auto"/>
      <w:ind w:left="284" w:right="284"/>
    </w:pPr>
    <w:rPr>
      <w:sz w:val="24"/>
      <w:szCs w:val="24"/>
      <w:lang w:eastAsia="en-US"/>
    </w:rPr>
  </w:style>
  <w:style w:type="character" w:customStyle="1" w:styleId="PCBoxHeadingChar">
    <w:name w:val="PC Box Heading Char"/>
    <w:basedOn w:val="BodyTextChar"/>
    <w:link w:val="PCBoxHeading"/>
    <w:rsid w:val="00AC245A"/>
    <w:rPr>
      <w:b/>
      <w:i/>
      <w:sz w:val="24"/>
      <w:szCs w:val="24"/>
      <w:lang w:eastAsia="en-US"/>
    </w:rPr>
  </w:style>
  <w:style w:type="character" w:customStyle="1" w:styleId="PCBoxtextChar">
    <w:name w:val="PC Box text Char"/>
    <w:basedOn w:val="BodyTextChar"/>
    <w:link w:val="PCBoxtext"/>
    <w:rsid w:val="00AC245A"/>
    <w:rPr>
      <w:sz w:val="24"/>
      <w:szCs w:val="24"/>
      <w:lang w:eastAsia="en-US"/>
    </w:rPr>
  </w:style>
  <w:style w:type="paragraph" w:customStyle="1" w:styleId="Heading1NotTOC">
    <w:name w:val="Heading 1 Not TOC"/>
    <w:basedOn w:val="Heading1"/>
    <w:next w:val="BodyText"/>
    <w:rsid w:val="00EC32A4"/>
    <w:rPr>
      <w:kern w:val="2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0A2FD0"/>
    <w:rPr>
      <w:sz w:val="26"/>
      <w:szCs w:val="24"/>
    </w:rPr>
  </w:style>
  <w:style w:type="paragraph" w:styleId="Heading1">
    <w:name w:val="heading 1"/>
    <w:basedOn w:val="BodyText"/>
    <w:next w:val="BodyText"/>
    <w:rsid w:val="000A2FD0"/>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0A2FD0"/>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0A2FD0"/>
    <w:pPr>
      <w:spacing w:before="560" w:line="320" w:lineRule="exact"/>
      <w:ind w:left="0" w:firstLine="0"/>
      <w:outlineLvl w:val="2"/>
    </w:pPr>
    <w:rPr>
      <w:sz w:val="26"/>
    </w:rPr>
  </w:style>
  <w:style w:type="paragraph" w:styleId="Heading4">
    <w:name w:val="heading 4"/>
    <w:basedOn w:val="Heading3"/>
    <w:next w:val="BodyText"/>
    <w:link w:val="Heading4Char"/>
    <w:qFormat/>
    <w:rsid w:val="000A2FD0"/>
    <w:pPr>
      <w:spacing w:before="480"/>
      <w:outlineLvl w:val="3"/>
    </w:pPr>
    <w:rPr>
      <w:b w:val="0"/>
      <w:i/>
      <w:sz w:val="24"/>
    </w:rPr>
  </w:style>
  <w:style w:type="paragraph" w:styleId="Heading5">
    <w:name w:val="heading 5"/>
    <w:basedOn w:val="Heading4"/>
    <w:next w:val="BodyText"/>
    <w:qFormat/>
    <w:rsid w:val="000A2FD0"/>
    <w:pPr>
      <w:outlineLvl w:val="4"/>
    </w:pPr>
    <w:rPr>
      <w:rFonts w:ascii="Times New Roman" w:hAnsi="Times New Roman"/>
      <w:sz w:val="26"/>
    </w:rPr>
  </w:style>
  <w:style w:type="paragraph" w:styleId="Heading6">
    <w:name w:val="heading 6"/>
    <w:basedOn w:val="BodyText"/>
    <w:next w:val="BodyText"/>
    <w:rsid w:val="000A2FD0"/>
    <w:pPr>
      <w:spacing w:after="60"/>
      <w:jc w:val="left"/>
      <w:outlineLvl w:val="5"/>
    </w:pPr>
    <w:rPr>
      <w:i/>
      <w:sz w:val="22"/>
    </w:rPr>
  </w:style>
  <w:style w:type="paragraph" w:styleId="Heading7">
    <w:name w:val="heading 7"/>
    <w:basedOn w:val="BodyText"/>
    <w:next w:val="BodyText"/>
    <w:rsid w:val="000A2FD0"/>
    <w:pPr>
      <w:spacing w:after="60" w:line="240" w:lineRule="auto"/>
      <w:jc w:val="left"/>
      <w:outlineLvl w:val="6"/>
    </w:pPr>
    <w:rPr>
      <w:rFonts w:ascii="Arial" w:hAnsi="Arial"/>
      <w:sz w:val="20"/>
    </w:rPr>
  </w:style>
  <w:style w:type="paragraph" w:styleId="Heading8">
    <w:name w:val="heading 8"/>
    <w:basedOn w:val="BodyText"/>
    <w:next w:val="BodyText"/>
    <w:rsid w:val="000A2FD0"/>
    <w:pPr>
      <w:spacing w:after="60" w:line="240" w:lineRule="auto"/>
      <w:jc w:val="left"/>
      <w:outlineLvl w:val="7"/>
    </w:pPr>
    <w:rPr>
      <w:rFonts w:ascii="Arial" w:hAnsi="Arial"/>
      <w:i/>
      <w:sz w:val="20"/>
    </w:rPr>
  </w:style>
  <w:style w:type="paragraph" w:styleId="Heading9">
    <w:name w:val="heading 9"/>
    <w:basedOn w:val="BodyText"/>
    <w:next w:val="BodyText"/>
    <w:rsid w:val="000A2FD0"/>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0A2F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2FD0"/>
  </w:style>
  <w:style w:type="paragraph" w:styleId="BodyText">
    <w:name w:val="Body Text"/>
    <w:link w:val="BodyTextChar"/>
    <w:qFormat/>
    <w:rsid w:val="000A2FD0"/>
    <w:pPr>
      <w:spacing w:before="240" w:line="320" w:lineRule="atLeast"/>
      <w:jc w:val="both"/>
    </w:pPr>
    <w:rPr>
      <w:sz w:val="26"/>
    </w:rPr>
  </w:style>
  <w:style w:type="character" w:customStyle="1" w:styleId="BodyTextChar">
    <w:name w:val="Body Text Char"/>
    <w:basedOn w:val="DefaultParagraphFont"/>
    <w:link w:val="BodyText"/>
    <w:rsid w:val="00583118"/>
    <w:rPr>
      <w:sz w:val="26"/>
    </w:rPr>
  </w:style>
  <w:style w:type="paragraph" w:customStyle="1" w:styleId="Chapter">
    <w:name w:val="Chapter"/>
    <w:basedOn w:val="Heading1"/>
    <w:next w:val="BodyText"/>
    <w:semiHidden/>
    <w:rsid w:val="000A2FD0"/>
    <w:pPr>
      <w:ind w:left="0" w:firstLine="0"/>
      <w:outlineLvl w:val="9"/>
    </w:pPr>
  </w:style>
  <w:style w:type="character" w:customStyle="1" w:styleId="Heading2Char">
    <w:name w:val="Heading 2 Char"/>
    <w:basedOn w:val="DefaultParagraphFont"/>
    <w:link w:val="Heading2"/>
    <w:rsid w:val="00583118"/>
    <w:rPr>
      <w:rFonts w:ascii="Arial" w:hAnsi="Arial"/>
      <w:b/>
      <w:sz w:val="32"/>
    </w:rPr>
  </w:style>
  <w:style w:type="character" w:customStyle="1" w:styleId="Heading3Char">
    <w:name w:val="Heading 3 Char"/>
    <w:basedOn w:val="DefaultParagraphFont"/>
    <w:link w:val="Heading3"/>
    <w:rsid w:val="00583118"/>
    <w:rPr>
      <w:rFonts w:ascii="Arial" w:hAnsi="Arial"/>
      <w:b/>
      <w:sz w:val="26"/>
    </w:rPr>
  </w:style>
  <w:style w:type="character" w:customStyle="1" w:styleId="Heading4Char">
    <w:name w:val="Heading 4 Char"/>
    <w:basedOn w:val="DefaultParagraphFont"/>
    <w:link w:val="Heading4"/>
    <w:rsid w:val="00583118"/>
    <w:rPr>
      <w:rFonts w:ascii="Arial" w:hAnsi="Arial"/>
      <w:i/>
      <w:sz w:val="24"/>
    </w:rPr>
  </w:style>
  <w:style w:type="paragraph" w:styleId="Footer">
    <w:name w:val="footer"/>
    <w:basedOn w:val="BodyText"/>
    <w:semiHidden/>
    <w:rsid w:val="000A2FD0"/>
    <w:pPr>
      <w:spacing w:before="80" w:line="200" w:lineRule="exact"/>
      <w:ind w:right="6"/>
      <w:jc w:val="left"/>
    </w:pPr>
    <w:rPr>
      <w:caps/>
      <w:spacing w:val="-4"/>
      <w:sz w:val="16"/>
    </w:rPr>
  </w:style>
  <w:style w:type="paragraph" w:customStyle="1" w:styleId="FooterEnd">
    <w:name w:val="Footer End"/>
    <w:basedOn w:val="Footer"/>
    <w:rsid w:val="000A2FD0"/>
    <w:pPr>
      <w:spacing w:before="0" w:line="20" w:lineRule="exact"/>
    </w:pPr>
  </w:style>
  <w:style w:type="paragraph" w:styleId="Header">
    <w:name w:val="header"/>
    <w:basedOn w:val="BodyText"/>
    <w:rsid w:val="000A2FD0"/>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0A2FD0"/>
    <w:pPr>
      <w:spacing w:line="20" w:lineRule="exact"/>
    </w:pPr>
    <w:rPr>
      <w:sz w:val="16"/>
    </w:rPr>
  </w:style>
  <w:style w:type="paragraph" w:customStyle="1" w:styleId="HeaderEven">
    <w:name w:val="Header Even"/>
    <w:basedOn w:val="Header"/>
    <w:semiHidden/>
    <w:rsid w:val="000A2FD0"/>
  </w:style>
  <w:style w:type="paragraph" w:customStyle="1" w:styleId="HeaderOdd">
    <w:name w:val="Header Odd"/>
    <w:basedOn w:val="Header"/>
    <w:semiHidden/>
    <w:rsid w:val="000A2FD0"/>
  </w:style>
  <w:style w:type="character" w:styleId="PageNumber">
    <w:name w:val="page number"/>
    <w:basedOn w:val="DefaultParagraphFont"/>
    <w:rsid w:val="000A2FD0"/>
    <w:rPr>
      <w:rFonts w:ascii="Arial" w:hAnsi="Arial"/>
      <w:b/>
      <w:sz w:val="16"/>
    </w:rPr>
  </w:style>
  <w:style w:type="paragraph" w:customStyle="1" w:styleId="Abbreviation">
    <w:name w:val="Abbreviation"/>
    <w:basedOn w:val="BodyText"/>
    <w:rsid w:val="000A2FD0"/>
    <w:pPr>
      <w:spacing w:before="120"/>
      <w:ind w:left="2381" w:hanging="2381"/>
      <w:jc w:val="left"/>
    </w:pPr>
  </w:style>
  <w:style w:type="paragraph" w:customStyle="1" w:styleId="Box">
    <w:name w:val="Box"/>
    <w:basedOn w:val="BodyText"/>
    <w:qFormat/>
    <w:rsid w:val="000A2FD0"/>
    <w:pPr>
      <w:keepNext/>
      <w:spacing w:before="120" w:line="280" w:lineRule="atLeast"/>
    </w:pPr>
    <w:rPr>
      <w:rFonts w:ascii="Arial" w:hAnsi="Arial"/>
      <w:sz w:val="22"/>
    </w:rPr>
  </w:style>
  <w:style w:type="paragraph" w:customStyle="1" w:styleId="BoxContinued">
    <w:name w:val="Box Continued"/>
    <w:basedOn w:val="BodyText"/>
    <w:next w:val="BodyText"/>
    <w:semiHidden/>
    <w:rsid w:val="000A2FD0"/>
    <w:pPr>
      <w:spacing w:before="180" w:line="220" w:lineRule="exact"/>
      <w:jc w:val="right"/>
    </w:pPr>
    <w:rPr>
      <w:rFonts w:ascii="Arial" w:hAnsi="Arial"/>
      <w:sz w:val="18"/>
    </w:rPr>
  </w:style>
  <w:style w:type="paragraph" w:customStyle="1" w:styleId="BoxHeading1">
    <w:name w:val="Box Heading 1"/>
    <w:basedOn w:val="BodyText"/>
    <w:next w:val="Box"/>
    <w:rsid w:val="000A2FD0"/>
    <w:pPr>
      <w:keepNext/>
      <w:spacing w:before="200" w:line="280" w:lineRule="atLeast"/>
    </w:pPr>
    <w:rPr>
      <w:rFonts w:ascii="Arial" w:hAnsi="Arial"/>
      <w:b/>
      <w:sz w:val="22"/>
    </w:rPr>
  </w:style>
  <w:style w:type="paragraph" w:customStyle="1" w:styleId="BoxHeading2">
    <w:name w:val="Box Heading 2"/>
    <w:basedOn w:val="BoxHeading1"/>
    <w:next w:val="Normal"/>
    <w:rsid w:val="000A2FD0"/>
    <w:rPr>
      <w:b w:val="0"/>
      <w:i/>
    </w:rPr>
  </w:style>
  <w:style w:type="paragraph" w:customStyle="1" w:styleId="BoxListBullet">
    <w:name w:val="Box List Bullet"/>
    <w:basedOn w:val="BodyText"/>
    <w:rsid w:val="000A2FD0"/>
    <w:pPr>
      <w:keepNext/>
      <w:numPr>
        <w:numId w:val="1"/>
      </w:numPr>
      <w:spacing w:before="60" w:line="280" w:lineRule="atLeast"/>
    </w:pPr>
    <w:rPr>
      <w:rFonts w:ascii="Arial" w:hAnsi="Arial"/>
      <w:sz w:val="22"/>
    </w:rPr>
  </w:style>
  <w:style w:type="paragraph" w:customStyle="1" w:styleId="BoxListBullet2">
    <w:name w:val="Box List Bullet 2"/>
    <w:basedOn w:val="BodyText"/>
    <w:rsid w:val="000A2FD0"/>
    <w:pPr>
      <w:keepNext/>
      <w:numPr>
        <w:numId w:val="2"/>
      </w:numPr>
      <w:spacing w:before="60" w:line="280" w:lineRule="atLeast"/>
    </w:pPr>
    <w:rPr>
      <w:rFonts w:ascii="Arial" w:hAnsi="Arial"/>
      <w:sz w:val="22"/>
    </w:rPr>
  </w:style>
  <w:style w:type="paragraph" w:customStyle="1" w:styleId="BoxListNumber">
    <w:name w:val="Box List Number"/>
    <w:basedOn w:val="BodyText"/>
    <w:rsid w:val="000A2FD0"/>
    <w:pPr>
      <w:keepNext/>
      <w:numPr>
        <w:numId w:val="13"/>
      </w:numPr>
      <w:spacing w:before="60" w:line="280" w:lineRule="atLeast"/>
    </w:pPr>
    <w:rPr>
      <w:rFonts w:ascii="Arial" w:hAnsi="Arial"/>
      <w:sz w:val="22"/>
    </w:rPr>
  </w:style>
  <w:style w:type="paragraph" w:customStyle="1" w:styleId="BoxListNumber2">
    <w:name w:val="Box List Number 2"/>
    <w:basedOn w:val="BoxListNumber"/>
    <w:rsid w:val="000A2FD0"/>
    <w:pPr>
      <w:numPr>
        <w:ilvl w:val="1"/>
      </w:numPr>
    </w:pPr>
  </w:style>
  <w:style w:type="paragraph" w:customStyle="1" w:styleId="BoxQuote">
    <w:name w:val="Box Quote"/>
    <w:basedOn w:val="BodyText"/>
    <w:next w:val="Box"/>
    <w:rsid w:val="000A2FD0"/>
    <w:pPr>
      <w:keepNext/>
      <w:spacing w:before="60" w:line="260" w:lineRule="exact"/>
      <w:ind w:left="284"/>
    </w:pPr>
    <w:rPr>
      <w:rFonts w:ascii="Arial" w:hAnsi="Arial"/>
      <w:sz w:val="20"/>
    </w:rPr>
  </w:style>
  <w:style w:type="paragraph" w:customStyle="1" w:styleId="Note">
    <w:name w:val="Note"/>
    <w:basedOn w:val="BodyText"/>
    <w:next w:val="BodyText"/>
    <w:link w:val="NoteChar"/>
    <w:rsid w:val="000A2FD0"/>
    <w:pPr>
      <w:keepLines/>
      <w:spacing w:before="80" w:line="220" w:lineRule="exact"/>
    </w:pPr>
    <w:rPr>
      <w:rFonts w:ascii="Arial" w:hAnsi="Arial"/>
      <w:sz w:val="18"/>
    </w:rPr>
  </w:style>
  <w:style w:type="character" w:customStyle="1" w:styleId="NoteChar">
    <w:name w:val="Note Char"/>
    <w:link w:val="Note"/>
    <w:locked/>
    <w:rsid w:val="00583118"/>
    <w:rPr>
      <w:rFonts w:ascii="Arial" w:hAnsi="Arial"/>
      <w:sz w:val="18"/>
    </w:rPr>
  </w:style>
  <w:style w:type="paragraph" w:customStyle="1" w:styleId="Source">
    <w:name w:val="Source"/>
    <w:basedOn w:val="Note"/>
    <w:next w:val="BodyText"/>
    <w:link w:val="SourceChar"/>
    <w:rsid w:val="000A2FD0"/>
    <w:pPr>
      <w:spacing w:after="120"/>
    </w:pPr>
  </w:style>
  <w:style w:type="character" w:customStyle="1" w:styleId="SourceChar">
    <w:name w:val="Source Char"/>
    <w:basedOn w:val="NoteChar"/>
    <w:link w:val="Source"/>
    <w:rsid w:val="00583118"/>
    <w:rPr>
      <w:rFonts w:ascii="Arial" w:hAnsi="Arial"/>
      <w:sz w:val="18"/>
    </w:rPr>
  </w:style>
  <w:style w:type="paragraph" w:customStyle="1" w:styleId="BoxSource">
    <w:name w:val="Box Source"/>
    <w:basedOn w:val="Source"/>
    <w:next w:val="BodyText"/>
    <w:rsid w:val="000A2FD0"/>
    <w:pPr>
      <w:spacing w:before="180" w:after="0"/>
    </w:pPr>
  </w:style>
  <w:style w:type="paragraph" w:customStyle="1" w:styleId="BoxSpace">
    <w:name w:val="Box Space"/>
    <w:basedOn w:val="BodyText"/>
    <w:rsid w:val="003333C2"/>
    <w:pPr>
      <w:keepNext/>
      <w:spacing w:before="360" w:line="80" w:lineRule="exact"/>
      <w:jc w:val="left"/>
    </w:pPr>
  </w:style>
  <w:style w:type="paragraph" w:styleId="Caption">
    <w:name w:val="caption"/>
    <w:basedOn w:val="Normal"/>
    <w:next w:val="BodyText"/>
    <w:rsid w:val="000A2FD0"/>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0A2FD0"/>
    <w:pPr>
      <w:spacing w:before="120" w:after="0"/>
      <w:ind w:left="1304" w:hanging="1304"/>
    </w:pPr>
    <w:rPr>
      <w:sz w:val="24"/>
    </w:rPr>
  </w:style>
  <w:style w:type="paragraph" w:customStyle="1" w:styleId="BoxSubtitle">
    <w:name w:val="Box Subtitle"/>
    <w:basedOn w:val="BoxTitle"/>
    <w:next w:val="Normal"/>
    <w:rsid w:val="000A2FD0"/>
    <w:pPr>
      <w:spacing w:after="80" w:line="200" w:lineRule="exact"/>
      <w:ind w:firstLine="0"/>
    </w:pPr>
    <w:rPr>
      <w:b w:val="0"/>
      <w:sz w:val="20"/>
    </w:rPr>
  </w:style>
  <w:style w:type="paragraph" w:customStyle="1" w:styleId="ChapterSummary">
    <w:name w:val="Chapter Summary"/>
    <w:basedOn w:val="BodyText"/>
    <w:rsid w:val="000A2FD0"/>
    <w:pPr>
      <w:ind w:left="907"/>
    </w:pPr>
    <w:rPr>
      <w:rFonts w:ascii="Arial" w:hAnsi="Arial"/>
      <w:b/>
      <w:sz w:val="22"/>
    </w:rPr>
  </w:style>
  <w:style w:type="character" w:styleId="CommentReference">
    <w:name w:val="annotation reference"/>
    <w:basedOn w:val="DefaultParagraphFont"/>
    <w:semiHidden/>
    <w:rsid w:val="000A2FD0"/>
    <w:rPr>
      <w:b/>
      <w:vanish/>
      <w:color w:val="FF00FF"/>
      <w:sz w:val="20"/>
    </w:rPr>
  </w:style>
  <w:style w:type="paragraph" w:styleId="CommentText">
    <w:name w:val="annotation text"/>
    <w:basedOn w:val="Normal"/>
    <w:link w:val="CommentTextChar"/>
    <w:semiHidden/>
    <w:rsid w:val="000A2FD0"/>
    <w:pPr>
      <w:spacing w:before="120" w:line="240" w:lineRule="atLeast"/>
      <w:ind w:left="567" w:hanging="567"/>
    </w:pPr>
    <w:rPr>
      <w:sz w:val="20"/>
    </w:rPr>
  </w:style>
  <w:style w:type="paragraph" w:customStyle="1" w:styleId="Continued">
    <w:name w:val="Continued"/>
    <w:basedOn w:val="BoxContinued"/>
    <w:next w:val="BodyText"/>
    <w:rsid w:val="000A2FD0"/>
  </w:style>
  <w:style w:type="character" w:customStyle="1" w:styleId="DocumentInfo">
    <w:name w:val="Document Info"/>
    <w:basedOn w:val="DefaultParagraphFont"/>
    <w:semiHidden/>
    <w:rsid w:val="000A2FD0"/>
    <w:rPr>
      <w:rFonts w:ascii="Arial" w:hAnsi="Arial"/>
      <w:sz w:val="14"/>
    </w:rPr>
  </w:style>
  <w:style w:type="character" w:customStyle="1" w:styleId="DraftingNote">
    <w:name w:val="Drafting Note"/>
    <w:basedOn w:val="DefaultParagraphFont"/>
    <w:rsid w:val="000A2FD0"/>
    <w:rPr>
      <w:b/>
      <w:color w:val="FF0000"/>
      <w:sz w:val="24"/>
      <w:u w:val="dotted"/>
    </w:rPr>
  </w:style>
  <w:style w:type="paragraph" w:customStyle="1" w:styleId="Figure">
    <w:name w:val="Figure"/>
    <w:basedOn w:val="BodyText"/>
    <w:rsid w:val="000A2FD0"/>
    <w:pPr>
      <w:keepNext/>
      <w:spacing w:before="120" w:after="120" w:line="240" w:lineRule="atLeast"/>
      <w:jc w:val="center"/>
    </w:pPr>
  </w:style>
  <w:style w:type="paragraph" w:customStyle="1" w:styleId="FigureTitle">
    <w:name w:val="Figure Title"/>
    <w:basedOn w:val="Caption"/>
    <w:next w:val="Subtitle"/>
    <w:rsid w:val="000A2FD0"/>
    <w:rPr>
      <w:sz w:val="24"/>
    </w:rPr>
  </w:style>
  <w:style w:type="paragraph" w:styleId="Subtitle">
    <w:name w:val="Subtitle"/>
    <w:basedOn w:val="Caption"/>
    <w:link w:val="SubtitleChar"/>
    <w:rsid w:val="000A2FD0"/>
    <w:pPr>
      <w:spacing w:before="0" w:line="200" w:lineRule="exact"/>
      <w:ind w:firstLine="0"/>
    </w:pPr>
    <w:rPr>
      <w:b w:val="0"/>
      <w:sz w:val="20"/>
    </w:rPr>
  </w:style>
  <w:style w:type="character" w:customStyle="1" w:styleId="SubtitleChar">
    <w:name w:val="Subtitle Char"/>
    <w:basedOn w:val="DefaultParagraphFont"/>
    <w:link w:val="Subtitle"/>
    <w:rsid w:val="000A2FD0"/>
    <w:rPr>
      <w:rFonts w:ascii="Arial" w:hAnsi="Arial"/>
      <w:szCs w:val="24"/>
    </w:rPr>
  </w:style>
  <w:style w:type="paragraph" w:customStyle="1" w:styleId="Finding">
    <w:name w:val="Finding"/>
    <w:basedOn w:val="BodyText"/>
    <w:rsid w:val="000A2FD0"/>
    <w:pPr>
      <w:keepLines/>
      <w:spacing w:before="180"/>
    </w:pPr>
    <w:rPr>
      <w:i/>
    </w:rPr>
  </w:style>
  <w:style w:type="paragraph" w:customStyle="1" w:styleId="FindingBullet">
    <w:name w:val="Finding Bullet"/>
    <w:basedOn w:val="Finding"/>
    <w:rsid w:val="000A2FD0"/>
    <w:pPr>
      <w:numPr>
        <w:numId w:val="3"/>
      </w:numPr>
      <w:spacing w:before="80"/>
    </w:pPr>
  </w:style>
  <w:style w:type="paragraph" w:customStyle="1" w:styleId="FindingNoTitle">
    <w:name w:val="Finding NoTitle"/>
    <w:basedOn w:val="Finding"/>
    <w:rsid w:val="000A2FD0"/>
    <w:pPr>
      <w:spacing w:before="240"/>
    </w:pPr>
  </w:style>
  <w:style w:type="paragraph" w:customStyle="1" w:styleId="RecTitle">
    <w:name w:val="Rec Title"/>
    <w:basedOn w:val="BodyText"/>
    <w:next w:val="Normal"/>
    <w:rsid w:val="000A2FD0"/>
    <w:pPr>
      <w:keepNext/>
      <w:keepLines/>
    </w:pPr>
    <w:rPr>
      <w:caps/>
      <w:sz w:val="20"/>
    </w:rPr>
  </w:style>
  <w:style w:type="paragraph" w:customStyle="1" w:styleId="FindingTitle">
    <w:name w:val="Finding Title"/>
    <w:basedOn w:val="RecTitle"/>
    <w:next w:val="Finding"/>
    <w:rsid w:val="000A2FD0"/>
    <w:pPr>
      <w:framePr w:wrap="notBeside" w:hAnchor="text"/>
    </w:pPr>
  </w:style>
  <w:style w:type="character" w:styleId="FootnoteReference">
    <w:name w:val="footnote reference"/>
    <w:basedOn w:val="DefaultParagraphFont"/>
    <w:semiHidden/>
    <w:rsid w:val="000A2FD0"/>
    <w:rPr>
      <w:rFonts w:ascii="Times New Roman" w:hAnsi="Times New Roman"/>
      <w:position w:val="6"/>
      <w:sz w:val="22"/>
      <w:vertAlign w:val="baseline"/>
    </w:rPr>
  </w:style>
  <w:style w:type="paragraph" w:styleId="FootnoteText">
    <w:name w:val="footnote text"/>
    <w:basedOn w:val="BodyText"/>
    <w:link w:val="FootnoteTextChar"/>
    <w:rsid w:val="000A2FD0"/>
    <w:pPr>
      <w:tabs>
        <w:tab w:val="left" w:pos="284"/>
      </w:tabs>
      <w:spacing w:before="80" w:line="260" w:lineRule="exact"/>
      <w:ind w:left="284" w:hanging="284"/>
    </w:pPr>
    <w:rPr>
      <w:sz w:val="22"/>
    </w:rPr>
  </w:style>
  <w:style w:type="character" w:customStyle="1" w:styleId="FootnoteTextChar">
    <w:name w:val="Footnote Text Char"/>
    <w:basedOn w:val="DefaultParagraphFont"/>
    <w:link w:val="FootnoteText"/>
    <w:rsid w:val="00583118"/>
    <w:rPr>
      <w:sz w:val="22"/>
    </w:rPr>
  </w:style>
  <w:style w:type="paragraph" w:customStyle="1" w:styleId="InformationRequest">
    <w:name w:val="Information Request"/>
    <w:basedOn w:val="Finding"/>
    <w:next w:val="BodyText"/>
    <w:rsid w:val="000A2FD0"/>
    <w:pPr>
      <w:spacing w:before="360" w:after="120"/>
    </w:pPr>
    <w:rPr>
      <w:rFonts w:ascii="Arial" w:hAnsi="Arial"/>
      <w:sz w:val="24"/>
    </w:rPr>
  </w:style>
  <w:style w:type="paragraph" w:customStyle="1" w:styleId="Jurisdictioncommentsbodytext">
    <w:name w:val="Jurisdiction comments body text"/>
    <w:rsid w:val="000A2FD0"/>
    <w:pPr>
      <w:spacing w:after="140"/>
      <w:jc w:val="both"/>
    </w:pPr>
    <w:rPr>
      <w:rFonts w:ascii="Arial" w:hAnsi="Arial"/>
      <w:sz w:val="24"/>
      <w:lang w:eastAsia="en-US"/>
    </w:rPr>
  </w:style>
  <w:style w:type="paragraph" w:customStyle="1" w:styleId="Jurisdictioncommentsheading">
    <w:name w:val="Jurisdiction comments heading"/>
    <w:rsid w:val="000A2FD0"/>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0A2FD0"/>
    <w:pPr>
      <w:numPr>
        <w:numId w:val="4"/>
      </w:numPr>
      <w:spacing w:after="140"/>
      <w:jc w:val="both"/>
    </w:pPr>
    <w:rPr>
      <w:rFonts w:ascii="Arial" w:hAnsi="Arial"/>
      <w:sz w:val="24"/>
      <w:lang w:eastAsia="en-US"/>
    </w:rPr>
  </w:style>
  <w:style w:type="paragraph" w:styleId="ListBullet">
    <w:name w:val="List Bullet"/>
    <w:basedOn w:val="BodyText"/>
    <w:rsid w:val="000A2FD0"/>
    <w:pPr>
      <w:numPr>
        <w:numId w:val="5"/>
      </w:numPr>
      <w:spacing w:before="120"/>
    </w:pPr>
  </w:style>
  <w:style w:type="paragraph" w:styleId="ListBullet2">
    <w:name w:val="List Bullet 2"/>
    <w:basedOn w:val="BodyText"/>
    <w:rsid w:val="000A2FD0"/>
    <w:pPr>
      <w:numPr>
        <w:numId w:val="6"/>
      </w:numPr>
      <w:spacing w:before="120"/>
    </w:pPr>
  </w:style>
  <w:style w:type="paragraph" w:styleId="ListBullet3">
    <w:name w:val="List Bullet 3"/>
    <w:basedOn w:val="BodyText"/>
    <w:rsid w:val="000A2FD0"/>
    <w:pPr>
      <w:numPr>
        <w:numId w:val="7"/>
      </w:numPr>
      <w:spacing w:before="120"/>
    </w:pPr>
  </w:style>
  <w:style w:type="paragraph" w:styleId="ListNumber">
    <w:name w:val="List Number"/>
    <w:basedOn w:val="BodyText"/>
    <w:rsid w:val="000A2FD0"/>
    <w:pPr>
      <w:numPr>
        <w:numId w:val="12"/>
      </w:numPr>
      <w:spacing w:before="120"/>
    </w:pPr>
  </w:style>
  <w:style w:type="paragraph" w:styleId="ListNumber2">
    <w:name w:val="List Number 2"/>
    <w:basedOn w:val="ListNumber"/>
    <w:rsid w:val="000A2FD0"/>
    <w:pPr>
      <w:numPr>
        <w:ilvl w:val="1"/>
      </w:numPr>
    </w:pPr>
  </w:style>
  <w:style w:type="paragraph" w:styleId="ListNumber3">
    <w:name w:val="List Number 3"/>
    <w:basedOn w:val="ListNumber2"/>
    <w:rsid w:val="000A2FD0"/>
    <w:pPr>
      <w:numPr>
        <w:ilvl w:val="2"/>
      </w:numPr>
    </w:pPr>
  </w:style>
  <w:style w:type="character" w:customStyle="1" w:styleId="NoteLabel">
    <w:name w:val="Note Label"/>
    <w:basedOn w:val="DefaultParagraphFont"/>
    <w:rsid w:val="000A2FD0"/>
    <w:rPr>
      <w:rFonts w:ascii="Arial" w:hAnsi="Arial"/>
      <w:b/>
      <w:position w:val="6"/>
      <w:sz w:val="18"/>
    </w:rPr>
  </w:style>
  <w:style w:type="paragraph" w:customStyle="1" w:styleId="PartDivider">
    <w:name w:val="Part Divider"/>
    <w:basedOn w:val="BodyText"/>
    <w:next w:val="BodyText"/>
    <w:semiHidden/>
    <w:rsid w:val="000A2FD0"/>
    <w:pPr>
      <w:spacing w:before="0" w:line="40" w:lineRule="exact"/>
      <w:jc w:val="right"/>
    </w:pPr>
    <w:rPr>
      <w:smallCaps/>
      <w:sz w:val="16"/>
    </w:rPr>
  </w:style>
  <w:style w:type="paragraph" w:customStyle="1" w:styleId="PartNumber">
    <w:name w:val="Part Number"/>
    <w:basedOn w:val="BodyText"/>
    <w:next w:val="BodyText"/>
    <w:semiHidden/>
    <w:rsid w:val="000A2FD0"/>
    <w:pPr>
      <w:spacing w:before="4000" w:line="320" w:lineRule="exact"/>
      <w:ind w:left="6634"/>
      <w:jc w:val="right"/>
    </w:pPr>
    <w:rPr>
      <w:smallCaps/>
      <w:spacing w:val="60"/>
      <w:sz w:val="32"/>
    </w:rPr>
  </w:style>
  <w:style w:type="paragraph" w:customStyle="1" w:styleId="PartTitle">
    <w:name w:val="Part Title"/>
    <w:basedOn w:val="BodyText"/>
    <w:semiHidden/>
    <w:rsid w:val="000A2FD0"/>
    <w:pPr>
      <w:spacing w:before="160" w:after="1360" w:line="520" w:lineRule="exact"/>
      <w:ind w:right="2381"/>
      <w:jc w:val="right"/>
    </w:pPr>
    <w:rPr>
      <w:smallCaps/>
      <w:sz w:val="52"/>
    </w:rPr>
  </w:style>
  <w:style w:type="paragraph" w:styleId="Quote">
    <w:name w:val="Quote"/>
    <w:basedOn w:val="BodyText"/>
    <w:next w:val="BodyText"/>
    <w:qFormat/>
    <w:rsid w:val="000A2FD0"/>
    <w:pPr>
      <w:spacing w:before="120" w:line="280" w:lineRule="exact"/>
      <w:ind w:left="340"/>
    </w:pPr>
    <w:rPr>
      <w:sz w:val="24"/>
    </w:rPr>
  </w:style>
  <w:style w:type="paragraph" w:customStyle="1" w:styleId="QuoteBullet">
    <w:name w:val="Quote Bullet"/>
    <w:basedOn w:val="Quote"/>
    <w:rsid w:val="000A2FD0"/>
    <w:pPr>
      <w:numPr>
        <w:numId w:val="8"/>
      </w:numPr>
    </w:pPr>
  </w:style>
  <w:style w:type="paragraph" w:customStyle="1" w:styleId="Rec">
    <w:name w:val="Rec"/>
    <w:basedOn w:val="BodyText"/>
    <w:rsid w:val="000A2FD0"/>
    <w:pPr>
      <w:keepLines/>
      <w:spacing w:before="180"/>
    </w:pPr>
    <w:rPr>
      <w:b/>
      <w:i/>
    </w:rPr>
  </w:style>
  <w:style w:type="paragraph" w:customStyle="1" w:styleId="RecBullet">
    <w:name w:val="Rec Bullet"/>
    <w:basedOn w:val="Rec"/>
    <w:rsid w:val="000A2FD0"/>
    <w:pPr>
      <w:numPr>
        <w:numId w:val="9"/>
      </w:numPr>
      <w:spacing w:before="80"/>
    </w:pPr>
  </w:style>
  <w:style w:type="paragraph" w:customStyle="1" w:styleId="RecB">
    <w:name w:val="RecB"/>
    <w:basedOn w:val="Normal"/>
    <w:rsid w:val="000A2FD0"/>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0A2FD0"/>
    <w:pPr>
      <w:numPr>
        <w:numId w:val="14"/>
      </w:numPr>
      <w:spacing w:before="80"/>
    </w:pPr>
  </w:style>
  <w:style w:type="paragraph" w:customStyle="1" w:styleId="RecBNoTitle">
    <w:name w:val="RecB NoTitle"/>
    <w:basedOn w:val="RecB"/>
    <w:rsid w:val="000A2FD0"/>
    <w:pPr>
      <w:spacing w:before="240"/>
    </w:pPr>
  </w:style>
  <w:style w:type="paragraph" w:customStyle="1" w:styleId="Reference">
    <w:name w:val="Reference"/>
    <w:basedOn w:val="BodyText"/>
    <w:link w:val="ReferenceChar"/>
    <w:rsid w:val="000A2FD0"/>
    <w:pPr>
      <w:spacing w:before="120"/>
      <w:ind w:left="340" w:hanging="340"/>
    </w:pPr>
  </w:style>
  <w:style w:type="paragraph" w:customStyle="1" w:styleId="SequenceInfo">
    <w:name w:val="Sequence Info"/>
    <w:basedOn w:val="BodyText"/>
    <w:semiHidden/>
    <w:rsid w:val="000A2FD0"/>
    <w:rPr>
      <w:vanish/>
      <w:sz w:val="16"/>
    </w:rPr>
  </w:style>
  <w:style w:type="paragraph" w:customStyle="1" w:styleId="SideNote">
    <w:name w:val="Side Note"/>
    <w:basedOn w:val="BodyText"/>
    <w:next w:val="BodyText"/>
    <w:semiHidden/>
    <w:rsid w:val="000A2FD0"/>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0A2FD0"/>
    <w:pPr>
      <w:framePr w:wrap="around"/>
      <w:numPr>
        <w:numId w:val="10"/>
      </w:numPr>
      <w:tabs>
        <w:tab w:val="left" w:pos="227"/>
      </w:tabs>
    </w:pPr>
  </w:style>
  <w:style w:type="paragraph" w:customStyle="1" w:styleId="SideNoteGraphic">
    <w:name w:val="Side Note Graphic"/>
    <w:basedOn w:val="SideNote"/>
    <w:next w:val="BodyText"/>
    <w:semiHidden/>
    <w:rsid w:val="000A2FD0"/>
    <w:pPr>
      <w:framePr w:wrap="around"/>
    </w:pPr>
  </w:style>
  <w:style w:type="paragraph" w:customStyle="1" w:styleId="TableBodyText">
    <w:name w:val="Table Body Text"/>
    <w:basedOn w:val="BodyText"/>
    <w:rsid w:val="000A2FD0"/>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0A2FD0"/>
    <w:pPr>
      <w:numPr>
        <w:numId w:val="11"/>
      </w:numPr>
      <w:jc w:val="left"/>
    </w:pPr>
  </w:style>
  <w:style w:type="paragraph" w:customStyle="1" w:styleId="TableColumnHeading">
    <w:name w:val="Table Column Heading"/>
    <w:basedOn w:val="TableBodyText"/>
    <w:rsid w:val="000A2FD0"/>
    <w:pPr>
      <w:spacing w:before="80" w:after="80"/>
    </w:pPr>
    <w:rPr>
      <w:i/>
    </w:rPr>
  </w:style>
  <w:style w:type="paragraph" w:styleId="TOC2">
    <w:name w:val="toc 2"/>
    <w:basedOn w:val="BodyText"/>
    <w:semiHidden/>
    <w:rsid w:val="000A2FD0"/>
    <w:pPr>
      <w:tabs>
        <w:tab w:val="right" w:pos="8789"/>
      </w:tabs>
      <w:ind w:left="510" w:right="851" w:hanging="510"/>
      <w:jc w:val="left"/>
    </w:pPr>
    <w:rPr>
      <w:b/>
    </w:rPr>
  </w:style>
  <w:style w:type="paragraph" w:styleId="TOC3">
    <w:name w:val="toc 3"/>
    <w:basedOn w:val="TOC2"/>
    <w:semiHidden/>
    <w:rsid w:val="000A2FD0"/>
    <w:pPr>
      <w:spacing w:before="60"/>
      <w:ind w:left="1190" w:hanging="680"/>
    </w:pPr>
    <w:rPr>
      <w:b w:val="0"/>
    </w:rPr>
  </w:style>
  <w:style w:type="paragraph" w:styleId="TableofFigures">
    <w:name w:val="table of figures"/>
    <w:basedOn w:val="TOC3"/>
    <w:next w:val="BodyText"/>
    <w:semiHidden/>
    <w:rsid w:val="000A2FD0"/>
    <w:pPr>
      <w:ind w:left="737" w:hanging="737"/>
    </w:pPr>
  </w:style>
  <w:style w:type="paragraph" w:customStyle="1" w:styleId="TableTitle">
    <w:name w:val="Table Title"/>
    <w:basedOn w:val="Caption"/>
    <w:next w:val="Subtitle"/>
    <w:link w:val="TableTitleChar"/>
    <w:rsid w:val="000A2FD0"/>
    <w:rPr>
      <w:sz w:val="24"/>
    </w:rPr>
  </w:style>
  <w:style w:type="character" w:customStyle="1" w:styleId="TableTitleChar">
    <w:name w:val="Table Title Char"/>
    <w:link w:val="TableTitle"/>
    <w:locked/>
    <w:rsid w:val="00583118"/>
    <w:rPr>
      <w:rFonts w:ascii="Arial" w:hAnsi="Arial"/>
      <w:b/>
      <w:sz w:val="24"/>
      <w:szCs w:val="24"/>
    </w:rPr>
  </w:style>
  <w:style w:type="paragraph" w:customStyle="1" w:styleId="TableUnitsRow">
    <w:name w:val="Table Units Row"/>
    <w:basedOn w:val="TableBodyText"/>
    <w:rsid w:val="000A2FD0"/>
    <w:pPr>
      <w:spacing w:before="80" w:after="80"/>
    </w:pPr>
  </w:style>
  <w:style w:type="paragraph" w:styleId="TOC1">
    <w:name w:val="toc 1"/>
    <w:basedOn w:val="Normal"/>
    <w:next w:val="TOC2"/>
    <w:rsid w:val="000A2FD0"/>
    <w:pPr>
      <w:tabs>
        <w:tab w:val="right" w:pos="8789"/>
      </w:tabs>
      <w:spacing w:before="480" w:after="60" w:line="320" w:lineRule="exact"/>
      <w:ind w:left="1191" w:right="851" w:hanging="1191"/>
    </w:pPr>
    <w:rPr>
      <w:b/>
      <w:caps/>
    </w:rPr>
  </w:style>
  <w:style w:type="paragraph" w:styleId="TOC4">
    <w:name w:val="toc 4"/>
    <w:basedOn w:val="TOC3"/>
    <w:semiHidden/>
    <w:rsid w:val="000A2FD0"/>
    <w:pPr>
      <w:ind w:left="1191" w:firstLine="0"/>
    </w:pPr>
  </w:style>
  <w:style w:type="paragraph" w:customStyle="1" w:styleId="RecBBullet2">
    <w:name w:val="RecB Bullet 2"/>
    <w:basedOn w:val="ListBullet2"/>
    <w:rsid w:val="000A2FD0"/>
    <w:pPr>
      <w:pBdr>
        <w:left w:val="single" w:sz="24" w:space="29" w:color="C0C0C0"/>
      </w:pBdr>
    </w:pPr>
    <w:rPr>
      <w:b/>
      <w:i/>
    </w:rPr>
  </w:style>
  <w:style w:type="paragraph" w:styleId="BalloonText">
    <w:name w:val="Balloon Text"/>
    <w:basedOn w:val="Normal"/>
    <w:link w:val="BalloonTextChar"/>
    <w:rsid w:val="000A2FD0"/>
    <w:rPr>
      <w:rFonts w:ascii="Tahoma" w:hAnsi="Tahoma" w:cs="Tahoma"/>
      <w:sz w:val="16"/>
      <w:szCs w:val="16"/>
    </w:rPr>
  </w:style>
  <w:style w:type="character" w:customStyle="1" w:styleId="BalloonTextChar">
    <w:name w:val="Balloon Text Char"/>
    <w:basedOn w:val="DefaultParagraphFont"/>
    <w:link w:val="BalloonText"/>
    <w:rsid w:val="000A2FD0"/>
    <w:rPr>
      <w:rFonts w:ascii="Tahoma" w:hAnsi="Tahoma" w:cs="Tahoma"/>
      <w:sz w:val="16"/>
      <w:szCs w:val="16"/>
    </w:rPr>
  </w:style>
  <w:style w:type="paragraph" w:customStyle="1" w:styleId="BoxListBullet3">
    <w:name w:val="Box List Bullet 3"/>
    <w:basedOn w:val="ListBullet3"/>
    <w:rsid w:val="000A2FD0"/>
    <w:pPr>
      <w:numPr>
        <w:numId w:val="1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0A2FD0"/>
    <w:rPr>
      <w:i/>
      <w:iCs/>
    </w:rPr>
  </w:style>
  <w:style w:type="paragraph" w:styleId="ListParagraph">
    <w:name w:val="List Paragraph"/>
    <w:basedOn w:val="Normal"/>
    <w:uiPriority w:val="34"/>
    <w:qFormat/>
    <w:rsid w:val="00583118"/>
    <w:pPr>
      <w:ind w:left="720"/>
    </w:pPr>
  </w:style>
  <w:style w:type="character" w:styleId="Hyperlink">
    <w:name w:val="Hyperlink"/>
    <w:basedOn w:val="DefaultParagraphFont"/>
    <w:rsid w:val="00FC694C"/>
    <w:rPr>
      <w:color w:val="0000FF" w:themeColor="hyperlink"/>
      <w:u w:val="single"/>
    </w:rPr>
  </w:style>
  <w:style w:type="paragraph" w:customStyle="1" w:styleId="BoxQuoteBullet">
    <w:name w:val="Box Quote Bullet"/>
    <w:basedOn w:val="BoxQuote"/>
    <w:next w:val="Box"/>
    <w:rsid w:val="000A2FD0"/>
    <w:pPr>
      <w:numPr>
        <w:numId w:val="15"/>
      </w:numPr>
      <w:ind w:left="568" w:hanging="284"/>
    </w:pPr>
  </w:style>
  <w:style w:type="paragraph" w:customStyle="1" w:styleId="InformationRequestBullet">
    <w:name w:val="Information Request Bullet"/>
    <w:basedOn w:val="ListBullet"/>
    <w:next w:val="BodyText"/>
    <w:rsid w:val="000A2FD0"/>
    <w:pPr>
      <w:numPr>
        <w:numId w:val="16"/>
      </w:numPr>
      <w:ind w:left="340" w:hanging="340"/>
    </w:pPr>
    <w:rPr>
      <w:rFonts w:ascii="Arial" w:hAnsi="Arial"/>
      <w:i/>
      <w:sz w:val="24"/>
    </w:rPr>
  </w:style>
  <w:style w:type="paragraph" w:styleId="NormalWeb">
    <w:name w:val="Normal (Web)"/>
    <w:basedOn w:val="Normal"/>
    <w:uiPriority w:val="99"/>
    <w:unhideWhenUsed/>
    <w:rsid w:val="00D6514F"/>
    <w:pPr>
      <w:spacing w:before="100" w:beforeAutospacing="1" w:after="100" w:afterAutospacing="1"/>
    </w:pPr>
    <w:rPr>
      <w:rFonts w:eastAsiaTheme="minorEastAsia"/>
      <w:sz w:val="24"/>
    </w:rPr>
  </w:style>
  <w:style w:type="paragraph" w:styleId="CommentSubject">
    <w:name w:val="annotation subject"/>
    <w:basedOn w:val="CommentText"/>
    <w:next w:val="CommentText"/>
    <w:link w:val="CommentSubjectChar"/>
    <w:rsid w:val="00544937"/>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544937"/>
    <w:rPr>
      <w:szCs w:val="24"/>
    </w:rPr>
  </w:style>
  <w:style w:type="character" w:customStyle="1" w:styleId="CommentSubjectChar">
    <w:name w:val="Comment Subject Char"/>
    <w:basedOn w:val="CommentTextChar"/>
    <w:link w:val="CommentSubject"/>
    <w:rsid w:val="00544937"/>
    <w:rPr>
      <w:b/>
      <w:bCs/>
      <w:szCs w:val="24"/>
    </w:rPr>
  </w:style>
  <w:style w:type="character" w:customStyle="1" w:styleId="ReferenceChar">
    <w:name w:val="Reference Char"/>
    <w:basedOn w:val="DefaultParagraphFont"/>
    <w:link w:val="Reference"/>
    <w:rsid w:val="003076E0"/>
    <w:rPr>
      <w:sz w:val="26"/>
    </w:rPr>
  </w:style>
  <w:style w:type="character" w:styleId="FollowedHyperlink">
    <w:name w:val="FollowedHyperlink"/>
    <w:basedOn w:val="DefaultParagraphFont"/>
    <w:rsid w:val="002831D6"/>
    <w:rPr>
      <w:color w:val="800080" w:themeColor="followedHyperlink"/>
      <w:u w:val="single"/>
    </w:rPr>
  </w:style>
  <w:style w:type="paragraph" w:customStyle="1" w:styleId="BoxSpaceAbove">
    <w:name w:val="Box Space Above"/>
    <w:basedOn w:val="BodyText"/>
    <w:rsid w:val="000A2FD0"/>
    <w:pPr>
      <w:keepNext/>
      <w:spacing w:before="360" w:line="80" w:lineRule="exact"/>
      <w:jc w:val="left"/>
    </w:pPr>
  </w:style>
  <w:style w:type="paragraph" w:customStyle="1" w:styleId="BoxSpaceBelow">
    <w:name w:val="Box Space Below"/>
    <w:basedOn w:val="Box"/>
    <w:rsid w:val="000A2FD0"/>
    <w:pPr>
      <w:keepNext w:val="0"/>
      <w:spacing w:before="60" w:after="60" w:line="80" w:lineRule="exact"/>
    </w:pPr>
    <w:rPr>
      <w:sz w:val="14"/>
    </w:rPr>
  </w:style>
  <w:style w:type="table" w:styleId="TableGrid">
    <w:name w:val="Table Grid"/>
    <w:basedOn w:val="TableNormal"/>
    <w:rsid w:val="00FA2C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BoxHeading">
    <w:name w:val="PC Box Heading"/>
    <w:basedOn w:val="BodyText"/>
    <w:link w:val="PCBoxHeadingChar"/>
    <w:qFormat/>
    <w:rsid w:val="00AC245A"/>
    <w:pPr>
      <w:pBdr>
        <w:top w:val="single" w:sz="4" w:space="5" w:color="auto"/>
        <w:left w:val="single" w:sz="4" w:space="8" w:color="auto"/>
        <w:bottom w:val="single" w:sz="4" w:space="14" w:color="auto"/>
        <w:right w:val="single" w:sz="4" w:space="8" w:color="auto"/>
      </w:pBdr>
      <w:spacing w:before="120" w:line="240" w:lineRule="auto"/>
      <w:ind w:left="284" w:right="284"/>
    </w:pPr>
    <w:rPr>
      <w:b/>
      <w:i/>
      <w:sz w:val="24"/>
      <w:szCs w:val="24"/>
      <w:lang w:eastAsia="en-US"/>
    </w:rPr>
  </w:style>
  <w:style w:type="paragraph" w:customStyle="1" w:styleId="PCBoxtext">
    <w:name w:val="PC Box text"/>
    <w:basedOn w:val="BodyText"/>
    <w:link w:val="PCBoxtextChar"/>
    <w:rsid w:val="00AC245A"/>
    <w:pPr>
      <w:pBdr>
        <w:top w:val="single" w:sz="4" w:space="5" w:color="auto"/>
        <w:left w:val="single" w:sz="4" w:space="8" w:color="auto"/>
        <w:bottom w:val="single" w:sz="4" w:space="14" w:color="auto"/>
        <w:right w:val="single" w:sz="4" w:space="8" w:color="auto"/>
      </w:pBdr>
      <w:spacing w:before="160" w:line="240" w:lineRule="auto"/>
      <w:ind w:left="284" w:right="284"/>
    </w:pPr>
    <w:rPr>
      <w:sz w:val="24"/>
      <w:szCs w:val="24"/>
      <w:lang w:eastAsia="en-US"/>
    </w:rPr>
  </w:style>
  <w:style w:type="character" w:customStyle="1" w:styleId="PCBoxHeadingChar">
    <w:name w:val="PC Box Heading Char"/>
    <w:basedOn w:val="BodyTextChar"/>
    <w:link w:val="PCBoxHeading"/>
    <w:rsid w:val="00AC245A"/>
    <w:rPr>
      <w:b/>
      <w:i/>
      <w:sz w:val="24"/>
      <w:szCs w:val="24"/>
      <w:lang w:eastAsia="en-US"/>
    </w:rPr>
  </w:style>
  <w:style w:type="character" w:customStyle="1" w:styleId="PCBoxtextChar">
    <w:name w:val="PC Box text Char"/>
    <w:basedOn w:val="BodyTextChar"/>
    <w:link w:val="PCBoxtext"/>
    <w:rsid w:val="00AC245A"/>
    <w:rPr>
      <w:sz w:val="24"/>
      <w:szCs w:val="24"/>
      <w:lang w:eastAsia="en-US"/>
    </w:rPr>
  </w:style>
  <w:style w:type="paragraph" w:customStyle="1" w:styleId="Heading1NotTOC">
    <w:name w:val="Heading 1 Not TOC"/>
    <w:basedOn w:val="Heading1"/>
    <w:next w:val="BodyText"/>
    <w:rsid w:val="00EC32A4"/>
    <w:rPr>
      <w:kern w:val="2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8826">
      <w:bodyDiv w:val="1"/>
      <w:marLeft w:val="0"/>
      <w:marRight w:val="0"/>
      <w:marTop w:val="0"/>
      <w:marBottom w:val="0"/>
      <w:divBdr>
        <w:top w:val="none" w:sz="0" w:space="0" w:color="auto"/>
        <w:left w:val="none" w:sz="0" w:space="0" w:color="auto"/>
        <w:bottom w:val="none" w:sz="0" w:space="0" w:color="auto"/>
        <w:right w:val="none" w:sz="0" w:space="0" w:color="auto"/>
      </w:divBdr>
    </w:div>
    <w:div w:id="1007291048">
      <w:bodyDiv w:val="1"/>
      <w:marLeft w:val="0"/>
      <w:marRight w:val="0"/>
      <w:marTop w:val="0"/>
      <w:marBottom w:val="0"/>
      <w:divBdr>
        <w:top w:val="none" w:sz="0" w:space="0" w:color="auto"/>
        <w:left w:val="none" w:sz="0" w:space="0" w:color="auto"/>
        <w:bottom w:val="none" w:sz="0" w:space="0" w:color="auto"/>
        <w:right w:val="none" w:sz="0" w:space="0" w:color="auto"/>
      </w:divBdr>
    </w:div>
    <w:div w:id="1558937326">
      <w:bodyDiv w:val="1"/>
      <w:marLeft w:val="0"/>
      <w:marRight w:val="0"/>
      <w:marTop w:val="0"/>
      <w:marBottom w:val="0"/>
      <w:divBdr>
        <w:top w:val="none" w:sz="0" w:space="0" w:color="auto"/>
        <w:left w:val="none" w:sz="0" w:space="0" w:color="auto"/>
        <w:bottom w:val="none" w:sz="0" w:space="0" w:color="auto"/>
        <w:right w:val="none" w:sz="0" w:space="0" w:color="auto"/>
      </w:divBdr>
    </w:div>
    <w:div w:id="1690444247">
      <w:bodyDiv w:val="1"/>
      <w:marLeft w:val="0"/>
      <w:marRight w:val="0"/>
      <w:marTop w:val="0"/>
      <w:marBottom w:val="0"/>
      <w:divBdr>
        <w:top w:val="none" w:sz="0" w:space="0" w:color="auto"/>
        <w:left w:val="none" w:sz="0" w:space="0" w:color="auto"/>
        <w:bottom w:val="none" w:sz="0" w:space="0" w:color="auto"/>
        <w:right w:val="none" w:sz="0" w:space="0" w:color="auto"/>
      </w:divBdr>
    </w:div>
    <w:div w:id="170532605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6413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2CD59-7B40-4FBA-B7B9-F4AC4957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7</TotalTime>
  <Pages>22</Pages>
  <Words>6492</Words>
  <Characters>36072</Characters>
  <Application>Microsoft Office Word</Application>
  <DocSecurity>0</DocSecurity>
  <Lines>601</Lines>
  <Paragraphs>161</Paragraphs>
  <ScaleCrop>false</ScaleCrop>
  <HeadingPairs>
    <vt:vector size="2" baseType="variant">
      <vt:variant>
        <vt:lpstr>Title</vt:lpstr>
      </vt:variant>
      <vt:variant>
        <vt:i4>1</vt:i4>
      </vt:variant>
    </vt:vector>
  </HeadingPairs>
  <TitlesOfParts>
    <vt:vector size="1" baseType="lpstr">
      <vt:lpstr>on productivity: natural resource inputs</vt:lpstr>
    </vt:vector>
  </TitlesOfParts>
  <Company>Productivity Commission</Company>
  <LinksUpToDate>false</LinksUpToDate>
  <CharactersWithSpaces>42403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productivity: natural resource inputs</dc:title>
  <dc:creator>TK</dc:creator>
  <dc:description>1.</dc:description>
  <cp:lastModifiedBy>Productivity Commission</cp:lastModifiedBy>
  <cp:revision>6</cp:revision>
  <cp:lastPrinted>2013-05-29T02:54:00Z</cp:lastPrinted>
  <dcterms:created xsi:type="dcterms:W3CDTF">2013-06-07T00:14:00Z</dcterms:created>
  <dcterms:modified xsi:type="dcterms:W3CDTF">2013-06-07T03:00:00Z</dcterms:modified>
</cp:coreProperties>
</file>