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9F7472" w14:textId="77777777" w:rsidR="00807003" w:rsidRPr="003C6F44" w:rsidRDefault="00807003" w:rsidP="00807003">
      <w:pPr>
        <w:pStyle w:val="Coverdate"/>
        <w:framePr w:wrap="around"/>
      </w:pPr>
      <w:r>
        <w:t>January 2024</w:t>
      </w:r>
    </w:p>
    <w:p w14:paraId="14430AA4" w14:textId="77777777" w:rsidR="00807003" w:rsidRPr="003C6F44" w:rsidRDefault="00807003" w:rsidP="00807003">
      <w:pPr>
        <w:ind w:left="-1134"/>
      </w:pPr>
      <w:r w:rsidRPr="003C6F44">
        <w:rPr>
          <w:noProof/>
        </w:rPr>
        <w:drawing>
          <wp:inline distT="0" distB="0" distL="0" distR="0" wp14:anchorId="27254882" wp14:editId="5C4B4988">
            <wp:extent cx="7809346" cy="2272618"/>
            <wp:effectExtent l="0" t="0" r="1270"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rcRect t="28199" b="28199"/>
                    <a:stretch>
                      <a:fillRect/>
                    </a:stretch>
                  </pic:blipFill>
                  <pic:spPr bwMode="auto">
                    <a:xfrm>
                      <a:off x="0" y="0"/>
                      <a:ext cx="7809346" cy="2272618"/>
                    </a:xfrm>
                    <a:prstGeom prst="rect">
                      <a:avLst/>
                    </a:prstGeom>
                    <a:ln>
                      <a:noFill/>
                    </a:ln>
                    <a:extLst>
                      <a:ext uri="{53640926-AAD7-44D8-BBD7-CCE9431645EC}">
                        <a14:shadowObscured xmlns:a14="http://schemas.microsoft.com/office/drawing/2010/main"/>
                      </a:ext>
                    </a:extLst>
                  </pic:spPr>
                </pic:pic>
              </a:graphicData>
            </a:graphic>
          </wp:inline>
        </w:drawing>
      </w:r>
    </w:p>
    <w:p w14:paraId="424FA701" w14:textId="321FDA14" w:rsidR="00112065" w:rsidRDefault="004C75B9" w:rsidP="00125A70">
      <w:pPr>
        <w:pStyle w:val="Title"/>
        <w:ind w:right="140"/>
      </w:pPr>
      <w:r>
        <w:t xml:space="preserve">Inquiry into the </w:t>
      </w:r>
      <w:r w:rsidR="00112065" w:rsidRPr="00036244">
        <w:t>Pharmacy Business Ownership Bill 2023</w:t>
      </w:r>
    </w:p>
    <w:p w14:paraId="5C93167B" w14:textId="2428B8D7" w:rsidR="00807003" w:rsidRPr="003C6F44" w:rsidRDefault="00112065" w:rsidP="00807003">
      <w:pPr>
        <w:pStyle w:val="Subtitle"/>
        <w:numPr>
          <w:ilvl w:val="0"/>
          <w:numId w:val="0"/>
        </w:numPr>
      </w:pPr>
      <w:r>
        <w:t>Productivity Commission submission</w:t>
      </w:r>
    </w:p>
    <w:p w14:paraId="11D25CB4" w14:textId="77777777" w:rsidR="00807003" w:rsidRPr="003C6F44" w:rsidRDefault="00807003" w:rsidP="00807003">
      <w:pPr>
        <w:spacing w:after="160" w:line="259" w:lineRule="auto"/>
      </w:pPr>
    </w:p>
    <w:p w14:paraId="4E3B2E12" w14:textId="77777777" w:rsidR="00807003" w:rsidRPr="003C6F44" w:rsidRDefault="00807003" w:rsidP="00807003">
      <w:pPr>
        <w:pStyle w:val="Title"/>
        <w:ind w:right="140"/>
        <w:sectPr w:rsidR="00807003" w:rsidRPr="003C6F44" w:rsidSect="004323A0">
          <w:headerReference w:type="even" r:id="rId15"/>
          <w:headerReference w:type="default" r:id="rId16"/>
          <w:footerReference w:type="even" r:id="rId17"/>
          <w:footerReference w:type="default" r:id="rId18"/>
          <w:headerReference w:type="first" r:id="rId19"/>
          <w:footerReference w:type="first" r:id="rId20"/>
          <w:pgSz w:w="11906" w:h="16838" w:code="9"/>
          <w:pgMar w:top="1985" w:right="1134" w:bottom="1134" w:left="1134" w:header="624" w:footer="510" w:gutter="0"/>
          <w:pgNumType w:fmt="lowerRoman"/>
          <w:cols w:space="708"/>
          <w:titlePg/>
          <w:docGrid w:linePitch="360"/>
        </w:sectPr>
      </w:pPr>
    </w:p>
    <w:tbl>
      <w:tblPr>
        <w:tblStyle w:val="CopyrightPage"/>
        <w:tblW w:w="0" w:type="auto"/>
        <w:tblLook w:val="04A0" w:firstRow="1" w:lastRow="0" w:firstColumn="1" w:lastColumn="0" w:noHBand="0" w:noVBand="1"/>
      </w:tblPr>
      <w:tblGrid>
        <w:gridCol w:w="9638"/>
      </w:tblGrid>
      <w:tr w:rsidR="00807003" w:rsidRPr="003C6F44" w14:paraId="0A875D64" w14:textId="77777777" w:rsidTr="00394E55">
        <w:trPr>
          <w:trHeight w:hRule="exact" w:val="12643"/>
        </w:trPr>
        <w:tc>
          <w:tcPr>
            <w:tcW w:w="9638" w:type="dxa"/>
            <w:tcMar>
              <w:top w:w="113" w:type="dxa"/>
            </w:tcMar>
          </w:tcPr>
          <w:p w14:paraId="4F6349B8" w14:textId="77777777" w:rsidR="00807003" w:rsidRPr="003C6F44" w:rsidRDefault="00807003" w:rsidP="00394E55">
            <w:pPr>
              <w:pStyle w:val="Copyrightpage-BodyBold"/>
              <w:ind w:right="-284"/>
              <w:rPr>
                <w:rFonts w:asciiTheme="majorHAnsi" w:hAnsiTheme="majorHAnsi"/>
              </w:rPr>
            </w:pPr>
            <w:r w:rsidRPr="003C6F44">
              <w:rPr>
                <w:rStyle w:val="White"/>
              </w:rPr>
              <w:lastRenderedPageBreak/>
              <w:br w:type="page"/>
            </w:r>
            <w:r w:rsidRPr="003C6F44">
              <w:rPr>
                <w:rFonts w:asciiTheme="majorHAnsi" w:hAnsiTheme="majorHAnsi"/>
              </w:rPr>
              <w:t xml:space="preserve">The Productivity Commission acknowledges the Traditional Owners of </w:t>
            </w:r>
            <w:r w:rsidRPr="003C6F44">
              <w:rPr>
                <w:rFonts w:asciiTheme="majorHAnsi" w:hAnsiTheme="majorHAnsi"/>
              </w:rPr>
              <w:br/>
              <w:t xml:space="preserve">Country throughout Australia and their continuing connection to land, </w:t>
            </w:r>
            <w:r w:rsidRPr="003C6F44">
              <w:rPr>
                <w:rFonts w:asciiTheme="majorHAnsi" w:hAnsiTheme="majorHAnsi"/>
              </w:rPr>
              <w:br/>
              <w:t>waters and community. We pay our respects to their Cultures, Country and Elders past and present.</w:t>
            </w:r>
          </w:p>
          <w:p w14:paraId="2F10083D" w14:textId="77777777" w:rsidR="00807003" w:rsidRPr="003C6F44" w:rsidRDefault="00807003" w:rsidP="00394E55">
            <w:pPr>
              <w:pStyle w:val="Copyrightpage-Keylinenotext"/>
              <w:ind w:right="-284"/>
            </w:pPr>
          </w:p>
          <w:p w14:paraId="1518D152" w14:textId="77777777" w:rsidR="00807003" w:rsidRPr="003C6F44" w:rsidRDefault="00807003" w:rsidP="00394E55">
            <w:pPr>
              <w:pStyle w:val="Copyrightpage-Heading"/>
              <w:ind w:right="-284"/>
            </w:pPr>
            <w:r w:rsidRPr="003C6F44">
              <w:t>The Productivity Commission</w:t>
            </w:r>
          </w:p>
          <w:p w14:paraId="7423035D" w14:textId="77777777" w:rsidR="00807003" w:rsidRPr="003C6F44" w:rsidRDefault="00807003" w:rsidP="00394E55">
            <w:pPr>
              <w:pStyle w:val="Copyrightpage-BodyBold"/>
              <w:rPr>
                <w:spacing w:val="-4"/>
              </w:rPr>
            </w:pPr>
            <w:r w:rsidRPr="003C6F44">
              <w:rPr>
                <w:spacing w:val="-4"/>
              </w:rPr>
              <w:t xml:space="preserve">The Productivity Commission is the Australian Government’s independent research and advisory body on a range of economic, social and environmental issues affecting the welfare of Australians. Its role, expressed most simply, is to help governments make better policies, in the </w:t>
            </w:r>
            <w:proofErr w:type="gramStart"/>
            <w:r w:rsidRPr="003C6F44">
              <w:rPr>
                <w:spacing w:val="-4"/>
              </w:rPr>
              <w:t>long term</w:t>
            </w:r>
            <w:proofErr w:type="gramEnd"/>
            <w:r w:rsidRPr="003C6F44">
              <w:rPr>
                <w:spacing w:val="-4"/>
              </w:rPr>
              <w:t xml:space="preserve"> interest of the Australian community.</w:t>
            </w:r>
          </w:p>
          <w:p w14:paraId="7E44F90C" w14:textId="77777777" w:rsidR="00807003" w:rsidRPr="003C6F44" w:rsidRDefault="00807003" w:rsidP="00394E55">
            <w:pPr>
              <w:pStyle w:val="Copyrightpage-BodyBold"/>
            </w:pPr>
            <w:r w:rsidRPr="003C6F44">
              <w:t xml:space="preserve">The Commission’s independence is underpinned by an Act of Parliament. Its processes and outputs are open to public scrutiny and are driven by concern for the wellbeing of the </w:t>
            </w:r>
            <w:proofErr w:type="gramStart"/>
            <w:r w:rsidRPr="003C6F44">
              <w:t>community as a whole</w:t>
            </w:r>
            <w:proofErr w:type="gramEnd"/>
            <w:r w:rsidRPr="003C6F44">
              <w:t>.</w:t>
            </w:r>
          </w:p>
          <w:p w14:paraId="371341B6" w14:textId="77777777" w:rsidR="00807003" w:rsidRPr="003C6F44" w:rsidRDefault="00807003" w:rsidP="00394E55">
            <w:pPr>
              <w:pStyle w:val="Copyrightpage-BodyBold"/>
            </w:pPr>
            <w:r w:rsidRPr="003C6F44">
              <w:t>Further information on the Productivity Commission can be obtained from the Commission’s website (www.pc.gov.au).</w:t>
            </w:r>
          </w:p>
          <w:p w14:paraId="78CCC2CC" w14:textId="77777777" w:rsidR="00807003" w:rsidRPr="003C6F44" w:rsidRDefault="00807003" w:rsidP="00394E55">
            <w:pPr>
              <w:pStyle w:val="Copyrightpage-Keylinenotext"/>
              <w:ind w:right="-284"/>
              <w:rPr>
                <w:b/>
                <w:bCs/>
              </w:rPr>
            </w:pPr>
          </w:p>
          <w:p w14:paraId="625A0A96" w14:textId="77777777" w:rsidR="00807003" w:rsidRPr="003C6F44" w:rsidRDefault="00807003" w:rsidP="00394E55">
            <w:pPr>
              <w:pStyle w:val="Copyrightpage-BodyBold"/>
            </w:pPr>
            <w:r w:rsidRPr="003C6F44">
              <w:t>© Commonwealth of Australia 202</w:t>
            </w:r>
            <w:r>
              <w:t>4</w:t>
            </w:r>
          </w:p>
          <w:p w14:paraId="33550DB6" w14:textId="77777777" w:rsidR="00807003" w:rsidRPr="003C6F44" w:rsidRDefault="00807003" w:rsidP="00394E55">
            <w:pPr>
              <w:pStyle w:val="Copyrightpage-Heading2"/>
              <w:spacing w:before="0"/>
              <w:ind w:right="-284"/>
              <w:rPr>
                <w:bCs/>
              </w:rPr>
            </w:pPr>
            <w:r w:rsidRPr="003C6F44">
              <w:rPr>
                <w:bCs/>
                <w:noProof/>
              </w:rPr>
              <w:drawing>
                <wp:inline distT="0" distB="0" distL="0" distR="0" wp14:anchorId="3CC887A0" wp14:editId="7407D0E0">
                  <wp:extent cx="774000" cy="270000"/>
                  <wp:effectExtent l="0" t="0" r="7620" b="0"/>
                  <wp:docPr id="6" name="Picture 6" descr="CC By logo">
                    <a:extLst xmlns:a="http://schemas.openxmlformats.org/drawingml/2006/main">
                      <a:ext uri="{FF2B5EF4-FFF2-40B4-BE49-F238E27FC236}">
                        <a16:creationId xmlns:a16="http://schemas.microsoft.com/office/drawing/2014/main" id="{F54E5013-412A-4F91-9DD3-DA71DB1337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5" descr="CC By logo">
                            <a:extLst>
                              <a:ext uri="{FF2B5EF4-FFF2-40B4-BE49-F238E27FC236}">
                                <a16:creationId xmlns:a16="http://schemas.microsoft.com/office/drawing/2014/main" id="{F54E5013-412A-4F91-9DD3-DA71DB1337DF}"/>
                              </a:ext>
                            </a:extLst>
                          </pic:cNvPr>
                          <pic:cNvPicPr>
                            <a:picLocks noChangeAspect="1"/>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774000" cy="270000"/>
                          </a:xfrm>
                          <a:prstGeom prst="rect">
                            <a:avLst/>
                          </a:prstGeom>
                        </pic:spPr>
                      </pic:pic>
                    </a:graphicData>
                  </a:graphic>
                </wp:inline>
              </w:drawing>
            </w:r>
          </w:p>
          <w:p w14:paraId="60FBC433" w14:textId="77777777" w:rsidR="00807003" w:rsidRPr="003C6F44" w:rsidRDefault="00807003" w:rsidP="00394E55">
            <w:pPr>
              <w:pStyle w:val="Copyrightpage-BodyBold"/>
              <w:ind w:right="-143"/>
            </w:pPr>
            <w:proofErr w:type="gramStart"/>
            <w:r w:rsidRPr="003C6F44">
              <w:t>With the exception of</w:t>
            </w:r>
            <w:proofErr w:type="gramEnd"/>
            <w:r w:rsidRPr="003C6F44">
              <w:t xml:space="preserve"> the Commonwealth Coat of Arms and content supplied by third parties, this copyright work is licensed under a Creative Commons Attribution 4.0 International licence. In essence, you are free to copy, communicate and adapt the work, </w:t>
            </w:r>
            <w:proofErr w:type="gramStart"/>
            <w:r w:rsidRPr="003C6F44">
              <w:t>as long as</w:t>
            </w:r>
            <w:proofErr w:type="gramEnd"/>
            <w:r w:rsidRPr="003C6F44">
              <w:t xml:space="preserve"> you attribute the work to the Productivity Commission (but not in any way that suggests the Commission endorses you or your use) and abide by the other licence terms. The licence can be viewed at: https://creativecommons.org/licenses/by/4.0.</w:t>
            </w:r>
          </w:p>
          <w:p w14:paraId="35A2C480" w14:textId="77777777" w:rsidR="00807003" w:rsidRPr="003C6F44" w:rsidRDefault="00807003" w:rsidP="00394E55">
            <w:pPr>
              <w:pStyle w:val="Copyrightpage-BodyBold"/>
            </w:pPr>
            <w:r w:rsidRPr="003C6F44">
              <w:t>The terms under which the Coat of Arms can be used are detailed at: www.pmc.gov.au/government/commonwealth-coat-arms.</w:t>
            </w:r>
          </w:p>
          <w:p w14:paraId="40593286" w14:textId="77777777" w:rsidR="00807003" w:rsidRPr="003C6F44" w:rsidRDefault="00807003" w:rsidP="00394E55">
            <w:pPr>
              <w:pStyle w:val="Copyrightpage-BodyBold"/>
            </w:pPr>
            <w:r w:rsidRPr="003C6F44">
              <w:t>Wherever a third party holds copyright in this material the copyright remains with that party. Their permission may be required to use the material, please contact them directly.</w:t>
            </w:r>
          </w:p>
          <w:p w14:paraId="38F41838" w14:textId="42130446" w:rsidR="00807003" w:rsidRPr="003C6F44" w:rsidRDefault="00807003" w:rsidP="00394E55">
            <w:pPr>
              <w:pStyle w:val="Copyrightpage-BodyBold"/>
            </w:pPr>
            <w:r w:rsidRPr="003C6F44">
              <w:t>An appropriate reference for this publication is:</w:t>
            </w:r>
            <w:r w:rsidRPr="003C6F44">
              <w:br/>
              <w:t>Productivity Commission 202</w:t>
            </w:r>
            <w:r>
              <w:t>4</w:t>
            </w:r>
            <w:r w:rsidRPr="003C6F44">
              <w:t xml:space="preserve">, </w:t>
            </w:r>
            <w:r w:rsidRPr="002630EB">
              <w:rPr>
                <w:i/>
                <w:iCs/>
              </w:rPr>
              <w:t xml:space="preserve">Submission to the </w:t>
            </w:r>
            <w:r w:rsidR="007D3D58" w:rsidRPr="007D3D58">
              <w:rPr>
                <w:i/>
                <w:iCs/>
              </w:rPr>
              <w:t>Inquiry into the Pharmacy Business Ownership Bill 2023</w:t>
            </w:r>
            <w:r w:rsidRPr="007D3D58">
              <w:rPr>
                <w:i/>
                <w:iCs/>
              </w:rPr>
              <w:t>,</w:t>
            </w:r>
            <w:r>
              <w:rPr>
                <w:i/>
                <w:iCs/>
              </w:rPr>
              <w:t xml:space="preserve"> </w:t>
            </w:r>
            <w:r w:rsidRPr="003C6F44">
              <w:t>Canberra</w:t>
            </w:r>
          </w:p>
          <w:p w14:paraId="0751F882" w14:textId="77777777" w:rsidR="00807003" w:rsidRPr="003C6F44" w:rsidRDefault="00807003" w:rsidP="00394E55">
            <w:pPr>
              <w:pStyle w:val="Copyrightpage-BodyBold"/>
              <w:ind w:right="-284"/>
            </w:pPr>
          </w:p>
          <w:p w14:paraId="6EB756BC" w14:textId="77777777" w:rsidR="00807003" w:rsidRPr="003C6F44" w:rsidRDefault="00807003" w:rsidP="00394E55">
            <w:pPr>
              <w:pStyle w:val="Copyrightpage-BodyBold"/>
              <w:ind w:right="-284"/>
            </w:pPr>
            <w:r w:rsidRPr="003C6F44">
              <w:t xml:space="preserve">Publication enquiries: </w:t>
            </w:r>
            <w:r w:rsidRPr="003C6F44">
              <w:br/>
            </w:r>
            <w:r>
              <w:t>P</w:t>
            </w:r>
            <w:r w:rsidRPr="003C6F44">
              <w:t xml:space="preserve">hone 03 9653 2244 | </w:t>
            </w:r>
            <w:r>
              <w:t>e</w:t>
            </w:r>
            <w:r w:rsidRPr="003C6F44">
              <w:t>m</w:t>
            </w:r>
            <w:r w:rsidRPr="00124B97">
              <w:t xml:space="preserve">ail </w:t>
            </w:r>
            <w:r w:rsidRPr="0002620E">
              <w:t>publications@pc.gov.au</w:t>
            </w:r>
          </w:p>
        </w:tc>
      </w:tr>
    </w:tbl>
    <w:p w14:paraId="061678CF" w14:textId="77777777" w:rsidR="00807003" w:rsidRDefault="00807003" w:rsidP="00807003">
      <w:pPr>
        <w:spacing w:before="0" w:after="160" w:line="259" w:lineRule="auto"/>
      </w:pPr>
      <w:r>
        <w:br w:type="page"/>
      </w:r>
    </w:p>
    <w:p w14:paraId="3EFF6F31" w14:textId="2E4C2955" w:rsidR="00A72E08" w:rsidRDefault="00A72E08" w:rsidP="00A72E08">
      <w:pPr>
        <w:pStyle w:val="Heading2-nonumber"/>
      </w:pPr>
      <w:r>
        <w:lastRenderedPageBreak/>
        <w:t>Introduction</w:t>
      </w:r>
    </w:p>
    <w:p w14:paraId="17761007" w14:textId="3AED92EA" w:rsidR="00A72E08" w:rsidRDefault="00A72E08" w:rsidP="00A72E08">
      <w:pPr>
        <w:pStyle w:val="BodyText"/>
      </w:pPr>
      <w:r>
        <w:t xml:space="preserve">The Productivity Commission welcomes the opportunity to make this submission to the Queensland Parliament Economics and Governance Committee on </w:t>
      </w:r>
      <w:r w:rsidRPr="00036244">
        <w:t>the Pharmacy Business Ownership Bill 2023</w:t>
      </w:r>
      <w:r>
        <w:t xml:space="preserve"> (‘the Bill’). This submission covers the following aspects of the Bill:</w:t>
      </w:r>
    </w:p>
    <w:p w14:paraId="107B9176" w14:textId="77777777" w:rsidR="00A72E08" w:rsidRDefault="00A72E08" w:rsidP="00A72E08">
      <w:pPr>
        <w:pStyle w:val="ListBullet"/>
      </w:pPr>
      <w:r>
        <w:t xml:space="preserve">the introduction of pharmacy business licensing </w:t>
      </w:r>
    </w:p>
    <w:p w14:paraId="263AB526" w14:textId="41006E3D" w:rsidR="00A72E08" w:rsidRDefault="00A72E08" w:rsidP="00A72E08">
      <w:pPr>
        <w:pStyle w:val="ListBullet"/>
      </w:pPr>
      <w:r>
        <w:t xml:space="preserve">the establishment a new statutory body to regulate pharmacy </w:t>
      </w:r>
      <w:proofErr w:type="gramStart"/>
      <w:r>
        <w:t>ownership</w:t>
      </w:r>
      <w:proofErr w:type="gramEnd"/>
    </w:p>
    <w:p w14:paraId="3B260002" w14:textId="69442D0A" w:rsidR="00A72E08" w:rsidRDefault="00A72E08" w:rsidP="00A72E08">
      <w:pPr>
        <w:pStyle w:val="ListBullet"/>
      </w:pPr>
      <w:r>
        <w:t xml:space="preserve">the retention of the rules relating </w:t>
      </w:r>
      <w:r w:rsidRPr="24C0D52D">
        <w:t>pharmacy business</w:t>
      </w:r>
      <w:r>
        <w:t xml:space="preserve"> ownership.</w:t>
      </w:r>
    </w:p>
    <w:p w14:paraId="2C29CB07" w14:textId="015B9BC0" w:rsidR="00295895" w:rsidRDefault="00295895" w:rsidP="00295895">
      <w:pPr>
        <w:pStyle w:val="BodyText"/>
      </w:pPr>
      <w:r>
        <w:t xml:space="preserve">The Productivity Commission is concerned that the changes proposed </w:t>
      </w:r>
      <w:r w:rsidR="0078289D">
        <w:t>in</w:t>
      </w:r>
      <w:r>
        <w:t xml:space="preserve"> these aspects of the Bill </w:t>
      </w:r>
      <w:r w:rsidR="00BC1AA7">
        <w:t xml:space="preserve">are costly and do not provide offsetting policy benefits. We consider these changes are a step in the wrong direction for Queensland pharmacy consumers. </w:t>
      </w:r>
    </w:p>
    <w:p w14:paraId="18A6F756" w14:textId="09262EC7" w:rsidR="00361512" w:rsidRDefault="00361512" w:rsidP="00477DC6">
      <w:pPr>
        <w:pStyle w:val="BodyText"/>
      </w:pPr>
      <w:r>
        <w:t xml:space="preserve">A </w:t>
      </w:r>
      <w:r w:rsidR="00B8112F">
        <w:t xml:space="preserve">more </w:t>
      </w:r>
      <w:r>
        <w:t xml:space="preserve">competitive pharmacy sector </w:t>
      </w:r>
      <w:r w:rsidR="00AD1017">
        <w:t>c</w:t>
      </w:r>
      <w:r w:rsidR="002A6610">
        <w:t xml:space="preserve">ould have a range of </w:t>
      </w:r>
      <w:r w:rsidR="00121882">
        <w:t xml:space="preserve">potential </w:t>
      </w:r>
      <w:r w:rsidR="002A6610">
        <w:t>benefits for consumers</w:t>
      </w:r>
      <w:r w:rsidR="00121882">
        <w:t xml:space="preserve">, including </w:t>
      </w:r>
      <w:r w:rsidR="00113897">
        <w:t>lower prices</w:t>
      </w:r>
      <w:r w:rsidR="009769E6">
        <w:t xml:space="preserve">, </w:t>
      </w:r>
      <w:r w:rsidR="00113897">
        <w:t>improved convenience</w:t>
      </w:r>
      <w:r w:rsidR="003D76DB">
        <w:t xml:space="preserve"> and accessibility</w:t>
      </w:r>
      <w:r w:rsidR="004C646A">
        <w:t>,</w:t>
      </w:r>
      <w:r w:rsidR="009769E6">
        <w:t xml:space="preserve"> and other service improvements</w:t>
      </w:r>
      <w:r w:rsidR="00113897">
        <w:t>.</w:t>
      </w:r>
    </w:p>
    <w:p w14:paraId="1A6DA332" w14:textId="4AB3B540" w:rsidR="00A72E08" w:rsidRDefault="00A72E08" w:rsidP="00A72E08">
      <w:pPr>
        <w:pStyle w:val="Heading2-nonumber"/>
      </w:pPr>
      <w:r>
        <w:t>Pharmacy business licensing</w:t>
      </w:r>
    </w:p>
    <w:p w14:paraId="7DB77F3A" w14:textId="05BB6220" w:rsidR="00A72E08" w:rsidRDefault="00A72E08" w:rsidP="00A72E08">
      <w:pPr>
        <w:pStyle w:val="BodyText"/>
        <w:rPr>
          <w:b/>
          <w:bCs/>
        </w:rPr>
      </w:pPr>
      <w:r>
        <w:t xml:space="preserve">The Productivity Commission does not support the introduction of a new licensing framework, which would require the owners of a pharmacy business to hold a </w:t>
      </w:r>
      <w:r w:rsidRPr="00904A04">
        <w:t>pharmacy business licence.</w:t>
      </w:r>
      <w:r>
        <w:rPr>
          <w:b/>
          <w:bCs/>
        </w:rPr>
        <w:t xml:space="preserve"> </w:t>
      </w:r>
    </w:p>
    <w:p w14:paraId="4DD24F51" w14:textId="77777777" w:rsidR="00A72E08" w:rsidRDefault="00A72E08" w:rsidP="00A72E08">
      <w:pPr>
        <w:pStyle w:val="BodyText"/>
        <w:rPr>
          <w:b/>
          <w:bCs/>
        </w:rPr>
      </w:pPr>
      <w:r w:rsidRPr="00E72FE1">
        <w:t>First</w:t>
      </w:r>
      <w:r>
        <w:t>, this new requirement simply adds to the red tape burden faced by pharmacy business owners, noting that the Bill makes no substantive changes to who is eligible to own a pharmacy business.</w:t>
      </w:r>
    </w:p>
    <w:p w14:paraId="152A75FD" w14:textId="0CBA3F82" w:rsidR="00A72E08" w:rsidRPr="00AF1B9A" w:rsidRDefault="00A72E08" w:rsidP="00A72E08">
      <w:pPr>
        <w:pStyle w:val="BodyText"/>
      </w:pPr>
      <w:r>
        <w:t xml:space="preserve">Second, the imposition of new licensing requirements is not a targeted or proportionate policy response. The stated rationale for the proposed licensing framework is </w:t>
      </w:r>
      <w:r w:rsidRPr="001A3084">
        <w:t xml:space="preserve">to </w:t>
      </w:r>
      <w:r>
        <w:t xml:space="preserve">facilitate monitoring of compliance with pharmacy ownership rules. The Explanatory Note to the Bill asserts that the proposed licensing framework ‘addresses the issues raised by the [Queensland Audit Office] and </w:t>
      </w:r>
      <w:r w:rsidR="00BC4815">
        <w:t xml:space="preserve">[the Parliamentary] </w:t>
      </w:r>
      <w:r>
        <w:t xml:space="preserve">Committee’ (p. 5). This follows the </w:t>
      </w:r>
      <w:r w:rsidRPr="00AF1B9A">
        <w:t>Queensland Government’s commit</w:t>
      </w:r>
      <w:r>
        <w:t>ment</w:t>
      </w:r>
      <w:r w:rsidR="00A528A6">
        <w:t>,</w:t>
      </w:r>
      <w:r w:rsidRPr="00AF1B9A">
        <w:t xml:space="preserve"> in its response to the Parliamentary Committee report</w:t>
      </w:r>
      <w:r>
        <w:t xml:space="preserve"> </w:t>
      </w:r>
      <w:r w:rsidR="00A528A6">
        <w:t xml:space="preserve">on establishment of a pharmacy council and transfer of pharmacy ownership in Queensland, </w:t>
      </w:r>
      <w:r>
        <w:t>to:</w:t>
      </w:r>
    </w:p>
    <w:p w14:paraId="18FD2116" w14:textId="5C289A1E" w:rsidR="00A72E08" w:rsidRDefault="00A72E08" w:rsidP="00A72E08">
      <w:pPr>
        <w:pStyle w:val="Quote"/>
      </w:pPr>
      <w:r w:rsidRPr="00AF1B9A">
        <w:t>… introduce a licensing and registration scheme to support the regulation of pharmacy ownership in Queensland as is common in other jurisdictions. (p. 7)</w:t>
      </w:r>
    </w:p>
    <w:p w14:paraId="6D418E14" w14:textId="37EE6BE8" w:rsidR="00A72E08" w:rsidRDefault="00A72E08" w:rsidP="00A72E08">
      <w:pPr>
        <w:pStyle w:val="BodyText"/>
      </w:pPr>
      <w:r>
        <w:t>However, it should be noted that neither the Queensland Audit Office nor the Parliamentary Committee recommended the introduction of pharmacy business licensing. The Queensland Audit Office simply made findings about the inadequacies of current monitoring practices:</w:t>
      </w:r>
    </w:p>
    <w:p w14:paraId="06F48284" w14:textId="505DF433" w:rsidR="00A72E08" w:rsidRDefault="00A72E08" w:rsidP="00A72E08">
      <w:pPr>
        <w:pStyle w:val="Quote"/>
      </w:pPr>
      <w:r w:rsidRPr="003C4C6B">
        <w:t>The Department of Health … has not designed processes and controls to ensure transfers in pharmacy ownership comply with all the requirements of the Act’</w:t>
      </w:r>
      <w:r>
        <w:t>.</w:t>
      </w:r>
      <w:r w:rsidRPr="003C4C6B">
        <w:t xml:space="preserve"> (p. 11)</w:t>
      </w:r>
    </w:p>
    <w:p w14:paraId="6D3FAF22" w14:textId="72C44883" w:rsidR="00A72E08" w:rsidRDefault="00A72E08" w:rsidP="00A72E08">
      <w:pPr>
        <w:pStyle w:val="BodyText"/>
      </w:pPr>
      <w:r>
        <w:t xml:space="preserve">But it did not uncover evidence about the prevalence of non-compliance in practice, nor did it address the merits or otherwise of pharmacy business </w:t>
      </w:r>
      <w:proofErr w:type="gramStart"/>
      <w:r>
        <w:t>licensing in particular</w:t>
      </w:r>
      <w:proofErr w:type="gramEnd"/>
      <w:r>
        <w:t xml:space="preserve">. </w:t>
      </w:r>
    </w:p>
    <w:p w14:paraId="4276EE9C" w14:textId="00F052E7" w:rsidR="00A72E08" w:rsidRDefault="00A72E08" w:rsidP="00A72E08">
      <w:pPr>
        <w:pStyle w:val="BodyText"/>
      </w:pPr>
      <w:r>
        <w:t xml:space="preserve">The Parliamentary Committee, after explicitly examining licensing/registration regimes in other jurisdictions, also did not recommend the adoption of similar requirements in Queensland. Instead, it cited the 2000 Wilkinson Review, which recommended the removal of licensing/registration requirements in Australian jurisdictions that had them. </w:t>
      </w:r>
    </w:p>
    <w:p w14:paraId="096EAC22" w14:textId="7F30A7C5" w:rsidR="00A72E08" w:rsidRPr="00255AEA" w:rsidRDefault="00A72E08" w:rsidP="00A72E08">
      <w:pPr>
        <w:pStyle w:val="BodyText"/>
      </w:pPr>
      <w:r>
        <w:t xml:space="preserve">The Productivity Commission urges the Queensland Government to consider other options for strengthening the Department of Health’s monitoring and compliance practices. </w:t>
      </w:r>
      <w:r w:rsidR="003E0B3B">
        <w:t xml:space="preserve">Any new policy measures should be proportionate to the risks and impacts of non-compliance with pharmacy business ownership rules. </w:t>
      </w:r>
      <w:r w:rsidR="00AE1BCF">
        <w:t xml:space="preserve"> </w:t>
      </w:r>
    </w:p>
    <w:p w14:paraId="74FE0B91" w14:textId="1A340D8F" w:rsidR="00A72E08" w:rsidRDefault="00A72E08" w:rsidP="00A72E08">
      <w:pPr>
        <w:pStyle w:val="Heading2-nonumber"/>
      </w:pPr>
      <w:r>
        <w:lastRenderedPageBreak/>
        <w:t>Queensland Pharmacy Business Ownership Council</w:t>
      </w:r>
    </w:p>
    <w:p w14:paraId="50C6DBCD" w14:textId="2AA25929" w:rsidR="00A72E08" w:rsidRDefault="00A72E08" w:rsidP="00A72E08">
      <w:pPr>
        <w:pStyle w:val="BodyText"/>
      </w:pPr>
      <w:r>
        <w:t>The Productivity Commission does not support the establishment of the Queensland Pharmacy Business Ownership Council as a new statutory body</w:t>
      </w:r>
      <w:r w:rsidR="00D20B24">
        <w:t>. Nor does it</w:t>
      </w:r>
      <w:r>
        <w:t xml:space="preserve"> support the transfer of regulatory powers from Queensland Health to the Council. This is because multiple processes leading up to the drafting of the Bill found that a statutory regulator would have net costs for Queensland. </w:t>
      </w:r>
    </w:p>
    <w:p w14:paraId="17831163" w14:textId="58C92C25" w:rsidR="00A72E08" w:rsidRDefault="00A72E08" w:rsidP="00A72E08">
      <w:pPr>
        <w:pStyle w:val="BodyText"/>
      </w:pPr>
      <w:r>
        <w:t xml:space="preserve">In July 2018, the Queensland Productivity Commission produced a cost–benefit analysis for establishing a pharmacy council to regulate pharmacy business ownership in Queensland. That report did not support the establishment of a pharmacy council. </w:t>
      </w:r>
    </w:p>
    <w:p w14:paraId="48983F40" w14:textId="77777777" w:rsidR="00A72E08" w:rsidRDefault="00A72E08" w:rsidP="00A72E08">
      <w:pPr>
        <w:pStyle w:val="Quote"/>
      </w:pPr>
      <w:r>
        <w:t xml:space="preserve">The Commission has found that any of the possible impacts it has identified from forming a pharmacy council are unlikely to produce a material benefit. The absence of benefits from a </w:t>
      </w:r>
      <w:proofErr w:type="gramStart"/>
      <w:r>
        <w:t>pharmacy council stems</w:t>
      </w:r>
      <w:proofErr w:type="gramEnd"/>
      <w:r>
        <w:t xml:space="preserve"> from the fact that more direct regulations are already operating to achieve the objectives sought from the ownership regulations. In this context, administering the ownership regulations more intensively, as proposed by creating a pharmacy council, is unlikely to produce material benefits. Rather, it simply adds to the general cost of regulation … Overall, the results suggest the Queensland community will be unambiguously worse off with the transfer of the functions from Queensland Health. (p. 31)</w:t>
      </w:r>
    </w:p>
    <w:p w14:paraId="06259DC1" w14:textId="0BFAA691" w:rsidR="00A72E08" w:rsidRDefault="00A72E08" w:rsidP="00A72E08">
      <w:pPr>
        <w:pStyle w:val="BodyText"/>
      </w:pPr>
      <w:r>
        <w:t xml:space="preserve">Similarly, in October 2018, the Parliamentary Committee reported on its inquiry into the establishment of a pharmacy council and transfer of pharmacy ownership in Queensland. It also cautioned against the establishment of a statutory regulator. </w:t>
      </w:r>
    </w:p>
    <w:p w14:paraId="69B68EE3" w14:textId="57A844A1" w:rsidR="00A72E08" w:rsidRDefault="00A72E08" w:rsidP="00A72E08">
      <w:pPr>
        <w:pStyle w:val="Quote"/>
      </w:pPr>
      <w:r>
        <w:t xml:space="preserve">The committee found there is no public interest case for establishing a separate statutory authority, such as a pharmacy council, in Queensland to assume the regulatory functions of ensuring compliance with the pharmacy ownership restrictions and pharmacy premises regulation. This is based on three key findings: </w:t>
      </w:r>
    </w:p>
    <w:p w14:paraId="1B947967" w14:textId="77777777" w:rsidR="00A72E08" w:rsidRDefault="00A72E08" w:rsidP="00A72E08">
      <w:pPr>
        <w:pStyle w:val="QuoteBullet"/>
        <w:rPr>
          <w:rStyle w:val="QuoteBulletChar"/>
        </w:rPr>
      </w:pPr>
      <w:r w:rsidRPr="00164DFA">
        <w:rPr>
          <w:rStyle w:val="QuoteBulletChar"/>
        </w:rPr>
        <w:t xml:space="preserve">no evidence that other Australian states with pharmacy councils have better community </w:t>
      </w:r>
      <w:proofErr w:type="gramStart"/>
      <w:r w:rsidRPr="00164DFA">
        <w:rPr>
          <w:rStyle w:val="QuoteBulletChar"/>
        </w:rPr>
        <w:t>outcomes</w:t>
      </w:r>
      <w:proofErr w:type="gramEnd"/>
      <w:r w:rsidRPr="00164DFA">
        <w:rPr>
          <w:rStyle w:val="QuoteBulletChar"/>
        </w:rPr>
        <w:t xml:space="preserve"> </w:t>
      </w:r>
    </w:p>
    <w:p w14:paraId="2A021D37" w14:textId="77777777" w:rsidR="00A72E08" w:rsidRDefault="00A72E08" w:rsidP="00A72E08">
      <w:pPr>
        <w:pStyle w:val="QuoteBullet"/>
        <w:rPr>
          <w:rStyle w:val="QuoteBulletChar"/>
        </w:rPr>
      </w:pPr>
      <w:r w:rsidRPr="00164DFA">
        <w:rPr>
          <w:rStyle w:val="QuoteBulletChar"/>
        </w:rPr>
        <w:t xml:space="preserve">no evidence that the existing premises regulation is resulting in unsafe conditions in pharmacies in </w:t>
      </w:r>
      <w:proofErr w:type="gramStart"/>
      <w:r w:rsidRPr="00164DFA">
        <w:rPr>
          <w:rStyle w:val="QuoteBulletChar"/>
        </w:rPr>
        <w:t>Queensland</w:t>
      </w:r>
      <w:proofErr w:type="gramEnd"/>
      <w:r w:rsidRPr="00164DFA">
        <w:rPr>
          <w:rStyle w:val="QuoteBulletChar"/>
        </w:rPr>
        <w:t xml:space="preserve"> </w:t>
      </w:r>
    </w:p>
    <w:p w14:paraId="2E2794AF" w14:textId="7D828CF3" w:rsidR="00A72E08" w:rsidRDefault="00A72E08" w:rsidP="00A72E08">
      <w:pPr>
        <w:pStyle w:val="QuoteBullet"/>
        <w:rPr>
          <w:rStyle w:val="QuoteBulletChar"/>
        </w:rPr>
      </w:pPr>
      <w:r w:rsidRPr="00164DFA">
        <w:rPr>
          <w:rStyle w:val="QuoteBulletChar"/>
        </w:rPr>
        <w:t>no evidence that more intensive enforcement of ownership restrictions would provide greater consumer benefits in Queensland.</w:t>
      </w:r>
      <w:r>
        <w:rPr>
          <w:rStyle w:val="QuoteBulletChar"/>
        </w:rPr>
        <w:t xml:space="preserve"> (p. 82)</w:t>
      </w:r>
    </w:p>
    <w:p w14:paraId="48AA145B" w14:textId="653F8BA2" w:rsidR="00A72E08" w:rsidRDefault="00A72E08" w:rsidP="00A72E08">
      <w:pPr>
        <w:pStyle w:val="BodyText"/>
      </w:pPr>
      <w:r>
        <w:t xml:space="preserve">Instead, it advocated that regulatory responsibilities should remain with Queensland Health and recommended the establishment of ‘a Queensland Pharmacy Advisory Council to advise the Department of Health on the Act and the fulfilment of its regulatory responsibilities to monitor and enforce compliance with the Act’ (recommendation 6, p. 4). </w:t>
      </w:r>
    </w:p>
    <w:p w14:paraId="289C2AE6" w14:textId="5F921C9F" w:rsidR="00A72E08" w:rsidRDefault="00A72E08" w:rsidP="00A72E08">
      <w:pPr>
        <w:pStyle w:val="BodyText"/>
      </w:pPr>
      <w:r>
        <w:t xml:space="preserve">The Productivity Commission recommends that the Queensland Government refrain from establishing the Queensland Pharmacy Business Ownership Council, given the body of evidence that suggests that doing so would leave Queenslanders worse off. </w:t>
      </w:r>
    </w:p>
    <w:p w14:paraId="79E99494" w14:textId="019FF6E7" w:rsidR="00F43E02" w:rsidRDefault="00F43E02" w:rsidP="00F43E02">
      <w:pPr>
        <w:pStyle w:val="Heading2-nonumber"/>
      </w:pPr>
      <w:r>
        <w:t xml:space="preserve">Ownership </w:t>
      </w:r>
      <w:r w:rsidR="00F21E60">
        <w:t>restrictions</w:t>
      </w:r>
    </w:p>
    <w:p w14:paraId="5647E32E" w14:textId="1D09FDB5" w:rsidR="009934BE" w:rsidRDefault="0028085E" w:rsidP="0028085E">
      <w:pPr>
        <w:pStyle w:val="BodyText"/>
      </w:pPr>
      <w:r>
        <w:t xml:space="preserve">The Bill </w:t>
      </w:r>
      <w:r w:rsidR="00C10444">
        <w:t xml:space="preserve">contains </w:t>
      </w:r>
      <w:r w:rsidR="0041266B">
        <w:t xml:space="preserve">new </w:t>
      </w:r>
      <w:r w:rsidR="003D77D1">
        <w:t xml:space="preserve">provisions </w:t>
      </w:r>
      <w:r w:rsidR="00B205D4">
        <w:t>about</w:t>
      </w:r>
      <w:r w:rsidR="00220819">
        <w:t xml:space="preserve"> </w:t>
      </w:r>
      <w:r>
        <w:t xml:space="preserve">who may own </w:t>
      </w:r>
      <w:r w:rsidRPr="24C0D52D">
        <w:t xml:space="preserve">(or hold a material interest in) </w:t>
      </w:r>
      <w:r>
        <w:t xml:space="preserve">a pharmacy business </w:t>
      </w:r>
      <w:r w:rsidR="00CA580F">
        <w:t xml:space="preserve">and </w:t>
      </w:r>
      <w:r>
        <w:t xml:space="preserve">the number of businesses a person may own. </w:t>
      </w:r>
      <w:r w:rsidR="00D221F8">
        <w:t xml:space="preserve">In substance, these provisions </w:t>
      </w:r>
      <w:r w:rsidR="00CA3C2C">
        <w:t xml:space="preserve">would </w:t>
      </w:r>
      <w:r w:rsidR="0098210D">
        <w:t>preserve</w:t>
      </w:r>
      <w:r w:rsidR="00CA580F">
        <w:t xml:space="preserve"> </w:t>
      </w:r>
      <w:r w:rsidR="00CB6272">
        <w:t xml:space="preserve">ownership </w:t>
      </w:r>
      <w:r w:rsidR="004201D9">
        <w:t xml:space="preserve">restrictions that already exist. </w:t>
      </w:r>
      <w:r w:rsidR="00B20C6E">
        <w:t xml:space="preserve">As </w:t>
      </w:r>
      <w:r w:rsidR="00426A85">
        <w:t xml:space="preserve">set out </w:t>
      </w:r>
      <w:r w:rsidR="00B44E03">
        <w:t>by</w:t>
      </w:r>
      <w:r w:rsidR="00E64274">
        <w:t xml:space="preserve"> </w:t>
      </w:r>
      <w:r w:rsidR="00B20C6E">
        <w:t xml:space="preserve">the </w:t>
      </w:r>
      <w:r w:rsidR="0001635B">
        <w:t>Explanatory Notes</w:t>
      </w:r>
      <w:r w:rsidR="004E09EE">
        <w:t xml:space="preserve">, </w:t>
      </w:r>
      <w:r w:rsidR="00D80DF8">
        <w:t xml:space="preserve">the </w:t>
      </w:r>
      <w:r w:rsidR="002971CE">
        <w:t xml:space="preserve">new </w:t>
      </w:r>
      <w:r w:rsidR="00714467">
        <w:t>legislative</w:t>
      </w:r>
      <w:r w:rsidR="002971CE">
        <w:t xml:space="preserve"> drafting is chiefly </w:t>
      </w:r>
      <w:r w:rsidR="002971CE">
        <w:lastRenderedPageBreak/>
        <w:t xml:space="preserve">intended to provide </w:t>
      </w:r>
      <w:r w:rsidR="00025C7E">
        <w:t xml:space="preserve">greater </w:t>
      </w:r>
      <w:r w:rsidR="002971CE">
        <w:t xml:space="preserve">clarity </w:t>
      </w:r>
      <w:r w:rsidR="006F3934">
        <w:t xml:space="preserve">about </w:t>
      </w:r>
      <w:r w:rsidR="00576444">
        <w:t>existing requirements</w:t>
      </w:r>
      <w:r w:rsidR="00B20C6E">
        <w:t>.</w:t>
      </w:r>
      <w:r w:rsidR="009934BE">
        <w:t xml:space="preserve"> The Productivity Commission does not support the retention of </w:t>
      </w:r>
      <w:r w:rsidR="008A2FAE">
        <w:t>existing</w:t>
      </w:r>
      <w:r w:rsidR="009934BE">
        <w:t xml:space="preserve"> </w:t>
      </w:r>
      <w:r w:rsidR="00CC61EA">
        <w:t>restrictions on pharmacy business ownership</w:t>
      </w:r>
      <w:r w:rsidR="008A2FAE">
        <w:t xml:space="preserve"> in the Bill</w:t>
      </w:r>
      <w:r w:rsidR="00CC61EA">
        <w:t xml:space="preserve">. </w:t>
      </w:r>
    </w:p>
    <w:p w14:paraId="309B56A4" w14:textId="68BF8705" w:rsidR="00E27058" w:rsidRDefault="00E27058" w:rsidP="00521717">
      <w:pPr>
        <w:pStyle w:val="Heading3-noTOC"/>
      </w:pPr>
      <w:r>
        <w:t>Safeguarding consumer</w:t>
      </w:r>
      <w:r w:rsidR="006C45D6">
        <w:t>s</w:t>
      </w:r>
    </w:p>
    <w:p w14:paraId="7C84F94D" w14:textId="07627EE2" w:rsidR="000D12CA" w:rsidRDefault="00F71BE6" w:rsidP="00394E55">
      <w:pPr>
        <w:pStyle w:val="BodyText"/>
      </w:pPr>
      <w:r>
        <w:t>O</w:t>
      </w:r>
      <w:r w:rsidR="002B035E">
        <w:t>wnership</w:t>
      </w:r>
      <w:r w:rsidR="006C45D6">
        <w:t xml:space="preserve"> restrictions are intended to ensure the competency of pharmacy businesses and </w:t>
      </w:r>
      <w:r w:rsidR="003E3532">
        <w:t>protect</w:t>
      </w:r>
      <w:r w:rsidR="006C45D6">
        <w:t xml:space="preserve"> </w:t>
      </w:r>
      <w:r w:rsidR="002B035E">
        <w:t>consumer</w:t>
      </w:r>
      <w:r w:rsidR="00E7156F">
        <w:t xml:space="preserve"> interests</w:t>
      </w:r>
      <w:r w:rsidR="002B035E">
        <w:t>.</w:t>
      </w:r>
      <w:r w:rsidR="006C45D6">
        <w:t xml:space="preserve"> </w:t>
      </w:r>
      <w:proofErr w:type="gramStart"/>
      <w:r w:rsidR="00BA6B47">
        <w:t>In particular, it</w:t>
      </w:r>
      <w:proofErr w:type="gramEnd"/>
      <w:r w:rsidR="00390887">
        <w:t xml:space="preserve"> is</w:t>
      </w:r>
      <w:r w:rsidR="00390887" w:rsidRPr="00390887">
        <w:t xml:space="preserve"> </w:t>
      </w:r>
      <w:r w:rsidR="00BA6B47">
        <w:t xml:space="preserve">claimed that pharmacists are more likely to </w:t>
      </w:r>
      <w:r w:rsidR="00616D4A">
        <w:t>prioritise professional judgment over</w:t>
      </w:r>
      <w:r w:rsidR="00390887" w:rsidRPr="00390887">
        <w:t xml:space="preserve"> commercial considerations, compared to </w:t>
      </w:r>
      <w:r w:rsidR="00616D4A">
        <w:t>non-</w:t>
      </w:r>
      <w:r w:rsidR="00390887" w:rsidRPr="00390887">
        <w:t>pharmacists.</w:t>
      </w:r>
      <w:r w:rsidR="003137F2">
        <w:t xml:space="preserve"> </w:t>
      </w:r>
      <w:r w:rsidR="00762406">
        <w:t xml:space="preserve">But this is claim is </w:t>
      </w:r>
      <w:r w:rsidR="00C87980">
        <w:t>controversial</w:t>
      </w:r>
      <w:r w:rsidR="00762406">
        <w:t xml:space="preserve">. </w:t>
      </w:r>
      <w:r w:rsidR="009E0644">
        <w:t xml:space="preserve">The </w:t>
      </w:r>
      <w:r w:rsidR="00CE6F82">
        <w:t xml:space="preserve">Parliamentary Committee found: </w:t>
      </w:r>
    </w:p>
    <w:p w14:paraId="7D8A8FC3" w14:textId="561F7AA7" w:rsidR="00CE6F82" w:rsidRDefault="00CE6F82" w:rsidP="000D5B60">
      <w:pPr>
        <w:pStyle w:val="Quote"/>
      </w:pPr>
      <w:r>
        <w:t>There were a diverse range of views on whether the ownership restrictions are necessary to protect consumers and deliver accessible and affordable medicine. Most independent submitters and new franchise/discount pharmacists considered the ownership restrictions are not required to achieve public health objectives. However, most traditional pharmacy owners and the Pharmacy Guild of Australia believed they are necessary to maintain public health objectives. (pp. 56-57)</w:t>
      </w:r>
    </w:p>
    <w:p w14:paraId="34B99844" w14:textId="314FCCD1" w:rsidR="005A5C41" w:rsidRDefault="00E64BDB" w:rsidP="00394E55">
      <w:pPr>
        <w:pStyle w:val="BodyText"/>
      </w:pPr>
      <w:r>
        <w:t>I</w:t>
      </w:r>
      <w:r w:rsidR="005A5C41">
        <w:t xml:space="preserve">n its </w:t>
      </w:r>
      <w:r w:rsidR="00A923C7">
        <w:t xml:space="preserve">2018 report, the Queensland Productivity Commission </w:t>
      </w:r>
      <w:r w:rsidR="00F178DB">
        <w:t>said:</w:t>
      </w:r>
    </w:p>
    <w:p w14:paraId="0BFD5EC6" w14:textId="7082F5CD" w:rsidR="00EE1889" w:rsidRDefault="00EE1889" w:rsidP="00EE1889">
      <w:pPr>
        <w:pStyle w:val="Quote"/>
      </w:pPr>
      <w:r>
        <w:t xml:space="preserve">The Commission has not been able to identify evidence that pharmacist-owned pharmacies in aggregate have a greater focus on consumers/less focus on profit than other professions owning a business or different corporate structures … </w:t>
      </w:r>
      <w:r w:rsidRPr="00707D19">
        <w:t>Profit motives appear to exist for pharmacies regardless of the type of owner</w:t>
      </w:r>
      <w:r>
        <w:t>. (</w:t>
      </w:r>
      <w:r w:rsidR="003E5914" w:rsidRPr="003E5914">
        <w:t>p. 18</w:t>
      </w:r>
      <w:r>
        <w:t>)</w:t>
      </w:r>
    </w:p>
    <w:p w14:paraId="1B6517E6" w14:textId="43370530" w:rsidR="000F44EB" w:rsidRDefault="000F44EB" w:rsidP="00352AB7">
      <w:pPr>
        <w:pStyle w:val="BodyText"/>
      </w:pPr>
      <w:r>
        <w:t xml:space="preserve">Indeed, </w:t>
      </w:r>
      <w:r w:rsidR="00EB3B14">
        <w:t xml:space="preserve">it is questionable </w:t>
      </w:r>
      <w:r w:rsidR="00B4070E">
        <w:t>whether owner</w:t>
      </w:r>
      <w:r w:rsidR="269E51E6">
        <w:t>-</w:t>
      </w:r>
      <w:r w:rsidR="00B4070E">
        <w:t xml:space="preserve">pharmacists </w:t>
      </w:r>
      <w:r w:rsidR="00F501AC">
        <w:t xml:space="preserve">are less </w:t>
      </w:r>
      <w:r w:rsidR="0089449B">
        <w:t xml:space="preserve">susceptible to commercial pressures </w:t>
      </w:r>
      <w:r w:rsidR="00F501AC">
        <w:t>than non</w:t>
      </w:r>
      <w:r w:rsidR="00523B4F">
        <w:noBreakHyphen/>
      </w:r>
      <w:r w:rsidR="00F501AC">
        <w:t>pharmacist</w:t>
      </w:r>
      <w:r w:rsidR="0098393C">
        <w:t xml:space="preserve"> owners. Conceivably</w:t>
      </w:r>
      <w:r w:rsidR="00EB3B14">
        <w:t>, the opposite could be true, given the substantial equity involvement of owner</w:t>
      </w:r>
      <w:r w:rsidR="176E4872">
        <w:t>-</w:t>
      </w:r>
      <w:r w:rsidR="00EB3B14">
        <w:t xml:space="preserve">pharmacists and their dependence on </w:t>
      </w:r>
      <w:r w:rsidR="00914182">
        <w:t>the profits of the pharmacy for much of their income.</w:t>
      </w:r>
    </w:p>
    <w:p w14:paraId="06B6A631" w14:textId="0AC5DDB6" w:rsidR="006C45D6" w:rsidRDefault="000D5B60" w:rsidP="00394E55">
      <w:pPr>
        <w:pStyle w:val="BodyText"/>
      </w:pPr>
      <w:r>
        <w:t xml:space="preserve">In </w:t>
      </w:r>
      <w:r w:rsidR="00E64BDB">
        <w:t>the Commission’s</w:t>
      </w:r>
      <w:r>
        <w:t xml:space="preserve"> view, o</w:t>
      </w:r>
      <w:r w:rsidR="00AC134E">
        <w:t xml:space="preserve">wnership restrictions </w:t>
      </w:r>
      <w:r w:rsidR="00692C42">
        <w:t>are</w:t>
      </w:r>
      <w:r w:rsidR="00AC134E">
        <w:t xml:space="preserve">, at </w:t>
      </w:r>
      <w:r w:rsidR="006B469D">
        <w:t xml:space="preserve">best, an indirect </w:t>
      </w:r>
      <w:r w:rsidR="008A5BD6">
        <w:t>mechanism</w:t>
      </w:r>
      <w:r w:rsidR="00692C42">
        <w:t xml:space="preserve"> for safeguarding consumers. </w:t>
      </w:r>
      <w:r w:rsidR="001F3AC0">
        <w:t>A</w:t>
      </w:r>
      <w:r w:rsidR="00C80531">
        <w:t xml:space="preserve">s the quality of pharmacy services depends on the conduct, integrity and professional skills of pharmacists, regulations regarding who may practise pharmacy, and the way pharmacy is practised, are a far more effective means of promoting </w:t>
      </w:r>
      <w:r w:rsidR="008D6AD6">
        <w:t>consumer</w:t>
      </w:r>
      <w:r w:rsidR="00C80531">
        <w:t xml:space="preserve"> safety than ownership restrictions</w:t>
      </w:r>
      <w:r w:rsidR="0071364A">
        <w:t>.</w:t>
      </w:r>
    </w:p>
    <w:p w14:paraId="0B6C7DAA" w14:textId="4F12CDDD" w:rsidR="00521717" w:rsidRDefault="00521717" w:rsidP="00521717">
      <w:pPr>
        <w:pStyle w:val="Heading3-noTOC"/>
      </w:pPr>
      <w:r>
        <w:t>Competition issues</w:t>
      </w:r>
    </w:p>
    <w:p w14:paraId="10F5E229" w14:textId="526BAF6C" w:rsidR="00F43E02" w:rsidRDefault="00F43E02" w:rsidP="00F43E02">
      <w:pPr>
        <w:pStyle w:val="BodyText"/>
      </w:pPr>
      <w:r>
        <w:t xml:space="preserve">In its 2023 </w:t>
      </w:r>
      <w:r w:rsidRPr="00C91201">
        <w:rPr>
          <w:i/>
        </w:rPr>
        <w:t>5</w:t>
      </w:r>
      <w:r>
        <w:rPr>
          <w:i/>
          <w:iCs/>
        </w:rPr>
        <w:noBreakHyphen/>
        <w:t>y</w:t>
      </w:r>
      <w:r w:rsidRPr="00C91201">
        <w:rPr>
          <w:i/>
          <w:iCs/>
        </w:rPr>
        <w:t>ear</w:t>
      </w:r>
      <w:r w:rsidRPr="00C91201">
        <w:rPr>
          <w:i/>
        </w:rPr>
        <w:t xml:space="preserve"> Productivity Inquiry: Advancing Prosperity</w:t>
      </w:r>
      <w:r>
        <w:t>, the Commission recommended that Governments remove anti</w:t>
      </w:r>
      <w:r>
        <w:noBreakHyphen/>
        <w:t>competitive regulations on the ownership of pharmacies.</w:t>
      </w:r>
    </w:p>
    <w:p w14:paraId="43F2040E" w14:textId="77777777" w:rsidR="00F43E02" w:rsidRDefault="00F43E02" w:rsidP="00F43E02">
      <w:pPr>
        <w:pStyle w:val="BodyText"/>
      </w:pPr>
      <w:r>
        <w:t xml:space="preserve">Pharmacy ownership rules hurt consumers by reducing innovation and entrepreneurship in the sector. Excluding corporations (such as supermarkets and general retail outlets) and non-pharmacists from owning pharmacy businesses limits the scope to leverage specialised management skills and expertise that could reduce costs and improve service quality. Coupled with limits on the number of separate businesses a pharmacist may own, this limits opportunities to reduce costs (and prices) by operating on a larger scale or across a broader range of service offerings. </w:t>
      </w:r>
    </w:p>
    <w:p w14:paraId="369259AA" w14:textId="7745CA58" w:rsidR="00F43E02" w:rsidRDefault="00F43E02" w:rsidP="00F43E02">
      <w:pPr>
        <w:pStyle w:val="BodyText"/>
      </w:pPr>
      <w:r>
        <w:t>The ownership rules may not have effectively safeguarded community ownership as intended. Regulations on the ownership (and location) of Australia’s pharmacies have reduced competition in local markets – there are now fewer pharmacies per head of population than when the regulations were introduced – and have facilitated the establishment of local monopolies</w:t>
      </w:r>
      <w:r w:rsidR="001A6524">
        <w:t>.</w:t>
      </w:r>
      <w:r>
        <w:t xml:space="preserve"> Indeed, to the extent that such laws restrict the number of pharmacies, they are more likely to lessen competition</w:t>
      </w:r>
      <w:r w:rsidR="005810FC">
        <w:t xml:space="preserve"> to the detriment of consumers</w:t>
      </w:r>
      <w:r>
        <w:t>.</w:t>
      </w:r>
    </w:p>
    <w:p w14:paraId="3B4FA22C" w14:textId="415820C5" w:rsidR="00B76368" w:rsidRDefault="00B76368" w:rsidP="00B76368">
      <w:pPr>
        <w:pStyle w:val="BodyText"/>
      </w:pPr>
      <w:r>
        <w:t xml:space="preserve">The Explanatory Notes to the Bill report </w:t>
      </w:r>
      <w:proofErr w:type="gramStart"/>
      <w:r>
        <w:t>concerns</w:t>
      </w:r>
      <w:proofErr w:type="gramEnd"/>
      <w:r>
        <w:t xml:space="preserve"> that relaxing ownership restrictions would mean ‘large corporate retailers may concentrate their services in regional centres, resulting in probable closures of </w:t>
      </w:r>
      <w:r>
        <w:lastRenderedPageBreak/>
        <w:t>smaller pharmacy businesses in surrounding rural and remote areas and reduced access to pharmacy services in those communities’ (p. 3).</w:t>
      </w:r>
    </w:p>
    <w:p w14:paraId="73E16F4D" w14:textId="1BFA03FA" w:rsidR="00E115A0" w:rsidRDefault="00E115A0" w:rsidP="00E115A0">
      <w:pPr>
        <w:pStyle w:val="BodyText"/>
      </w:pPr>
      <w:r>
        <w:t>However, it is debatable whether ownership restrictions have helped to maintain the viability of smaller rural or regional pharmacies. Despite the restrictions, the Australian Government provides direct financial support to rural and remote pharmacies through the Regional Pharmacy Maintenance Allowance to enable these pharmacies to profitably operate. Indeed, enabling rural and regional pharmacies to better exploit economies of scale through the remov</w:t>
      </w:r>
      <w:r w:rsidR="5E4C4BC9">
        <w:t>al</w:t>
      </w:r>
      <w:r>
        <w:t xml:space="preserve"> of the ownership rules may enhance viability of rural and regional pharmacies.</w:t>
      </w:r>
    </w:p>
    <w:p w14:paraId="74127C92" w14:textId="43232F2C" w:rsidR="00F43E02" w:rsidRDefault="000B3718" w:rsidP="00F43E02">
      <w:pPr>
        <w:pStyle w:val="BodyText"/>
      </w:pPr>
      <w:r>
        <w:t>The Commission is unaware of any credible evidence that indicates that the pharmacy ownership rules in Queensland (as opposed to other regulations and government subsidies)</w:t>
      </w:r>
      <w:r w:rsidR="006734D4">
        <w:t xml:space="preserve"> play any role in maintaining access to pharmacies in outer suburban, rural and remote communities.</w:t>
      </w:r>
      <w:r w:rsidR="00F43E02">
        <w:t xml:space="preserve"> </w:t>
      </w:r>
    </w:p>
    <w:p w14:paraId="0441DC76" w14:textId="4C112D61" w:rsidR="00F43E02" w:rsidRPr="00E304DA" w:rsidRDefault="00DC69AA" w:rsidP="00F43E02">
      <w:pPr>
        <w:pStyle w:val="Heading3"/>
      </w:pPr>
      <w:r>
        <w:t>Removal of the ownership restrictions</w:t>
      </w:r>
      <w:r w:rsidR="004E0B60">
        <w:t xml:space="preserve"> would strengthen the Aboriginal </w:t>
      </w:r>
      <w:proofErr w:type="gramStart"/>
      <w:r w:rsidR="004E0B60">
        <w:t>community controlled</w:t>
      </w:r>
      <w:proofErr w:type="gramEnd"/>
      <w:r w:rsidR="004E0B60">
        <w:t xml:space="preserve"> health sect</w:t>
      </w:r>
      <w:r w:rsidR="00FB7B6D">
        <w:t>or</w:t>
      </w:r>
    </w:p>
    <w:p w14:paraId="6DB3523D" w14:textId="4D3DE253" w:rsidR="00F43E02" w:rsidRDefault="00C7240F" w:rsidP="00F43E02">
      <w:pPr>
        <w:pStyle w:val="BodyText"/>
      </w:pPr>
      <w:r>
        <w:t>Removing pharmacy ownership restrictions would enable</w:t>
      </w:r>
      <w:r w:rsidR="00F43E02">
        <w:t xml:space="preserve"> Aboriginal </w:t>
      </w:r>
      <w:r>
        <w:t>health services</w:t>
      </w:r>
      <w:r w:rsidR="00F43E02">
        <w:t xml:space="preserve"> to own and operate pharmacies </w:t>
      </w:r>
      <w:r>
        <w:t xml:space="preserve">and </w:t>
      </w:r>
      <w:r w:rsidR="00F43E02">
        <w:t>would support commitments made in the National Agreement on Closing the Gap.</w:t>
      </w:r>
    </w:p>
    <w:p w14:paraId="1366D0EB" w14:textId="77777777" w:rsidR="00F43E02" w:rsidRDefault="00F43E02" w:rsidP="00F43E02">
      <w:pPr>
        <w:pStyle w:val="BodyText"/>
      </w:pPr>
      <w:r>
        <w:t>Priority Reform 2 of the National Agreement on Closing the Gap commits governments to strengthening the community</w:t>
      </w:r>
      <w:r>
        <w:noBreakHyphen/>
        <w:t>controlled sector to deliver high</w:t>
      </w:r>
      <w:r>
        <w:noBreakHyphen/>
        <w:t>quality, holistic and culturally safe services to Aboriginal and Torres Strait Islander people. All parties to the Agreement have agreed that community control is an act of self</w:t>
      </w:r>
      <w:r>
        <w:noBreakHyphen/>
        <w:t>determination and that services delivered by community</w:t>
      </w:r>
      <w:r>
        <w:noBreakHyphen/>
        <w:t>controlled organisations generally achieve better results and are often preferred over mainstream services.</w:t>
      </w:r>
    </w:p>
    <w:p w14:paraId="1428C7A4" w14:textId="71F6055A" w:rsidR="008137F5" w:rsidRPr="004A1ECF" w:rsidRDefault="00F43E02" w:rsidP="00F43E02">
      <w:pPr>
        <w:pStyle w:val="BodyText"/>
        <w:rPr>
          <w:spacing w:val="-4"/>
        </w:rPr>
      </w:pPr>
      <w:r w:rsidRPr="004A1ECF">
        <w:rPr>
          <w:spacing w:val="-4"/>
        </w:rPr>
        <w:t xml:space="preserve">The 2017 </w:t>
      </w:r>
      <w:r w:rsidRPr="004A1ECF">
        <w:rPr>
          <w:i/>
          <w:spacing w:val="-4"/>
        </w:rPr>
        <w:t>Review of Pharmacy Remuneration and Regulation</w:t>
      </w:r>
      <w:r w:rsidRPr="004A1ECF">
        <w:rPr>
          <w:spacing w:val="-4"/>
        </w:rPr>
        <w:t xml:space="preserve"> (King, Scott and Watson</w:t>
      </w:r>
      <w:r w:rsidR="00981E62" w:rsidRPr="004A1ECF">
        <w:rPr>
          <w:spacing w:val="-4"/>
        </w:rPr>
        <w:t xml:space="preserve">, p. </w:t>
      </w:r>
      <w:r w:rsidR="001B04C4" w:rsidRPr="004A1ECF">
        <w:rPr>
          <w:spacing w:val="-4"/>
        </w:rPr>
        <w:t>50</w:t>
      </w:r>
      <w:r w:rsidRPr="004A1ECF">
        <w:rPr>
          <w:spacing w:val="-4"/>
        </w:rPr>
        <w:t>) found that pharmacy ownership restrictions meant Aboriginal Health Services were unable to operate a community pharmacy, which may have undermined culturally appropriate care in some rural and remote areas of Australia. The Review recommended the removal of restrictions on the ability of an Aboriginal health service to own and operate a pharmacy located at that Aboriginal Health Service. The Review recommended this be trialled and evaluated across urban, rural and remote locations to understand any unintended consequences.</w:t>
      </w:r>
    </w:p>
    <w:p w14:paraId="03B49474" w14:textId="795AF61A" w:rsidR="00F43E02" w:rsidRDefault="00F43E02">
      <w:pPr>
        <w:spacing w:before="0" w:after="160" w:line="259" w:lineRule="auto"/>
      </w:pPr>
    </w:p>
    <w:sectPr w:rsidR="00F43E02" w:rsidSect="004323A0">
      <w:headerReference w:type="even" r:id="rId23"/>
      <w:headerReference w:type="default" r:id="rId24"/>
      <w:footerReference w:type="even" r:id="rId25"/>
      <w:footerReference w:type="default" r:id="rId26"/>
      <w:pgSz w:w="11906" w:h="16838" w:code="9"/>
      <w:pgMar w:top="1134" w:right="1134" w:bottom="1134" w:left="1134" w:header="794"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C6C1C5" w14:textId="77777777" w:rsidR="004323A0" w:rsidRDefault="004323A0" w:rsidP="008017BC">
      <w:r>
        <w:separator/>
      </w:r>
    </w:p>
    <w:p w14:paraId="16048420" w14:textId="77777777" w:rsidR="004323A0" w:rsidRDefault="004323A0"/>
  </w:endnote>
  <w:endnote w:type="continuationSeparator" w:id="0">
    <w:p w14:paraId="271F9D45" w14:textId="77777777" w:rsidR="004323A0" w:rsidRDefault="004323A0" w:rsidP="008017BC">
      <w:r>
        <w:continuationSeparator/>
      </w:r>
    </w:p>
    <w:p w14:paraId="02E12E85" w14:textId="77777777" w:rsidR="004323A0" w:rsidRDefault="004323A0"/>
  </w:endnote>
  <w:endnote w:type="continuationNotice" w:id="1">
    <w:p w14:paraId="22B46CA7" w14:textId="77777777" w:rsidR="004323A0" w:rsidRDefault="004323A0">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0D8B6E" w14:textId="77777777" w:rsidR="00807003" w:rsidRPr="00187F05" w:rsidRDefault="00807003" w:rsidP="00A471AE">
    <w:pPr>
      <w:pStyle w:val="Footer"/>
      <w:jc w:val="right"/>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1A6082" w14:textId="77777777" w:rsidR="00807003" w:rsidRDefault="00807003">
    <w:pPr>
      <w:pStyle w:val="Footer"/>
    </w:pPr>
    <w:r>
      <w:fldChar w:fldCharType="begin"/>
    </w:r>
    <w:r>
      <w:instrText xml:space="preserve"> PAGE   \* MERGEFORMAT </w:instrText>
    </w:r>
    <w:r>
      <w:fldChar w:fldCharType="separate"/>
    </w:r>
    <w:r>
      <w:rPr>
        <w:noProof/>
      </w:rPr>
      <w:t>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66CA55" w14:textId="77777777" w:rsidR="00807003" w:rsidRDefault="00807003">
    <w:pPr>
      <w:pStyle w:val="Footer"/>
    </w:pPr>
    <w:r>
      <w:fldChar w:fldCharType="begin"/>
    </w:r>
    <w:r>
      <w:instrText xml:space="preserve"> PAGE   \* MERGEFORMAT </w:instrText>
    </w:r>
    <w:r>
      <w:fldChar w:fldCharType="separate"/>
    </w:r>
    <w:r>
      <w:rPr>
        <w:noProof/>
      </w:rPr>
      <w:t>1</w:t>
    </w:r>
    <w:r>
      <w:rPr>
        <w:noProof/>
      </w:rPr>
      <w:fldChar w:fldCharType="end"/>
    </w:r>
    <w:r>
      <w:rPr>
        <w:noProof/>
      </w:rPr>
      <mc:AlternateContent>
        <mc:Choice Requires="wps">
          <w:drawing>
            <wp:anchor distT="0" distB="0" distL="114300" distR="114300" simplePos="0" relativeHeight="251658240" behindDoc="0" locked="1" layoutInCell="1" allowOverlap="1" wp14:anchorId="13EFCB0D" wp14:editId="714D6100">
              <wp:simplePos x="0" y="0"/>
              <wp:positionH relativeFrom="page">
                <wp:align>left</wp:align>
              </wp:positionH>
              <wp:positionV relativeFrom="page">
                <wp:align>bottom</wp:align>
              </wp:positionV>
              <wp:extent cx="7560000" cy="7200000"/>
              <wp:effectExtent l="0" t="0" r="3175" b="1270"/>
              <wp:wrapNone/>
              <wp:docPr id="11" name="Rectangle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7200000"/>
                      </a:xfrm>
                      <a:prstGeom prst="rect">
                        <a:avLst/>
                      </a:prstGeom>
                      <a:solidFill>
                        <a:srgbClr val="265A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rect w14:anchorId="19A2C382" id="Rectangle 11" o:spid="_x0000_s1026" alt="&quot;&quot;" style="position:absolute;margin-left:0;margin-top:0;width:595.3pt;height:566.95pt;z-index:251660288;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" fillcolor="#265a99" stroked="f" strokeweight="1pt">
              <w10:wrap anchorx="page" anchory="page"/>
              <w10:anchorlock/>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EA7F92" w14:textId="77777777" w:rsidR="00D15113" w:rsidRDefault="00F04EA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0765408"/>
      <w:docPartObj>
        <w:docPartGallery w:val="Page Numbers (Bottom of Page)"/>
        <w:docPartUnique/>
      </w:docPartObj>
    </w:sdtPr>
    <w:sdtContent>
      <w:sdt>
        <w:sdtPr>
          <w:id w:val="783309045"/>
          <w:docPartObj>
            <w:docPartGallery w:val="Page Numbers (Top of Page)"/>
            <w:docPartUnique/>
          </w:docPartObj>
        </w:sdtPr>
        <w:sdtContent>
          <w:p w14:paraId="4E1D31E5" w14:textId="77777777" w:rsidR="00D15113"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6D4839" w14:textId="77777777" w:rsidR="004323A0" w:rsidRPr="00C238D1" w:rsidRDefault="004323A0" w:rsidP="00273E86">
      <w:pPr>
        <w:spacing w:after="0" w:line="240" w:lineRule="auto"/>
        <w:rPr>
          <w:rStyle w:val="ColourDarkBlue"/>
        </w:rPr>
      </w:pPr>
      <w:r w:rsidRPr="00C238D1">
        <w:rPr>
          <w:rStyle w:val="ColourDarkBlue"/>
        </w:rPr>
        <w:continuationSeparator/>
      </w:r>
    </w:p>
  </w:footnote>
  <w:footnote w:type="continuationSeparator" w:id="0">
    <w:p w14:paraId="6218961D" w14:textId="77777777" w:rsidR="004323A0" w:rsidRPr="001D7D9B" w:rsidRDefault="004323A0" w:rsidP="001D7D9B">
      <w:pPr>
        <w:spacing w:after="0" w:line="240" w:lineRule="auto"/>
        <w:rPr>
          <w:color w:val="265A9A" w:themeColor="background2"/>
        </w:rPr>
      </w:pPr>
      <w:r w:rsidRPr="00C238D1">
        <w:rPr>
          <w:rStyle w:val="ColourDarkBlue"/>
        </w:rPr>
        <w:continuationSeparator/>
      </w:r>
    </w:p>
  </w:footnote>
  <w:footnote w:type="continuationNotice" w:id="1">
    <w:p w14:paraId="15D4AD67" w14:textId="77777777" w:rsidR="004323A0" w:rsidRDefault="004323A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E513B7" w14:textId="77777777" w:rsidR="00807003" w:rsidRDefault="00807003">
    <w:pPr>
      <w:pStyle w:val="Header-Keyline"/>
    </w:pPr>
    <w:r>
      <w:t>Productivity Commission submission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15681F" w14:textId="30FD7CFD" w:rsidR="00807003" w:rsidRDefault="00807003">
    <w:pPr>
      <w:pStyle w:val="Header-KeylineRight"/>
    </w:pPr>
    <w:r>
      <w:fldChar w:fldCharType="begin"/>
    </w:r>
    <w:r>
      <w:instrText xml:space="preserve"> STYLEREF  "Heading 1"  \* MERGEFORMAT </w:instrText>
    </w:r>
    <w:r>
      <w:fldChar w:fldCharType="separate"/>
    </w:r>
    <w:r w:rsidR="004D770C">
      <w:rPr>
        <w:b/>
        <w:bCs/>
        <w:noProof/>
        <w:lang w:val="en-US"/>
      </w:rPr>
      <w:t>Error! No text of specified style in document.</w:t>
    </w:r>
    <w:r>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660ECF" w14:textId="77777777" w:rsidR="00807003" w:rsidRPr="007215EF" w:rsidRDefault="00807003" w:rsidP="007215EF">
    <w:r w:rsidRPr="007215EF">
      <w:rPr>
        <w:noProof/>
      </w:rPr>
      <w:drawing>
        <wp:anchor distT="0" distB="0" distL="114300" distR="114300" simplePos="0" relativeHeight="251658241" behindDoc="0" locked="1" layoutInCell="1" allowOverlap="1" wp14:anchorId="52C51A0F" wp14:editId="6E858943">
          <wp:simplePos x="0" y="0"/>
          <wp:positionH relativeFrom="margin">
            <wp:align>left</wp:align>
          </wp:positionH>
          <wp:positionV relativeFrom="page">
            <wp:align>top</wp:align>
          </wp:positionV>
          <wp:extent cx="2235600" cy="1058400"/>
          <wp:effectExtent l="0" t="0" r="0" b="8890"/>
          <wp:wrapNone/>
          <wp:docPr id="1902691290" name="Picture 1902691290" descr="Productivity Commission | Australian Government logo">
            <a:extLst xmlns:a="http://schemas.openxmlformats.org/drawingml/2006/main">
              <a:ext uri="{FF2B5EF4-FFF2-40B4-BE49-F238E27FC236}">
                <a16:creationId xmlns:a16="http://schemas.microsoft.com/office/drawing/2014/main" id="{540D5EEA-84FD-4794-A974-3D74A07F2D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 descr="Productivity Commission | Australian Government logo">
                    <a:extLst>
                      <a:ext uri="{FF2B5EF4-FFF2-40B4-BE49-F238E27FC236}">
                        <a16:creationId xmlns:a16="http://schemas.microsoft.com/office/drawing/2014/main" id="{540D5EEA-84FD-4794-A974-3D74A07F2D82}"/>
                      </a:ext>
                    </a:extLst>
                  </pic:cNvPr>
                  <pic:cNvPicPr>
                    <a:picLocks noChangeAspect="1"/>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t="-95925"/>
                  <a:stretch/>
                </pic:blipFill>
                <pic:spPr bwMode="auto">
                  <a:xfrm>
                    <a:off x="0" y="0"/>
                    <a:ext cx="2235600" cy="1058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D530EAB" w14:textId="77777777" w:rsidR="00807003" w:rsidRPr="005965BC" w:rsidRDefault="00807003" w:rsidP="005965B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303E7B" w14:textId="6B840522" w:rsidR="00F173EF" w:rsidRDefault="00B20444" w:rsidP="00F173EF">
    <w:pPr>
      <w:pStyle w:val="Header-Keyline"/>
    </w:pPr>
    <w:r>
      <w:rPr>
        <w:rStyle w:val="Strong"/>
      </w:rPr>
      <w:t>Productivity Commission submission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75B51C" w14:textId="5BABFC96" w:rsidR="00F173EF" w:rsidRDefault="00B20444" w:rsidP="00F173EF">
    <w:pPr>
      <w:pStyle w:val="Header-KeylineRight"/>
    </w:pPr>
    <w:r>
      <w:t xml:space="preserve">Inquiry into the </w:t>
    </w:r>
    <w:r w:rsidRPr="00036244">
      <w:t>Pharmacy Business Ownership Bill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CF5454E4"/>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2"/>
    <w:multiLevelType w:val="singleLevel"/>
    <w:tmpl w:val="2B96721A"/>
    <w:lvl w:ilvl="0">
      <w:start w:val="1"/>
      <w:numFmt w:val="bullet"/>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F288D330"/>
    <w:lvl w:ilvl="0">
      <w:start w:val="1"/>
      <w:numFmt w:val="bullet"/>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A3F47326"/>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74A6380"/>
    <w:multiLevelType w:val="multilevel"/>
    <w:tmpl w:val="C47EA3E6"/>
    <w:styleLink w:val="TableList"/>
    <w:lvl w:ilvl="0">
      <w:start w:val="1"/>
      <w:numFmt w:val="decimal"/>
      <w:pStyle w:val="TableHeading-numbered"/>
      <w:suff w:val="space"/>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9C1734A"/>
    <w:multiLevelType w:val="multilevel"/>
    <w:tmpl w:val="72768BCE"/>
    <w:styleLink w:val="AppendixHeadingList"/>
    <w:lvl w:ilvl="0">
      <w:start w:val="1"/>
      <w:numFmt w:val="upperLetter"/>
      <w:pStyle w:val="Heading-Appendix"/>
      <w:lvlText w:val="%1."/>
      <w:lvlJc w:val="left"/>
      <w:pPr>
        <w:ind w:left="1418" w:hanging="851"/>
      </w:pPr>
      <w:rPr>
        <w:rFonts w:hint="default"/>
      </w:rPr>
    </w:lvl>
    <w:lvl w:ilvl="1">
      <w:start w:val="1"/>
      <w:numFmt w:val="decimal"/>
      <w:pStyle w:val="Heading2-Appendix"/>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0AC2735F"/>
    <w:multiLevelType w:val="multilevel"/>
    <w:tmpl w:val="EE6A07A2"/>
    <w:styleLink w:val="ListHeadings"/>
    <w:lvl w:ilvl="0">
      <w:start w:val="1"/>
      <w:numFmt w:val="decimal"/>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0F3E6C9D"/>
    <w:multiLevelType w:val="hybridMultilevel"/>
    <w:tmpl w:val="FF8069A4"/>
    <w:numStyleLink w:val="Bullets"/>
  </w:abstractNum>
  <w:abstractNum w:abstractNumId="8" w15:restartNumberingAfterBreak="0">
    <w:nsid w:val="0F6F37EA"/>
    <w:multiLevelType w:val="multilevel"/>
    <w:tmpl w:val="1FA8DC2A"/>
    <w:styleLink w:val="Numbering"/>
    <w:lvl w:ilvl="0">
      <w:start w:val="1"/>
      <w:numFmt w:val="decimal"/>
      <w:pStyle w:val="ListNumber"/>
      <w:lvlText w:val="%1."/>
      <w:lvlJc w:val="left"/>
      <w:pPr>
        <w:ind w:left="454" w:hanging="454"/>
      </w:pPr>
      <w:rPr>
        <w:rFonts w:hint="default"/>
      </w:rPr>
    </w:lvl>
    <w:lvl w:ilvl="1">
      <w:start w:val="1"/>
      <w:numFmt w:val="decimal"/>
      <w:pStyle w:val="ListNumber2"/>
      <w:lvlText w:val="%1.%2."/>
      <w:lvlJc w:val="left"/>
      <w:pPr>
        <w:ind w:left="680" w:hanging="680"/>
      </w:pPr>
      <w:rPr>
        <w:rFonts w:hint="default"/>
      </w:rPr>
    </w:lvl>
    <w:lvl w:ilvl="2">
      <w:start w:val="1"/>
      <w:numFmt w:val="decimal"/>
      <w:pStyle w:val="ListNumber3"/>
      <w:lvlText w:val="%1.%2.%3."/>
      <w:lvlJc w:val="left"/>
      <w:pPr>
        <w:ind w:left="907" w:hanging="907"/>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361" w:hanging="1361"/>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9" w15:restartNumberingAfterBreak="0">
    <w:nsid w:val="12377B66"/>
    <w:multiLevelType w:val="multilevel"/>
    <w:tmpl w:val="4F48000A"/>
    <w:styleLink w:val="Alphalist"/>
    <w:lvl w:ilvl="0">
      <w:start w:val="1"/>
      <w:numFmt w:val="lowerLetter"/>
      <w:pStyle w:val="ListAlpha1"/>
      <w:lvlText w:val="%1."/>
      <w:lvlJc w:val="left"/>
      <w:pPr>
        <w:ind w:left="227" w:hanging="227"/>
      </w:pPr>
      <w:rPr>
        <w:rFonts w:hint="default"/>
      </w:rPr>
    </w:lvl>
    <w:lvl w:ilvl="1">
      <w:start w:val="1"/>
      <w:numFmt w:val="lowerLetter"/>
      <w:pStyle w:val="ListAlpha2"/>
      <w:lvlText w:val="%2."/>
      <w:lvlJc w:val="left"/>
      <w:pPr>
        <w:ind w:left="454" w:hanging="227"/>
      </w:pPr>
      <w:rPr>
        <w:rFonts w:hint="default"/>
      </w:rPr>
    </w:lvl>
    <w:lvl w:ilvl="2">
      <w:start w:val="1"/>
      <w:numFmt w:val="lowerRoman"/>
      <w:pStyle w:val="ListAlpha3"/>
      <w:lvlText w:val="%3."/>
      <w:lvlJc w:val="left"/>
      <w:pPr>
        <w:ind w:left="454" w:hanging="227"/>
      </w:pPr>
      <w:rPr>
        <w:rFonts w:hint="default"/>
      </w:rPr>
    </w:lvl>
    <w:lvl w:ilvl="3">
      <w:start w:val="1"/>
      <w:numFmt w:val="lowerRoman"/>
      <w:pStyle w:val="ListAlpha4"/>
      <w:lvlText w:val="%4."/>
      <w:lvlJc w:val="left"/>
      <w:pPr>
        <w:ind w:left="680" w:hanging="226"/>
      </w:pPr>
      <w:rPr>
        <w:rFonts w:hint="default"/>
      </w:rPr>
    </w:lvl>
    <w:lvl w:ilvl="4">
      <w:start w:val="1"/>
      <w:numFmt w:val="lowerLetter"/>
      <w:lvlText w:val="(%5)"/>
      <w:lvlJc w:val="left"/>
      <w:pPr>
        <w:ind w:left="907" w:hanging="227"/>
      </w:pPr>
      <w:rPr>
        <w:rFonts w:hint="default"/>
      </w:rPr>
    </w:lvl>
    <w:lvl w:ilvl="5">
      <w:start w:val="1"/>
      <w:numFmt w:val="lowerRoman"/>
      <w:lvlText w:val="(%6)"/>
      <w:lvlJc w:val="left"/>
      <w:pPr>
        <w:ind w:left="1134" w:hanging="227"/>
      </w:pPr>
      <w:rPr>
        <w:rFonts w:hint="default"/>
      </w:rPr>
    </w:lvl>
    <w:lvl w:ilvl="6">
      <w:start w:val="1"/>
      <w:numFmt w:val="decimal"/>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Roman"/>
      <w:lvlText w:val="%9."/>
      <w:lvlJc w:val="left"/>
      <w:pPr>
        <w:ind w:left="1814" w:hanging="226"/>
      </w:pPr>
      <w:rPr>
        <w:rFonts w:hint="default"/>
      </w:rPr>
    </w:lvl>
  </w:abstractNum>
  <w:abstractNum w:abstractNumId="10" w15:restartNumberingAfterBreak="0">
    <w:nsid w:val="16155739"/>
    <w:multiLevelType w:val="multilevel"/>
    <w:tmpl w:val="55366B42"/>
    <w:styleLink w:val="LetteredList"/>
    <w:lvl w:ilvl="0">
      <w:start w:val="1"/>
      <w:numFmt w:val="lowerLetter"/>
      <w:pStyle w:val="List"/>
      <w:lvlText w:val="%1."/>
      <w:lvlJc w:val="left"/>
      <w:pPr>
        <w:ind w:left="227" w:hanging="227"/>
      </w:pPr>
      <w:rPr>
        <w:rFonts w:hint="default"/>
      </w:rPr>
    </w:lvl>
    <w:lvl w:ilvl="1">
      <w:start w:val="1"/>
      <w:numFmt w:val="lowerLetter"/>
      <w:pStyle w:val="List2"/>
      <w:lvlText w:val="%2."/>
      <w:lvlJc w:val="left"/>
      <w:pPr>
        <w:ind w:left="454" w:hanging="227"/>
      </w:pPr>
      <w:rPr>
        <w:rFonts w:hint="default"/>
      </w:rPr>
    </w:lvl>
    <w:lvl w:ilvl="2">
      <w:start w:val="1"/>
      <w:numFmt w:val="lowerRoman"/>
      <w:pStyle w:val="List3"/>
      <w:lvlText w:val="%3."/>
      <w:lvlJc w:val="left"/>
      <w:pPr>
        <w:ind w:left="454" w:hanging="227"/>
      </w:pPr>
      <w:rPr>
        <w:rFonts w:hint="default"/>
      </w:rPr>
    </w:lvl>
    <w:lvl w:ilvl="3">
      <w:start w:val="1"/>
      <w:numFmt w:val="lowerRoman"/>
      <w:pStyle w:val="List4"/>
      <w:lvlText w:val="%4."/>
      <w:lvlJc w:val="left"/>
      <w:pPr>
        <w:ind w:left="680" w:hanging="226"/>
      </w:pPr>
      <w:rPr>
        <w:rFonts w:hint="default"/>
      </w:rPr>
    </w:lvl>
    <w:lvl w:ilvl="4">
      <w:start w:val="1"/>
      <w:numFmt w:val="lowerRoman"/>
      <w:lvlText w:val="%5."/>
      <w:lvlJc w:val="left"/>
      <w:pPr>
        <w:ind w:left="907" w:hanging="227"/>
      </w:pPr>
      <w:rPr>
        <w:rFonts w:hint="default"/>
      </w:rPr>
    </w:lvl>
    <w:lvl w:ilvl="5">
      <w:start w:val="1"/>
      <w:numFmt w:val="lowerRoman"/>
      <w:lvlText w:val="%6."/>
      <w:lvlJc w:val="left"/>
      <w:pPr>
        <w:tabs>
          <w:tab w:val="num" w:pos="1644"/>
        </w:tabs>
        <w:ind w:left="1134" w:hanging="227"/>
      </w:pPr>
      <w:rPr>
        <w:rFonts w:hint="default"/>
      </w:rPr>
    </w:lvl>
    <w:lvl w:ilvl="6">
      <w:start w:val="1"/>
      <w:numFmt w:val="lowerLetter"/>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Letter"/>
      <w:lvlText w:val="%9."/>
      <w:lvlJc w:val="left"/>
      <w:pPr>
        <w:ind w:left="1814" w:hanging="226"/>
      </w:pPr>
      <w:rPr>
        <w:rFonts w:hint="default"/>
      </w:rPr>
    </w:lvl>
  </w:abstractNum>
  <w:abstractNum w:abstractNumId="11" w15:restartNumberingAfterBreak="0">
    <w:nsid w:val="1A1A0E47"/>
    <w:multiLevelType w:val="multilevel"/>
    <w:tmpl w:val="BCC2EEC0"/>
    <w:lvl w:ilvl="0">
      <w:start w:val="1"/>
      <w:numFmt w:val="decimal"/>
      <w:pStyle w:val="Heading1"/>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pStyle w:val="Heading2"/>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215905EC"/>
    <w:multiLevelType w:val="multilevel"/>
    <w:tmpl w:val="14F2CE60"/>
    <w:styleLink w:val="AppendixHeading"/>
    <w:lvl w:ilvl="0">
      <w:start w:val="1"/>
      <w:numFmt w:val="upperLetter"/>
      <w:lvlText w:val="%1."/>
      <w:lvlJc w:val="left"/>
      <w:pPr>
        <w:ind w:left="1418" w:hanging="851"/>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26C57F8F"/>
    <w:multiLevelType w:val="hybridMultilevel"/>
    <w:tmpl w:val="A90489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D665246"/>
    <w:multiLevelType w:val="multilevel"/>
    <w:tmpl w:val="55366B42"/>
    <w:numStyleLink w:val="LetteredList"/>
  </w:abstractNum>
  <w:abstractNum w:abstractNumId="15" w15:restartNumberingAfterBreak="0">
    <w:nsid w:val="2DFE29AF"/>
    <w:multiLevelType w:val="multilevel"/>
    <w:tmpl w:val="72768BCE"/>
    <w:numStyleLink w:val="AppendixHeadingList"/>
  </w:abstractNum>
  <w:abstractNum w:abstractNumId="16" w15:restartNumberingAfterBreak="0">
    <w:nsid w:val="34945759"/>
    <w:multiLevelType w:val="multilevel"/>
    <w:tmpl w:val="EDDA6002"/>
    <w:styleLink w:val="TOCList"/>
    <w:lvl w:ilvl="0">
      <w:start w:val="1"/>
      <w:numFmt w:val="decimal"/>
      <w:lvlText w:val="%1"/>
      <w:lvlJc w:val="left"/>
      <w:pPr>
        <w:ind w:left="567" w:hanging="567"/>
      </w:pPr>
      <w:rPr>
        <w:rFonts w:hint="default"/>
        <w:b/>
        <w:i w:val="0"/>
        <w:color w:val="265A9A" w:themeColor="background2"/>
      </w:rPr>
    </w:lvl>
    <w:lvl w:ilvl="1">
      <w:start w:val="1"/>
      <w:numFmt w:val="decimal"/>
      <w:lvlText w:val="%1.%2"/>
      <w:lvlJc w:val="left"/>
      <w:pPr>
        <w:ind w:left="851"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35AF472A"/>
    <w:multiLevelType w:val="hybridMultilevel"/>
    <w:tmpl w:val="B9ACAA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67F3571"/>
    <w:multiLevelType w:val="multilevel"/>
    <w:tmpl w:val="DE7E2246"/>
    <w:styleLink w:val="Figure"/>
    <w:lvl w:ilvl="0">
      <w:start w:val="1"/>
      <w:numFmt w:val="lowerLetter"/>
      <w:suff w:val="space"/>
      <w:lvlText w:val="%1."/>
      <w:lvlJc w:val="left"/>
      <w:pPr>
        <w:ind w:left="0" w:firstLine="0"/>
      </w:pPr>
      <w:rPr>
        <w:rFonts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4C3729CC"/>
    <w:multiLevelType w:val="hybridMultilevel"/>
    <w:tmpl w:val="5F6288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B687294"/>
    <w:multiLevelType w:val="multilevel"/>
    <w:tmpl w:val="BC6CEC38"/>
    <w:styleLink w:val="BoxList"/>
    <w:lvl w:ilvl="0">
      <w:start w:val="1"/>
      <w:numFmt w:val="decimal"/>
      <w:suff w:val="space"/>
      <w:lvlText w:val="Box %1 —"/>
      <w:lvlJc w:val="left"/>
      <w:pPr>
        <w:ind w:left="360" w:hanging="360"/>
      </w:pPr>
      <w:rPr>
        <w:rFonts w:hint="default"/>
      </w:rPr>
    </w:lvl>
    <w:lvl w:ilvl="1">
      <w:start w:val="1"/>
      <w:numFmt w:val="decimal"/>
      <w:suff w:val="space"/>
      <w:lvlText w:val="Box %1.%2 —"/>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60E1502C"/>
    <w:multiLevelType w:val="multilevel"/>
    <w:tmpl w:val="FF8069A4"/>
    <w:styleLink w:val="Bullets"/>
    <w:lvl w:ilvl="0">
      <w:start w:val="1"/>
      <w:numFmt w:val="bullet"/>
      <w:pStyle w:val="ListBullet"/>
      <w:lvlText w:val="•"/>
      <w:lvlJc w:val="left"/>
      <w:pPr>
        <w:ind w:left="227" w:hanging="227"/>
      </w:pPr>
      <w:rPr>
        <w:rFonts w:ascii="Times New Roman" w:hAnsi="Times New Roman" w:hint="default"/>
        <w:color w:val="auto"/>
      </w:rPr>
    </w:lvl>
    <w:lvl w:ilvl="1">
      <w:start w:val="1"/>
      <w:numFmt w:val="bullet"/>
      <w:pStyle w:val="ListBullet2"/>
      <w:lvlText w:val="–"/>
      <w:lvlJc w:val="left"/>
      <w:pPr>
        <w:ind w:left="454" w:hanging="227"/>
      </w:pPr>
      <w:rPr>
        <w:rFonts w:ascii="Arial" w:hAnsi="Arial" w:hint="default"/>
        <w:color w:val="auto"/>
      </w:rPr>
    </w:lvl>
    <w:lvl w:ilvl="2">
      <w:start w:val="1"/>
      <w:numFmt w:val="bullet"/>
      <w:pStyle w:val="ListBullet3"/>
      <w:lvlText w:val="»"/>
      <w:lvlJc w:val="left"/>
      <w:pPr>
        <w:ind w:left="907" w:hanging="227"/>
      </w:pPr>
      <w:rPr>
        <w:rFonts w:ascii="Arial" w:hAnsi="Arial" w:hint="default"/>
        <w:color w:val="auto"/>
      </w:rPr>
    </w:lvl>
    <w:lvl w:ilvl="3">
      <w:start w:val="1"/>
      <w:numFmt w:val="bullet"/>
      <w:lvlText w:val="–"/>
      <w:lvlJc w:val="left"/>
      <w:pPr>
        <w:tabs>
          <w:tab w:val="num" w:pos="851"/>
        </w:tabs>
        <w:ind w:left="907" w:hanging="227"/>
      </w:pPr>
      <w:rPr>
        <w:rFonts w:ascii="Arial" w:hAnsi="Arial" w:hint="default"/>
        <w:color w:val="auto"/>
      </w:rPr>
    </w:lvl>
    <w:lvl w:ilvl="4">
      <w:start w:val="1"/>
      <w:numFmt w:val="bullet"/>
      <w:lvlText w:val="–"/>
      <w:lvlJc w:val="left"/>
      <w:pPr>
        <w:ind w:left="1134" w:hanging="227"/>
      </w:pPr>
      <w:rPr>
        <w:rFonts w:ascii="Arial" w:hAnsi="Arial" w:hint="default"/>
        <w:color w:val="auto"/>
      </w:rPr>
    </w:lvl>
    <w:lvl w:ilvl="5">
      <w:start w:val="1"/>
      <w:numFmt w:val="bullet"/>
      <w:lvlText w:val="–"/>
      <w:lvlJc w:val="left"/>
      <w:pPr>
        <w:ind w:left="1361" w:hanging="227"/>
      </w:pPr>
      <w:rPr>
        <w:rFonts w:ascii="Arial" w:hAnsi="Arial" w:hint="default"/>
      </w:rPr>
    </w:lvl>
    <w:lvl w:ilvl="6">
      <w:start w:val="1"/>
      <w:numFmt w:val="bullet"/>
      <w:lvlText w:val="–"/>
      <w:lvlJc w:val="left"/>
      <w:pPr>
        <w:ind w:left="1588" w:hanging="227"/>
      </w:pPr>
      <w:rPr>
        <w:rFonts w:ascii="Arial" w:hAnsi="Arial" w:hint="default"/>
      </w:rPr>
    </w:lvl>
    <w:lvl w:ilvl="7">
      <w:start w:val="1"/>
      <w:numFmt w:val="bullet"/>
      <w:lvlText w:val="–"/>
      <w:lvlJc w:val="left"/>
      <w:pPr>
        <w:ind w:left="1814" w:hanging="226"/>
      </w:pPr>
      <w:rPr>
        <w:rFonts w:ascii="Arial" w:hAnsi="Arial" w:hint="default"/>
      </w:rPr>
    </w:lvl>
    <w:lvl w:ilvl="8">
      <w:start w:val="1"/>
      <w:numFmt w:val="bullet"/>
      <w:lvlText w:val="–"/>
      <w:lvlJc w:val="left"/>
      <w:pPr>
        <w:tabs>
          <w:tab w:val="num" w:pos="2211"/>
        </w:tabs>
        <w:ind w:left="2041" w:hanging="227"/>
      </w:pPr>
      <w:rPr>
        <w:rFonts w:ascii="Arial" w:hAnsi="Arial" w:hint="default"/>
      </w:rPr>
    </w:lvl>
  </w:abstractNum>
  <w:abstractNum w:abstractNumId="22" w15:restartNumberingAfterBreak="0">
    <w:nsid w:val="761B4A1B"/>
    <w:multiLevelType w:val="multilevel"/>
    <w:tmpl w:val="4F48000A"/>
    <w:numStyleLink w:val="Alphalist"/>
  </w:abstractNum>
  <w:num w:numId="1" w16cid:durableId="1835417846">
    <w:abstractNumId w:val="9"/>
  </w:num>
  <w:num w:numId="2" w16cid:durableId="1519077027">
    <w:abstractNumId w:val="5"/>
  </w:num>
  <w:num w:numId="3" w16cid:durableId="1468549479">
    <w:abstractNumId w:val="12"/>
  </w:num>
  <w:num w:numId="4" w16cid:durableId="915166386">
    <w:abstractNumId w:val="20"/>
  </w:num>
  <w:num w:numId="5" w16cid:durableId="1510681289">
    <w:abstractNumId w:val="21"/>
  </w:num>
  <w:num w:numId="6" w16cid:durableId="912081833">
    <w:abstractNumId w:val="18"/>
  </w:num>
  <w:num w:numId="7" w16cid:durableId="2023432934">
    <w:abstractNumId w:val="15"/>
  </w:num>
  <w:num w:numId="8" w16cid:durableId="192770611">
    <w:abstractNumId w:val="10"/>
  </w:num>
  <w:num w:numId="9" w16cid:durableId="485167421">
    <w:abstractNumId w:val="14"/>
  </w:num>
  <w:num w:numId="10" w16cid:durableId="775756382">
    <w:abstractNumId w:val="22"/>
  </w:num>
  <w:num w:numId="11" w16cid:durableId="1975406722">
    <w:abstractNumId w:val="0"/>
  </w:num>
  <w:num w:numId="12" w16cid:durableId="2055227720">
    <w:abstractNumId w:val="6"/>
  </w:num>
  <w:num w:numId="13" w16cid:durableId="432627348">
    <w:abstractNumId w:val="11"/>
  </w:num>
  <w:num w:numId="14" w16cid:durableId="1889947188">
    <w:abstractNumId w:val="8"/>
  </w:num>
  <w:num w:numId="15" w16cid:durableId="818545292">
    <w:abstractNumId w:val="4"/>
  </w:num>
  <w:num w:numId="16" w16cid:durableId="561333589">
    <w:abstractNumId w:val="16"/>
  </w:num>
  <w:num w:numId="17" w16cid:durableId="267082509">
    <w:abstractNumId w:val="7"/>
  </w:num>
  <w:num w:numId="18" w16cid:durableId="1520239019">
    <w:abstractNumId w:val="13"/>
  </w:num>
  <w:num w:numId="19" w16cid:durableId="1468895">
    <w:abstractNumId w:val="19"/>
  </w:num>
  <w:num w:numId="20" w16cid:durableId="775948512">
    <w:abstractNumId w:val="17"/>
  </w:num>
  <w:num w:numId="21" w16cid:durableId="34544117">
    <w:abstractNumId w:val="3"/>
  </w:num>
  <w:num w:numId="22" w16cid:durableId="655913068">
    <w:abstractNumId w:val="2"/>
  </w:num>
  <w:num w:numId="23" w16cid:durableId="2106996230">
    <w:abstractNumId w:val="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602D"/>
    <w:rsid w:val="00000075"/>
    <w:rsid w:val="000003C7"/>
    <w:rsid w:val="00000F3C"/>
    <w:rsid w:val="00002A0C"/>
    <w:rsid w:val="00002BF0"/>
    <w:rsid w:val="00004489"/>
    <w:rsid w:val="00005C79"/>
    <w:rsid w:val="00006326"/>
    <w:rsid w:val="0000738F"/>
    <w:rsid w:val="00010DAC"/>
    <w:rsid w:val="000121F5"/>
    <w:rsid w:val="00013897"/>
    <w:rsid w:val="0001457B"/>
    <w:rsid w:val="00014894"/>
    <w:rsid w:val="0001576B"/>
    <w:rsid w:val="000161EB"/>
    <w:rsid w:val="0001635B"/>
    <w:rsid w:val="00020091"/>
    <w:rsid w:val="00020153"/>
    <w:rsid w:val="000209FE"/>
    <w:rsid w:val="00025A81"/>
    <w:rsid w:val="00025C7E"/>
    <w:rsid w:val="00025CFA"/>
    <w:rsid w:val="00025DE3"/>
    <w:rsid w:val="00026C04"/>
    <w:rsid w:val="00027E07"/>
    <w:rsid w:val="000300AF"/>
    <w:rsid w:val="00031538"/>
    <w:rsid w:val="0003197C"/>
    <w:rsid w:val="000331E4"/>
    <w:rsid w:val="0003338D"/>
    <w:rsid w:val="00033619"/>
    <w:rsid w:val="000348B1"/>
    <w:rsid w:val="00036244"/>
    <w:rsid w:val="00037A25"/>
    <w:rsid w:val="00044BC8"/>
    <w:rsid w:val="00046E5A"/>
    <w:rsid w:val="00047894"/>
    <w:rsid w:val="00050FD9"/>
    <w:rsid w:val="0005151B"/>
    <w:rsid w:val="0005362B"/>
    <w:rsid w:val="000545AC"/>
    <w:rsid w:val="00054C95"/>
    <w:rsid w:val="000561CF"/>
    <w:rsid w:val="000564E1"/>
    <w:rsid w:val="00056E16"/>
    <w:rsid w:val="0005774F"/>
    <w:rsid w:val="00060910"/>
    <w:rsid w:val="00061ADB"/>
    <w:rsid w:val="00062A44"/>
    <w:rsid w:val="00064FA3"/>
    <w:rsid w:val="00065648"/>
    <w:rsid w:val="000659A0"/>
    <w:rsid w:val="000716A8"/>
    <w:rsid w:val="00071EF4"/>
    <w:rsid w:val="000724AE"/>
    <w:rsid w:val="00073B1E"/>
    <w:rsid w:val="000742D3"/>
    <w:rsid w:val="00074D84"/>
    <w:rsid w:val="00075240"/>
    <w:rsid w:val="00077573"/>
    <w:rsid w:val="0007776A"/>
    <w:rsid w:val="00077A76"/>
    <w:rsid w:val="00080035"/>
    <w:rsid w:val="0008037D"/>
    <w:rsid w:val="00082593"/>
    <w:rsid w:val="000835ED"/>
    <w:rsid w:val="000839E5"/>
    <w:rsid w:val="00084660"/>
    <w:rsid w:val="00084FD4"/>
    <w:rsid w:val="00085FB9"/>
    <w:rsid w:val="00086B0F"/>
    <w:rsid w:val="00087153"/>
    <w:rsid w:val="00090ACD"/>
    <w:rsid w:val="00091286"/>
    <w:rsid w:val="000A0F08"/>
    <w:rsid w:val="000A141B"/>
    <w:rsid w:val="000A167D"/>
    <w:rsid w:val="000A38AA"/>
    <w:rsid w:val="000A41A3"/>
    <w:rsid w:val="000A4A2B"/>
    <w:rsid w:val="000B006D"/>
    <w:rsid w:val="000B11DD"/>
    <w:rsid w:val="000B1D8E"/>
    <w:rsid w:val="000B3718"/>
    <w:rsid w:val="000B395A"/>
    <w:rsid w:val="000B497F"/>
    <w:rsid w:val="000B4A72"/>
    <w:rsid w:val="000B5105"/>
    <w:rsid w:val="000B7475"/>
    <w:rsid w:val="000C196D"/>
    <w:rsid w:val="000C1CE7"/>
    <w:rsid w:val="000C377F"/>
    <w:rsid w:val="000C3F0F"/>
    <w:rsid w:val="000C4290"/>
    <w:rsid w:val="000C51F8"/>
    <w:rsid w:val="000C54DD"/>
    <w:rsid w:val="000C5D6A"/>
    <w:rsid w:val="000C6B77"/>
    <w:rsid w:val="000D1047"/>
    <w:rsid w:val="000D12BB"/>
    <w:rsid w:val="000D12CA"/>
    <w:rsid w:val="000D25C4"/>
    <w:rsid w:val="000D3532"/>
    <w:rsid w:val="000D3B43"/>
    <w:rsid w:val="000D5B60"/>
    <w:rsid w:val="000D70E2"/>
    <w:rsid w:val="000E0BB7"/>
    <w:rsid w:val="000E257B"/>
    <w:rsid w:val="000E2DD8"/>
    <w:rsid w:val="000E43B0"/>
    <w:rsid w:val="000E6E3E"/>
    <w:rsid w:val="000E73F3"/>
    <w:rsid w:val="000E7FD0"/>
    <w:rsid w:val="000F2EE2"/>
    <w:rsid w:val="000F33A7"/>
    <w:rsid w:val="000F351C"/>
    <w:rsid w:val="000F37BB"/>
    <w:rsid w:val="000F41B1"/>
    <w:rsid w:val="000F438A"/>
    <w:rsid w:val="000F4488"/>
    <w:rsid w:val="000F44EB"/>
    <w:rsid w:val="000F5A1D"/>
    <w:rsid w:val="00100654"/>
    <w:rsid w:val="00100FA0"/>
    <w:rsid w:val="00100FAB"/>
    <w:rsid w:val="001050A7"/>
    <w:rsid w:val="00106C0F"/>
    <w:rsid w:val="00107F44"/>
    <w:rsid w:val="00110B83"/>
    <w:rsid w:val="00112065"/>
    <w:rsid w:val="0011217E"/>
    <w:rsid w:val="00112E8F"/>
    <w:rsid w:val="0011335C"/>
    <w:rsid w:val="00113897"/>
    <w:rsid w:val="00114A8E"/>
    <w:rsid w:val="00114FBD"/>
    <w:rsid w:val="001154FE"/>
    <w:rsid w:val="00115543"/>
    <w:rsid w:val="00117ABA"/>
    <w:rsid w:val="00120792"/>
    <w:rsid w:val="00121882"/>
    <w:rsid w:val="001219F7"/>
    <w:rsid w:val="001220CD"/>
    <w:rsid w:val="00122E09"/>
    <w:rsid w:val="00124278"/>
    <w:rsid w:val="00124821"/>
    <w:rsid w:val="00125832"/>
    <w:rsid w:val="00125A70"/>
    <w:rsid w:val="00126031"/>
    <w:rsid w:val="0012614E"/>
    <w:rsid w:val="001268BC"/>
    <w:rsid w:val="001271AF"/>
    <w:rsid w:val="00131DCE"/>
    <w:rsid w:val="00133554"/>
    <w:rsid w:val="001342A2"/>
    <w:rsid w:val="00134B39"/>
    <w:rsid w:val="00136741"/>
    <w:rsid w:val="0013722E"/>
    <w:rsid w:val="001375CE"/>
    <w:rsid w:val="00137865"/>
    <w:rsid w:val="00137FAB"/>
    <w:rsid w:val="0014220E"/>
    <w:rsid w:val="0014522B"/>
    <w:rsid w:val="00145ED7"/>
    <w:rsid w:val="00147728"/>
    <w:rsid w:val="001513AC"/>
    <w:rsid w:val="001534D7"/>
    <w:rsid w:val="0015429E"/>
    <w:rsid w:val="00154E0D"/>
    <w:rsid w:val="00157DFF"/>
    <w:rsid w:val="001600E9"/>
    <w:rsid w:val="001601CD"/>
    <w:rsid w:val="001604C5"/>
    <w:rsid w:val="00160FEC"/>
    <w:rsid w:val="001610E5"/>
    <w:rsid w:val="00161BC8"/>
    <w:rsid w:val="0016304A"/>
    <w:rsid w:val="00163777"/>
    <w:rsid w:val="001642F4"/>
    <w:rsid w:val="00164DF7"/>
    <w:rsid w:val="00164DFA"/>
    <w:rsid w:val="001650EC"/>
    <w:rsid w:val="0016637E"/>
    <w:rsid w:val="00166867"/>
    <w:rsid w:val="0016704D"/>
    <w:rsid w:val="00170F8C"/>
    <w:rsid w:val="001714F3"/>
    <w:rsid w:val="00174396"/>
    <w:rsid w:val="001752DB"/>
    <w:rsid w:val="00175727"/>
    <w:rsid w:val="001757C3"/>
    <w:rsid w:val="001759C4"/>
    <w:rsid w:val="0017620E"/>
    <w:rsid w:val="0017695B"/>
    <w:rsid w:val="00177942"/>
    <w:rsid w:val="00182A32"/>
    <w:rsid w:val="001831B6"/>
    <w:rsid w:val="0018357F"/>
    <w:rsid w:val="00183C8F"/>
    <w:rsid w:val="00183D1D"/>
    <w:rsid w:val="00185183"/>
    <w:rsid w:val="00185856"/>
    <w:rsid w:val="00186E23"/>
    <w:rsid w:val="00187545"/>
    <w:rsid w:val="00187F05"/>
    <w:rsid w:val="0019006B"/>
    <w:rsid w:val="00192389"/>
    <w:rsid w:val="0019282C"/>
    <w:rsid w:val="001931AE"/>
    <w:rsid w:val="00193511"/>
    <w:rsid w:val="0019370B"/>
    <w:rsid w:val="00194200"/>
    <w:rsid w:val="001957BF"/>
    <w:rsid w:val="00195C42"/>
    <w:rsid w:val="00196261"/>
    <w:rsid w:val="00196B27"/>
    <w:rsid w:val="00196FDA"/>
    <w:rsid w:val="001A0D77"/>
    <w:rsid w:val="001A196A"/>
    <w:rsid w:val="001A1D95"/>
    <w:rsid w:val="001A2565"/>
    <w:rsid w:val="001A3084"/>
    <w:rsid w:val="001A37A2"/>
    <w:rsid w:val="001A38EF"/>
    <w:rsid w:val="001A50B1"/>
    <w:rsid w:val="001A5D53"/>
    <w:rsid w:val="001A6524"/>
    <w:rsid w:val="001A6D82"/>
    <w:rsid w:val="001A7CE7"/>
    <w:rsid w:val="001B04C4"/>
    <w:rsid w:val="001B0AE8"/>
    <w:rsid w:val="001B1762"/>
    <w:rsid w:val="001B17AC"/>
    <w:rsid w:val="001B3136"/>
    <w:rsid w:val="001B5442"/>
    <w:rsid w:val="001B588D"/>
    <w:rsid w:val="001B5B77"/>
    <w:rsid w:val="001B7588"/>
    <w:rsid w:val="001C020C"/>
    <w:rsid w:val="001C1E0F"/>
    <w:rsid w:val="001C447E"/>
    <w:rsid w:val="001C4516"/>
    <w:rsid w:val="001C4F3A"/>
    <w:rsid w:val="001C592C"/>
    <w:rsid w:val="001C5C5A"/>
    <w:rsid w:val="001C7835"/>
    <w:rsid w:val="001D11D1"/>
    <w:rsid w:val="001D21B6"/>
    <w:rsid w:val="001D3863"/>
    <w:rsid w:val="001D4050"/>
    <w:rsid w:val="001D450A"/>
    <w:rsid w:val="001D4B37"/>
    <w:rsid w:val="001D69C7"/>
    <w:rsid w:val="001D7D9B"/>
    <w:rsid w:val="001E3C9D"/>
    <w:rsid w:val="001E4BD8"/>
    <w:rsid w:val="001E617A"/>
    <w:rsid w:val="001E7793"/>
    <w:rsid w:val="001F13C1"/>
    <w:rsid w:val="001F15E0"/>
    <w:rsid w:val="001F16CC"/>
    <w:rsid w:val="001F1E9A"/>
    <w:rsid w:val="001F34C7"/>
    <w:rsid w:val="001F3AC0"/>
    <w:rsid w:val="001F446D"/>
    <w:rsid w:val="001F693E"/>
    <w:rsid w:val="001F6B0A"/>
    <w:rsid w:val="002006AD"/>
    <w:rsid w:val="00200E69"/>
    <w:rsid w:val="00201320"/>
    <w:rsid w:val="0020204A"/>
    <w:rsid w:val="0020553B"/>
    <w:rsid w:val="0020605F"/>
    <w:rsid w:val="0020694B"/>
    <w:rsid w:val="002112EC"/>
    <w:rsid w:val="00211660"/>
    <w:rsid w:val="00212B69"/>
    <w:rsid w:val="00214E2B"/>
    <w:rsid w:val="00215D30"/>
    <w:rsid w:val="00216C6D"/>
    <w:rsid w:val="00220819"/>
    <w:rsid w:val="00221800"/>
    <w:rsid w:val="00221AB7"/>
    <w:rsid w:val="00221C43"/>
    <w:rsid w:val="002247C1"/>
    <w:rsid w:val="002257BD"/>
    <w:rsid w:val="00226D7A"/>
    <w:rsid w:val="00226EE1"/>
    <w:rsid w:val="00227712"/>
    <w:rsid w:val="002352FA"/>
    <w:rsid w:val="00236DDD"/>
    <w:rsid w:val="002379DC"/>
    <w:rsid w:val="002401AE"/>
    <w:rsid w:val="002409C1"/>
    <w:rsid w:val="00242EC0"/>
    <w:rsid w:val="002457DE"/>
    <w:rsid w:val="00245E43"/>
    <w:rsid w:val="002460A6"/>
    <w:rsid w:val="00246435"/>
    <w:rsid w:val="00246BCF"/>
    <w:rsid w:val="00251245"/>
    <w:rsid w:val="00251CA2"/>
    <w:rsid w:val="00253493"/>
    <w:rsid w:val="00253809"/>
    <w:rsid w:val="0025432F"/>
    <w:rsid w:val="00255AEA"/>
    <w:rsid w:val="00255C5B"/>
    <w:rsid w:val="0025794B"/>
    <w:rsid w:val="002601BB"/>
    <w:rsid w:val="0026046B"/>
    <w:rsid w:val="0026145F"/>
    <w:rsid w:val="00262073"/>
    <w:rsid w:val="00263F5A"/>
    <w:rsid w:val="0026526A"/>
    <w:rsid w:val="00265918"/>
    <w:rsid w:val="0026665E"/>
    <w:rsid w:val="0026788A"/>
    <w:rsid w:val="00267A2A"/>
    <w:rsid w:val="002703D5"/>
    <w:rsid w:val="00270834"/>
    <w:rsid w:val="002731E6"/>
    <w:rsid w:val="00273E86"/>
    <w:rsid w:val="00274C73"/>
    <w:rsid w:val="00275C59"/>
    <w:rsid w:val="002762C5"/>
    <w:rsid w:val="00276814"/>
    <w:rsid w:val="00276CD6"/>
    <w:rsid w:val="0027775D"/>
    <w:rsid w:val="0028085E"/>
    <w:rsid w:val="002810B6"/>
    <w:rsid w:val="002812D7"/>
    <w:rsid w:val="002814E6"/>
    <w:rsid w:val="00281A54"/>
    <w:rsid w:val="002828B6"/>
    <w:rsid w:val="00282AE5"/>
    <w:rsid w:val="00286A6C"/>
    <w:rsid w:val="00286DB9"/>
    <w:rsid w:val="00286F04"/>
    <w:rsid w:val="00287114"/>
    <w:rsid w:val="00290433"/>
    <w:rsid w:val="00290FFE"/>
    <w:rsid w:val="002936B4"/>
    <w:rsid w:val="0029484D"/>
    <w:rsid w:val="002951E6"/>
    <w:rsid w:val="00295330"/>
    <w:rsid w:val="00295895"/>
    <w:rsid w:val="00295F02"/>
    <w:rsid w:val="0029660D"/>
    <w:rsid w:val="00297135"/>
    <w:rsid w:val="002971CE"/>
    <w:rsid w:val="00297E0C"/>
    <w:rsid w:val="002A119A"/>
    <w:rsid w:val="002A16AD"/>
    <w:rsid w:val="002A2E80"/>
    <w:rsid w:val="002A6610"/>
    <w:rsid w:val="002B035E"/>
    <w:rsid w:val="002B0577"/>
    <w:rsid w:val="002B1549"/>
    <w:rsid w:val="002B3570"/>
    <w:rsid w:val="002B57DE"/>
    <w:rsid w:val="002C0422"/>
    <w:rsid w:val="002C1272"/>
    <w:rsid w:val="002C457F"/>
    <w:rsid w:val="002C797E"/>
    <w:rsid w:val="002D0987"/>
    <w:rsid w:val="002D0EA6"/>
    <w:rsid w:val="002D2B3D"/>
    <w:rsid w:val="002D325C"/>
    <w:rsid w:val="002D38CF"/>
    <w:rsid w:val="002D3977"/>
    <w:rsid w:val="002D50CB"/>
    <w:rsid w:val="002E0492"/>
    <w:rsid w:val="002E13BA"/>
    <w:rsid w:val="002E16ED"/>
    <w:rsid w:val="002E2750"/>
    <w:rsid w:val="002E3AA2"/>
    <w:rsid w:val="002E3F19"/>
    <w:rsid w:val="002E42CE"/>
    <w:rsid w:val="002E4D9B"/>
    <w:rsid w:val="002E51D2"/>
    <w:rsid w:val="002E571F"/>
    <w:rsid w:val="002E5FD9"/>
    <w:rsid w:val="002E6AC4"/>
    <w:rsid w:val="002E6D50"/>
    <w:rsid w:val="002E7A0E"/>
    <w:rsid w:val="002E7C46"/>
    <w:rsid w:val="002E7EFA"/>
    <w:rsid w:val="002F0AEF"/>
    <w:rsid w:val="002F40B0"/>
    <w:rsid w:val="002F4245"/>
    <w:rsid w:val="002F47DA"/>
    <w:rsid w:val="002F5E74"/>
    <w:rsid w:val="002F6386"/>
    <w:rsid w:val="002F70F6"/>
    <w:rsid w:val="002F7150"/>
    <w:rsid w:val="002F7FDB"/>
    <w:rsid w:val="003005AB"/>
    <w:rsid w:val="003020E6"/>
    <w:rsid w:val="00303704"/>
    <w:rsid w:val="0030505F"/>
    <w:rsid w:val="00305171"/>
    <w:rsid w:val="003051F7"/>
    <w:rsid w:val="0030553A"/>
    <w:rsid w:val="00305E7C"/>
    <w:rsid w:val="003101C6"/>
    <w:rsid w:val="00310602"/>
    <w:rsid w:val="00310A83"/>
    <w:rsid w:val="003137F2"/>
    <w:rsid w:val="0031430A"/>
    <w:rsid w:val="00314620"/>
    <w:rsid w:val="00317D86"/>
    <w:rsid w:val="00321616"/>
    <w:rsid w:val="00321846"/>
    <w:rsid w:val="00323400"/>
    <w:rsid w:val="00324EEE"/>
    <w:rsid w:val="00325DE5"/>
    <w:rsid w:val="0032673C"/>
    <w:rsid w:val="00326A36"/>
    <w:rsid w:val="00327922"/>
    <w:rsid w:val="00327CF3"/>
    <w:rsid w:val="00332A62"/>
    <w:rsid w:val="00334213"/>
    <w:rsid w:val="00334571"/>
    <w:rsid w:val="0033602D"/>
    <w:rsid w:val="00336D57"/>
    <w:rsid w:val="00336ECB"/>
    <w:rsid w:val="0033772C"/>
    <w:rsid w:val="00337B85"/>
    <w:rsid w:val="003416D2"/>
    <w:rsid w:val="003424DB"/>
    <w:rsid w:val="0034304F"/>
    <w:rsid w:val="00343253"/>
    <w:rsid w:val="003450BD"/>
    <w:rsid w:val="003455B8"/>
    <w:rsid w:val="00345D1C"/>
    <w:rsid w:val="0034657F"/>
    <w:rsid w:val="0034680A"/>
    <w:rsid w:val="003500D9"/>
    <w:rsid w:val="003504A8"/>
    <w:rsid w:val="0035079F"/>
    <w:rsid w:val="00351076"/>
    <w:rsid w:val="0035237B"/>
    <w:rsid w:val="00352AB7"/>
    <w:rsid w:val="00354696"/>
    <w:rsid w:val="0035507E"/>
    <w:rsid w:val="0035519A"/>
    <w:rsid w:val="00356B33"/>
    <w:rsid w:val="0035721B"/>
    <w:rsid w:val="0036059A"/>
    <w:rsid w:val="0036129C"/>
    <w:rsid w:val="00361512"/>
    <w:rsid w:val="003616A2"/>
    <w:rsid w:val="00362A31"/>
    <w:rsid w:val="00363FF8"/>
    <w:rsid w:val="003640E1"/>
    <w:rsid w:val="00366B4E"/>
    <w:rsid w:val="00366F5B"/>
    <w:rsid w:val="003743A7"/>
    <w:rsid w:val="00376491"/>
    <w:rsid w:val="0037721D"/>
    <w:rsid w:val="00380935"/>
    <w:rsid w:val="0038102A"/>
    <w:rsid w:val="00381808"/>
    <w:rsid w:val="0038208A"/>
    <w:rsid w:val="0038286D"/>
    <w:rsid w:val="00382B15"/>
    <w:rsid w:val="003833B4"/>
    <w:rsid w:val="00385924"/>
    <w:rsid w:val="00385A00"/>
    <w:rsid w:val="00385A91"/>
    <w:rsid w:val="00386857"/>
    <w:rsid w:val="00390887"/>
    <w:rsid w:val="00391FE1"/>
    <w:rsid w:val="00392F0E"/>
    <w:rsid w:val="00393A71"/>
    <w:rsid w:val="00394E55"/>
    <w:rsid w:val="003950F1"/>
    <w:rsid w:val="00395985"/>
    <w:rsid w:val="003A410B"/>
    <w:rsid w:val="003A4E09"/>
    <w:rsid w:val="003A55E8"/>
    <w:rsid w:val="003A586D"/>
    <w:rsid w:val="003A6CAF"/>
    <w:rsid w:val="003A6E05"/>
    <w:rsid w:val="003A743E"/>
    <w:rsid w:val="003A7ADE"/>
    <w:rsid w:val="003B29FC"/>
    <w:rsid w:val="003B2A34"/>
    <w:rsid w:val="003B637A"/>
    <w:rsid w:val="003B6E2C"/>
    <w:rsid w:val="003B733A"/>
    <w:rsid w:val="003B7C7E"/>
    <w:rsid w:val="003B7DB1"/>
    <w:rsid w:val="003C01C0"/>
    <w:rsid w:val="003C01D4"/>
    <w:rsid w:val="003C0F3A"/>
    <w:rsid w:val="003C2A5B"/>
    <w:rsid w:val="003C2CC3"/>
    <w:rsid w:val="003C4C6B"/>
    <w:rsid w:val="003C5A91"/>
    <w:rsid w:val="003C5DB9"/>
    <w:rsid w:val="003C607D"/>
    <w:rsid w:val="003C69BF"/>
    <w:rsid w:val="003D09EE"/>
    <w:rsid w:val="003D0EE0"/>
    <w:rsid w:val="003D1C88"/>
    <w:rsid w:val="003D23A3"/>
    <w:rsid w:val="003D2FB3"/>
    <w:rsid w:val="003D3E59"/>
    <w:rsid w:val="003D4524"/>
    <w:rsid w:val="003D4E2E"/>
    <w:rsid w:val="003D5856"/>
    <w:rsid w:val="003D76DB"/>
    <w:rsid w:val="003D77D1"/>
    <w:rsid w:val="003E08BF"/>
    <w:rsid w:val="003E0B3B"/>
    <w:rsid w:val="003E3532"/>
    <w:rsid w:val="003E3EE9"/>
    <w:rsid w:val="003E5914"/>
    <w:rsid w:val="003E6055"/>
    <w:rsid w:val="003F152E"/>
    <w:rsid w:val="003F29E7"/>
    <w:rsid w:val="003F3ED4"/>
    <w:rsid w:val="003F60AF"/>
    <w:rsid w:val="003F6F1A"/>
    <w:rsid w:val="0040060F"/>
    <w:rsid w:val="00401D74"/>
    <w:rsid w:val="00403203"/>
    <w:rsid w:val="00403CFE"/>
    <w:rsid w:val="00404E4F"/>
    <w:rsid w:val="00406081"/>
    <w:rsid w:val="004064F7"/>
    <w:rsid w:val="00406727"/>
    <w:rsid w:val="00407938"/>
    <w:rsid w:val="00407B31"/>
    <w:rsid w:val="0041266B"/>
    <w:rsid w:val="00412809"/>
    <w:rsid w:val="0041380C"/>
    <w:rsid w:val="00415312"/>
    <w:rsid w:val="0041599A"/>
    <w:rsid w:val="00415A0E"/>
    <w:rsid w:val="00415ED8"/>
    <w:rsid w:val="004201D9"/>
    <w:rsid w:val="00420F0E"/>
    <w:rsid w:val="0042233C"/>
    <w:rsid w:val="00422BD0"/>
    <w:rsid w:val="0042339A"/>
    <w:rsid w:val="00423B15"/>
    <w:rsid w:val="00424AB2"/>
    <w:rsid w:val="00424CB8"/>
    <w:rsid w:val="00424CD5"/>
    <w:rsid w:val="0042508F"/>
    <w:rsid w:val="00425CDB"/>
    <w:rsid w:val="00426A85"/>
    <w:rsid w:val="00427637"/>
    <w:rsid w:val="00427E58"/>
    <w:rsid w:val="00431304"/>
    <w:rsid w:val="004323A0"/>
    <w:rsid w:val="0043326D"/>
    <w:rsid w:val="00435463"/>
    <w:rsid w:val="004379C2"/>
    <w:rsid w:val="004400E8"/>
    <w:rsid w:val="0044097B"/>
    <w:rsid w:val="00440E7E"/>
    <w:rsid w:val="004423F8"/>
    <w:rsid w:val="00444CC2"/>
    <w:rsid w:val="004466C4"/>
    <w:rsid w:val="004471C0"/>
    <w:rsid w:val="004472AA"/>
    <w:rsid w:val="00450C80"/>
    <w:rsid w:val="004544D6"/>
    <w:rsid w:val="00455326"/>
    <w:rsid w:val="00456363"/>
    <w:rsid w:val="00457016"/>
    <w:rsid w:val="004604DE"/>
    <w:rsid w:val="004614C7"/>
    <w:rsid w:val="0046179D"/>
    <w:rsid w:val="00461CE9"/>
    <w:rsid w:val="00462407"/>
    <w:rsid w:val="004631DD"/>
    <w:rsid w:val="004635FD"/>
    <w:rsid w:val="0046494C"/>
    <w:rsid w:val="00470129"/>
    <w:rsid w:val="00471332"/>
    <w:rsid w:val="004722E8"/>
    <w:rsid w:val="004728A0"/>
    <w:rsid w:val="00472DF4"/>
    <w:rsid w:val="004738B0"/>
    <w:rsid w:val="004740D8"/>
    <w:rsid w:val="00474258"/>
    <w:rsid w:val="004742DD"/>
    <w:rsid w:val="004746D5"/>
    <w:rsid w:val="00475231"/>
    <w:rsid w:val="004759C9"/>
    <w:rsid w:val="0047766D"/>
    <w:rsid w:val="00477DC6"/>
    <w:rsid w:val="00477E0D"/>
    <w:rsid w:val="00481D1B"/>
    <w:rsid w:val="0048347A"/>
    <w:rsid w:val="0048410E"/>
    <w:rsid w:val="00484B6E"/>
    <w:rsid w:val="00484E96"/>
    <w:rsid w:val="00487748"/>
    <w:rsid w:val="00490399"/>
    <w:rsid w:val="00494CE9"/>
    <w:rsid w:val="004963AD"/>
    <w:rsid w:val="00496700"/>
    <w:rsid w:val="00497564"/>
    <w:rsid w:val="004A1ECF"/>
    <w:rsid w:val="004A2356"/>
    <w:rsid w:val="004A2FB8"/>
    <w:rsid w:val="004A3E5C"/>
    <w:rsid w:val="004A5586"/>
    <w:rsid w:val="004A6562"/>
    <w:rsid w:val="004B0223"/>
    <w:rsid w:val="004B11C7"/>
    <w:rsid w:val="004B1531"/>
    <w:rsid w:val="004B17D9"/>
    <w:rsid w:val="004B2EBC"/>
    <w:rsid w:val="004B5028"/>
    <w:rsid w:val="004B602D"/>
    <w:rsid w:val="004B609E"/>
    <w:rsid w:val="004B7189"/>
    <w:rsid w:val="004B757E"/>
    <w:rsid w:val="004B784A"/>
    <w:rsid w:val="004C34D2"/>
    <w:rsid w:val="004C4823"/>
    <w:rsid w:val="004C490F"/>
    <w:rsid w:val="004C646A"/>
    <w:rsid w:val="004C68C8"/>
    <w:rsid w:val="004C75B9"/>
    <w:rsid w:val="004D0728"/>
    <w:rsid w:val="004D29F9"/>
    <w:rsid w:val="004D2EB5"/>
    <w:rsid w:val="004D36DA"/>
    <w:rsid w:val="004D3E1E"/>
    <w:rsid w:val="004D770C"/>
    <w:rsid w:val="004E072A"/>
    <w:rsid w:val="004E09EE"/>
    <w:rsid w:val="004E0A95"/>
    <w:rsid w:val="004E0B60"/>
    <w:rsid w:val="004E1233"/>
    <w:rsid w:val="004E1A97"/>
    <w:rsid w:val="004E28C6"/>
    <w:rsid w:val="004E2A30"/>
    <w:rsid w:val="004E4682"/>
    <w:rsid w:val="004E46D9"/>
    <w:rsid w:val="004E4AF7"/>
    <w:rsid w:val="004E689D"/>
    <w:rsid w:val="004E6DE1"/>
    <w:rsid w:val="004E7A21"/>
    <w:rsid w:val="004F0476"/>
    <w:rsid w:val="004F0B79"/>
    <w:rsid w:val="004F10E0"/>
    <w:rsid w:val="004F138F"/>
    <w:rsid w:val="004F2671"/>
    <w:rsid w:val="004F2D0A"/>
    <w:rsid w:val="004F40E8"/>
    <w:rsid w:val="004F420C"/>
    <w:rsid w:val="004F4388"/>
    <w:rsid w:val="004F4A1E"/>
    <w:rsid w:val="004F5B3E"/>
    <w:rsid w:val="004F634D"/>
    <w:rsid w:val="004F7891"/>
    <w:rsid w:val="00500123"/>
    <w:rsid w:val="005009EC"/>
    <w:rsid w:val="0050353D"/>
    <w:rsid w:val="005040ED"/>
    <w:rsid w:val="005044DE"/>
    <w:rsid w:val="0050670B"/>
    <w:rsid w:val="00507F01"/>
    <w:rsid w:val="00511B29"/>
    <w:rsid w:val="005124ED"/>
    <w:rsid w:val="00513486"/>
    <w:rsid w:val="005141E8"/>
    <w:rsid w:val="00516A89"/>
    <w:rsid w:val="00517257"/>
    <w:rsid w:val="00520648"/>
    <w:rsid w:val="00521326"/>
    <w:rsid w:val="00521717"/>
    <w:rsid w:val="00521751"/>
    <w:rsid w:val="00522BC1"/>
    <w:rsid w:val="005238C8"/>
    <w:rsid w:val="00523B4F"/>
    <w:rsid w:val="005258DE"/>
    <w:rsid w:val="00525FBC"/>
    <w:rsid w:val="00527A18"/>
    <w:rsid w:val="00527F15"/>
    <w:rsid w:val="0053001F"/>
    <w:rsid w:val="005318B4"/>
    <w:rsid w:val="005351DD"/>
    <w:rsid w:val="00535D9C"/>
    <w:rsid w:val="00535ED2"/>
    <w:rsid w:val="00536740"/>
    <w:rsid w:val="00540B70"/>
    <w:rsid w:val="005411E7"/>
    <w:rsid w:val="005428AB"/>
    <w:rsid w:val="00546BA3"/>
    <w:rsid w:val="00547C51"/>
    <w:rsid w:val="00550C99"/>
    <w:rsid w:val="00551447"/>
    <w:rsid w:val="00553413"/>
    <w:rsid w:val="005545D5"/>
    <w:rsid w:val="00555AB2"/>
    <w:rsid w:val="0055715D"/>
    <w:rsid w:val="00561129"/>
    <w:rsid w:val="005618D5"/>
    <w:rsid w:val="00562410"/>
    <w:rsid w:val="00562725"/>
    <w:rsid w:val="00563B48"/>
    <w:rsid w:val="00563DCD"/>
    <w:rsid w:val="005663FA"/>
    <w:rsid w:val="00566EC0"/>
    <w:rsid w:val="00567474"/>
    <w:rsid w:val="00567F16"/>
    <w:rsid w:val="00570216"/>
    <w:rsid w:val="00571371"/>
    <w:rsid w:val="00571A98"/>
    <w:rsid w:val="00571C54"/>
    <w:rsid w:val="005747B1"/>
    <w:rsid w:val="00574A0D"/>
    <w:rsid w:val="005754AB"/>
    <w:rsid w:val="00575C48"/>
    <w:rsid w:val="00576444"/>
    <w:rsid w:val="00580ED2"/>
    <w:rsid w:val="005810FC"/>
    <w:rsid w:val="00581CFB"/>
    <w:rsid w:val="005826F4"/>
    <w:rsid w:val="00582E9D"/>
    <w:rsid w:val="00583390"/>
    <w:rsid w:val="0058369E"/>
    <w:rsid w:val="00585395"/>
    <w:rsid w:val="005873C4"/>
    <w:rsid w:val="00590D09"/>
    <w:rsid w:val="0059156A"/>
    <w:rsid w:val="00593314"/>
    <w:rsid w:val="0059368E"/>
    <w:rsid w:val="00593BF5"/>
    <w:rsid w:val="00594496"/>
    <w:rsid w:val="005956D3"/>
    <w:rsid w:val="00596365"/>
    <w:rsid w:val="0059652D"/>
    <w:rsid w:val="005965BC"/>
    <w:rsid w:val="005A2BDC"/>
    <w:rsid w:val="005A2E7E"/>
    <w:rsid w:val="005A35F6"/>
    <w:rsid w:val="005A3631"/>
    <w:rsid w:val="005A5C41"/>
    <w:rsid w:val="005A7642"/>
    <w:rsid w:val="005A7E78"/>
    <w:rsid w:val="005B03ED"/>
    <w:rsid w:val="005B1776"/>
    <w:rsid w:val="005B1BA3"/>
    <w:rsid w:val="005B32FB"/>
    <w:rsid w:val="005B478B"/>
    <w:rsid w:val="005B6C52"/>
    <w:rsid w:val="005B7FE4"/>
    <w:rsid w:val="005C044B"/>
    <w:rsid w:val="005C05E0"/>
    <w:rsid w:val="005C09E8"/>
    <w:rsid w:val="005C11C1"/>
    <w:rsid w:val="005C37E0"/>
    <w:rsid w:val="005C42F3"/>
    <w:rsid w:val="005C4E80"/>
    <w:rsid w:val="005C54B9"/>
    <w:rsid w:val="005C5A1C"/>
    <w:rsid w:val="005C610A"/>
    <w:rsid w:val="005C62B8"/>
    <w:rsid w:val="005C6618"/>
    <w:rsid w:val="005D0189"/>
    <w:rsid w:val="005D1863"/>
    <w:rsid w:val="005D5D1F"/>
    <w:rsid w:val="005D6023"/>
    <w:rsid w:val="005D677D"/>
    <w:rsid w:val="005D6B66"/>
    <w:rsid w:val="005E0D6B"/>
    <w:rsid w:val="005E1F36"/>
    <w:rsid w:val="005E3313"/>
    <w:rsid w:val="005E4470"/>
    <w:rsid w:val="005E47A6"/>
    <w:rsid w:val="005E5794"/>
    <w:rsid w:val="005E68CC"/>
    <w:rsid w:val="005E6B2F"/>
    <w:rsid w:val="005F2AAC"/>
    <w:rsid w:val="005F46D5"/>
    <w:rsid w:val="005F5F9D"/>
    <w:rsid w:val="005F7D3C"/>
    <w:rsid w:val="0060022C"/>
    <w:rsid w:val="00600562"/>
    <w:rsid w:val="00600A4C"/>
    <w:rsid w:val="0060183D"/>
    <w:rsid w:val="00603F8F"/>
    <w:rsid w:val="00603FD5"/>
    <w:rsid w:val="006064DB"/>
    <w:rsid w:val="00606B45"/>
    <w:rsid w:val="0060792B"/>
    <w:rsid w:val="00607F03"/>
    <w:rsid w:val="0061040D"/>
    <w:rsid w:val="00610627"/>
    <w:rsid w:val="00610F6C"/>
    <w:rsid w:val="006146FB"/>
    <w:rsid w:val="00614F7C"/>
    <w:rsid w:val="00614FA6"/>
    <w:rsid w:val="0061667C"/>
    <w:rsid w:val="006166C1"/>
    <w:rsid w:val="00616D4A"/>
    <w:rsid w:val="00616DC8"/>
    <w:rsid w:val="00620071"/>
    <w:rsid w:val="00620548"/>
    <w:rsid w:val="006222A3"/>
    <w:rsid w:val="00623D29"/>
    <w:rsid w:val="00624838"/>
    <w:rsid w:val="00624B90"/>
    <w:rsid w:val="0062627C"/>
    <w:rsid w:val="00627409"/>
    <w:rsid w:val="00630B60"/>
    <w:rsid w:val="00630D8B"/>
    <w:rsid w:val="00630F02"/>
    <w:rsid w:val="00631205"/>
    <w:rsid w:val="00631B10"/>
    <w:rsid w:val="006335FE"/>
    <w:rsid w:val="00634668"/>
    <w:rsid w:val="00635E9C"/>
    <w:rsid w:val="0064086C"/>
    <w:rsid w:val="00641995"/>
    <w:rsid w:val="00642637"/>
    <w:rsid w:val="006432BC"/>
    <w:rsid w:val="00643B73"/>
    <w:rsid w:val="0064590D"/>
    <w:rsid w:val="006464BE"/>
    <w:rsid w:val="00646EC6"/>
    <w:rsid w:val="006475BD"/>
    <w:rsid w:val="00650CDC"/>
    <w:rsid w:val="006527FF"/>
    <w:rsid w:val="00656A8A"/>
    <w:rsid w:val="0065743A"/>
    <w:rsid w:val="00660471"/>
    <w:rsid w:val="00660FC2"/>
    <w:rsid w:val="00662209"/>
    <w:rsid w:val="00662E9D"/>
    <w:rsid w:val="00663BDB"/>
    <w:rsid w:val="006640EC"/>
    <w:rsid w:val="00665D98"/>
    <w:rsid w:val="00665FBA"/>
    <w:rsid w:val="00671D8E"/>
    <w:rsid w:val="0067237B"/>
    <w:rsid w:val="0067242C"/>
    <w:rsid w:val="006734D4"/>
    <w:rsid w:val="00673879"/>
    <w:rsid w:val="00674DDD"/>
    <w:rsid w:val="00681434"/>
    <w:rsid w:val="00681884"/>
    <w:rsid w:val="00682C29"/>
    <w:rsid w:val="006860C3"/>
    <w:rsid w:val="0068724F"/>
    <w:rsid w:val="0068736B"/>
    <w:rsid w:val="0068742D"/>
    <w:rsid w:val="00687C42"/>
    <w:rsid w:val="006914FF"/>
    <w:rsid w:val="0069269D"/>
    <w:rsid w:val="00692C42"/>
    <w:rsid w:val="006935DE"/>
    <w:rsid w:val="00697188"/>
    <w:rsid w:val="006A1DEF"/>
    <w:rsid w:val="006A213B"/>
    <w:rsid w:val="006A32D7"/>
    <w:rsid w:val="006A3A3C"/>
    <w:rsid w:val="006A41E6"/>
    <w:rsid w:val="006A5D5A"/>
    <w:rsid w:val="006A7069"/>
    <w:rsid w:val="006A76F5"/>
    <w:rsid w:val="006A7A67"/>
    <w:rsid w:val="006B01DD"/>
    <w:rsid w:val="006B0BA8"/>
    <w:rsid w:val="006B2779"/>
    <w:rsid w:val="006B4086"/>
    <w:rsid w:val="006B469D"/>
    <w:rsid w:val="006B7518"/>
    <w:rsid w:val="006C2603"/>
    <w:rsid w:val="006C36D5"/>
    <w:rsid w:val="006C42D6"/>
    <w:rsid w:val="006C4416"/>
    <w:rsid w:val="006C45D6"/>
    <w:rsid w:val="006C4AF4"/>
    <w:rsid w:val="006C4B34"/>
    <w:rsid w:val="006C4C82"/>
    <w:rsid w:val="006C5526"/>
    <w:rsid w:val="006C56A3"/>
    <w:rsid w:val="006C56B7"/>
    <w:rsid w:val="006C7EA1"/>
    <w:rsid w:val="006D0350"/>
    <w:rsid w:val="006D095B"/>
    <w:rsid w:val="006D12EB"/>
    <w:rsid w:val="006D1320"/>
    <w:rsid w:val="006D1D76"/>
    <w:rsid w:val="006D3F2F"/>
    <w:rsid w:val="006D4F09"/>
    <w:rsid w:val="006D5C4D"/>
    <w:rsid w:val="006D5F4F"/>
    <w:rsid w:val="006D6794"/>
    <w:rsid w:val="006D69A6"/>
    <w:rsid w:val="006D7828"/>
    <w:rsid w:val="006E3536"/>
    <w:rsid w:val="006E4D88"/>
    <w:rsid w:val="006E4F87"/>
    <w:rsid w:val="006F185E"/>
    <w:rsid w:val="006F1CC4"/>
    <w:rsid w:val="006F2472"/>
    <w:rsid w:val="006F2BE5"/>
    <w:rsid w:val="006F3934"/>
    <w:rsid w:val="006F5FC3"/>
    <w:rsid w:val="006F61E1"/>
    <w:rsid w:val="0070017A"/>
    <w:rsid w:val="00700D7C"/>
    <w:rsid w:val="00700DBC"/>
    <w:rsid w:val="00701100"/>
    <w:rsid w:val="007021FF"/>
    <w:rsid w:val="00702C9D"/>
    <w:rsid w:val="007049E3"/>
    <w:rsid w:val="00704C9B"/>
    <w:rsid w:val="0070553D"/>
    <w:rsid w:val="00705807"/>
    <w:rsid w:val="00706DBB"/>
    <w:rsid w:val="00707D19"/>
    <w:rsid w:val="00707FA7"/>
    <w:rsid w:val="00710AB7"/>
    <w:rsid w:val="0071136C"/>
    <w:rsid w:val="00712BAB"/>
    <w:rsid w:val="0071364A"/>
    <w:rsid w:val="00714467"/>
    <w:rsid w:val="00714488"/>
    <w:rsid w:val="00715728"/>
    <w:rsid w:val="007158C6"/>
    <w:rsid w:val="00720507"/>
    <w:rsid w:val="0072052F"/>
    <w:rsid w:val="00720731"/>
    <w:rsid w:val="0072145D"/>
    <w:rsid w:val="007215EF"/>
    <w:rsid w:val="00724C71"/>
    <w:rsid w:val="007301C9"/>
    <w:rsid w:val="0073064A"/>
    <w:rsid w:val="00730CE0"/>
    <w:rsid w:val="007310AC"/>
    <w:rsid w:val="0073148B"/>
    <w:rsid w:val="007322B1"/>
    <w:rsid w:val="0073290E"/>
    <w:rsid w:val="007359F9"/>
    <w:rsid w:val="007373F6"/>
    <w:rsid w:val="00737924"/>
    <w:rsid w:val="00740804"/>
    <w:rsid w:val="00740E4A"/>
    <w:rsid w:val="007410AC"/>
    <w:rsid w:val="00742282"/>
    <w:rsid w:val="007428C1"/>
    <w:rsid w:val="00742F0D"/>
    <w:rsid w:val="00743548"/>
    <w:rsid w:val="00744120"/>
    <w:rsid w:val="007457EE"/>
    <w:rsid w:val="0075253E"/>
    <w:rsid w:val="0075386F"/>
    <w:rsid w:val="00754775"/>
    <w:rsid w:val="00760005"/>
    <w:rsid w:val="00760304"/>
    <w:rsid w:val="00760E1B"/>
    <w:rsid w:val="00762406"/>
    <w:rsid w:val="007624FE"/>
    <w:rsid w:val="00762F69"/>
    <w:rsid w:val="007634E9"/>
    <w:rsid w:val="007647B5"/>
    <w:rsid w:val="00764FE1"/>
    <w:rsid w:val="0076591D"/>
    <w:rsid w:val="00766470"/>
    <w:rsid w:val="007669DE"/>
    <w:rsid w:val="00767EAE"/>
    <w:rsid w:val="00767F85"/>
    <w:rsid w:val="00767FA4"/>
    <w:rsid w:val="00770B1D"/>
    <w:rsid w:val="00770DB0"/>
    <w:rsid w:val="00771315"/>
    <w:rsid w:val="0077298A"/>
    <w:rsid w:val="00772EF8"/>
    <w:rsid w:val="00773198"/>
    <w:rsid w:val="00773EA9"/>
    <w:rsid w:val="007744DC"/>
    <w:rsid w:val="00774681"/>
    <w:rsid w:val="00774747"/>
    <w:rsid w:val="00775165"/>
    <w:rsid w:val="00777284"/>
    <w:rsid w:val="0077753D"/>
    <w:rsid w:val="00782109"/>
    <w:rsid w:val="0078258E"/>
    <w:rsid w:val="0078289D"/>
    <w:rsid w:val="00783453"/>
    <w:rsid w:val="00783706"/>
    <w:rsid w:val="007849F5"/>
    <w:rsid w:val="0078533C"/>
    <w:rsid w:val="0078587C"/>
    <w:rsid w:val="00785F29"/>
    <w:rsid w:val="007862F9"/>
    <w:rsid w:val="00787868"/>
    <w:rsid w:val="007879A6"/>
    <w:rsid w:val="00792D34"/>
    <w:rsid w:val="00794C1F"/>
    <w:rsid w:val="007977D9"/>
    <w:rsid w:val="007A0363"/>
    <w:rsid w:val="007A03B2"/>
    <w:rsid w:val="007A15FE"/>
    <w:rsid w:val="007A1BE9"/>
    <w:rsid w:val="007A2A2A"/>
    <w:rsid w:val="007A3F52"/>
    <w:rsid w:val="007A4C23"/>
    <w:rsid w:val="007A7E7B"/>
    <w:rsid w:val="007B00FB"/>
    <w:rsid w:val="007B0821"/>
    <w:rsid w:val="007B5372"/>
    <w:rsid w:val="007B6605"/>
    <w:rsid w:val="007C0419"/>
    <w:rsid w:val="007C09C9"/>
    <w:rsid w:val="007C19D9"/>
    <w:rsid w:val="007C3475"/>
    <w:rsid w:val="007C3766"/>
    <w:rsid w:val="007C475F"/>
    <w:rsid w:val="007C5D13"/>
    <w:rsid w:val="007C748B"/>
    <w:rsid w:val="007D1569"/>
    <w:rsid w:val="007D25EB"/>
    <w:rsid w:val="007D3D58"/>
    <w:rsid w:val="007D411A"/>
    <w:rsid w:val="007D46C3"/>
    <w:rsid w:val="007D477A"/>
    <w:rsid w:val="007D55B0"/>
    <w:rsid w:val="007D6B94"/>
    <w:rsid w:val="007D76E3"/>
    <w:rsid w:val="007E113A"/>
    <w:rsid w:val="007E121C"/>
    <w:rsid w:val="007E1A38"/>
    <w:rsid w:val="007E1B05"/>
    <w:rsid w:val="007E374D"/>
    <w:rsid w:val="007E3F62"/>
    <w:rsid w:val="007E4273"/>
    <w:rsid w:val="007E583E"/>
    <w:rsid w:val="007E6862"/>
    <w:rsid w:val="007E712A"/>
    <w:rsid w:val="007F3690"/>
    <w:rsid w:val="007F547B"/>
    <w:rsid w:val="007F68EF"/>
    <w:rsid w:val="007F75B8"/>
    <w:rsid w:val="00800111"/>
    <w:rsid w:val="008017BC"/>
    <w:rsid w:val="00801E30"/>
    <w:rsid w:val="00802A73"/>
    <w:rsid w:val="008031B7"/>
    <w:rsid w:val="0080322B"/>
    <w:rsid w:val="008035C3"/>
    <w:rsid w:val="00803F26"/>
    <w:rsid w:val="00804B8B"/>
    <w:rsid w:val="00804C62"/>
    <w:rsid w:val="00806F63"/>
    <w:rsid w:val="00807003"/>
    <w:rsid w:val="00807375"/>
    <w:rsid w:val="00807F06"/>
    <w:rsid w:val="00810E28"/>
    <w:rsid w:val="00811196"/>
    <w:rsid w:val="00812146"/>
    <w:rsid w:val="008137F5"/>
    <w:rsid w:val="00813DDA"/>
    <w:rsid w:val="0081533C"/>
    <w:rsid w:val="00815A57"/>
    <w:rsid w:val="008161D7"/>
    <w:rsid w:val="00820661"/>
    <w:rsid w:val="00820CA0"/>
    <w:rsid w:val="00822D92"/>
    <w:rsid w:val="00823CC7"/>
    <w:rsid w:val="00824346"/>
    <w:rsid w:val="0082437F"/>
    <w:rsid w:val="00825D74"/>
    <w:rsid w:val="00826151"/>
    <w:rsid w:val="00826417"/>
    <w:rsid w:val="00826908"/>
    <w:rsid w:val="00826A73"/>
    <w:rsid w:val="00827CD8"/>
    <w:rsid w:val="00831FF4"/>
    <w:rsid w:val="00832531"/>
    <w:rsid w:val="0083428E"/>
    <w:rsid w:val="00834C81"/>
    <w:rsid w:val="00836262"/>
    <w:rsid w:val="00836E3A"/>
    <w:rsid w:val="00837210"/>
    <w:rsid w:val="0084035E"/>
    <w:rsid w:val="00841F36"/>
    <w:rsid w:val="0084238D"/>
    <w:rsid w:val="008423EB"/>
    <w:rsid w:val="00843CF6"/>
    <w:rsid w:val="0084402E"/>
    <w:rsid w:val="00845781"/>
    <w:rsid w:val="0084719E"/>
    <w:rsid w:val="008472B8"/>
    <w:rsid w:val="0084795E"/>
    <w:rsid w:val="008513CB"/>
    <w:rsid w:val="008529A2"/>
    <w:rsid w:val="00853C50"/>
    <w:rsid w:val="0085439B"/>
    <w:rsid w:val="00854402"/>
    <w:rsid w:val="00856272"/>
    <w:rsid w:val="00856BD6"/>
    <w:rsid w:val="008579B4"/>
    <w:rsid w:val="00862F26"/>
    <w:rsid w:val="0086505A"/>
    <w:rsid w:val="00865FCE"/>
    <w:rsid w:val="008670D7"/>
    <w:rsid w:val="00871A6C"/>
    <w:rsid w:val="00872A6F"/>
    <w:rsid w:val="00873DEB"/>
    <w:rsid w:val="008750B5"/>
    <w:rsid w:val="00875CCB"/>
    <w:rsid w:val="00877A6F"/>
    <w:rsid w:val="00880612"/>
    <w:rsid w:val="00881CBA"/>
    <w:rsid w:val="00881D48"/>
    <w:rsid w:val="008833F3"/>
    <w:rsid w:val="00884B08"/>
    <w:rsid w:val="00884C22"/>
    <w:rsid w:val="00885799"/>
    <w:rsid w:val="0088718D"/>
    <w:rsid w:val="008914E4"/>
    <w:rsid w:val="00892057"/>
    <w:rsid w:val="0089449B"/>
    <w:rsid w:val="00894B1E"/>
    <w:rsid w:val="008957C7"/>
    <w:rsid w:val="008975F5"/>
    <w:rsid w:val="00897793"/>
    <w:rsid w:val="008A012E"/>
    <w:rsid w:val="008A1632"/>
    <w:rsid w:val="008A1C36"/>
    <w:rsid w:val="008A1C99"/>
    <w:rsid w:val="008A2036"/>
    <w:rsid w:val="008A2FAE"/>
    <w:rsid w:val="008A5BD6"/>
    <w:rsid w:val="008A6F83"/>
    <w:rsid w:val="008B05C3"/>
    <w:rsid w:val="008B0984"/>
    <w:rsid w:val="008B0B58"/>
    <w:rsid w:val="008B0BE7"/>
    <w:rsid w:val="008B155C"/>
    <w:rsid w:val="008B2473"/>
    <w:rsid w:val="008B3222"/>
    <w:rsid w:val="008B3829"/>
    <w:rsid w:val="008B4965"/>
    <w:rsid w:val="008B611C"/>
    <w:rsid w:val="008B78B1"/>
    <w:rsid w:val="008C0131"/>
    <w:rsid w:val="008C05F7"/>
    <w:rsid w:val="008C159E"/>
    <w:rsid w:val="008C1C8B"/>
    <w:rsid w:val="008C1CCF"/>
    <w:rsid w:val="008C2C31"/>
    <w:rsid w:val="008C2CA2"/>
    <w:rsid w:val="008C472B"/>
    <w:rsid w:val="008C4B88"/>
    <w:rsid w:val="008C663F"/>
    <w:rsid w:val="008D1844"/>
    <w:rsid w:val="008D19FD"/>
    <w:rsid w:val="008D1ABD"/>
    <w:rsid w:val="008D2C58"/>
    <w:rsid w:val="008D2D71"/>
    <w:rsid w:val="008D3A0D"/>
    <w:rsid w:val="008D4275"/>
    <w:rsid w:val="008D4589"/>
    <w:rsid w:val="008D4A98"/>
    <w:rsid w:val="008D4E7B"/>
    <w:rsid w:val="008D53AA"/>
    <w:rsid w:val="008D5444"/>
    <w:rsid w:val="008D6AD6"/>
    <w:rsid w:val="008D7D89"/>
    <w:rsid w:val="008E25D6"/>
    <w:rsid w:val="008E3F5E"/>
    <w:rsid w:val="008E4721"/>
    <w:rsid w:val="008E4A67"/>
    <w:rsid w:val="008E6468"/>
    <w:rsid w:val="008E64C7"/>
    <w:rsid w:val="008E766B"/>
    <w:rsid w:val="008E7BD4"/>
    <w:rsid w:val="008E7E30"/>
    <w:rsid w:val="008F0252"/>
    <w:rsid w:val="008F048E"/>
    <w:rsid w:val="008F065C"/>
    <w:rsid w:val="008F0A95"/>
    <w:rsid w:val="008F0E2E"/>
    <w:rsid w:val="008F40CC"/>
    <w:rsid w:val="008F4C89"/>
    <w:rsid w:val="008F5354"/>
    <w:rsid w:val="008F567D"/>
    <w:rsid w:val="008F6884"/>
    <w:rsid w:val="008F6C45"/>
    <w:rsid w:val="008F6F1A"/>
    <w:rsid w:val="008F7897"/>
    <w:rsid w:val="0090137A"/>
    <w:rsid w:val="009014DE"/>
    <w:rsid w:val="00901D5F"/>
    <w:rsid w:val="00903370"/>
    <w:rsid w:val="00903F50"/>
    <w:rsid w:val="00904A04"/>
    <w:rsid w:val="00905BEA"/>
    <w:rsid w:val="0091063F"/>
    <w:rsid w:val="00911137"/>
    <w:rsid w:val="009111D8"/>
    <w:rsid w:val="00911D1C"/>
    <w:rsid w:val="0091221C"/>
    <w:rsid w:val="009122FA"/>
    <w:rsid w:val="0091349A"/>
    <w:rsid w:val="009139DC"/>
    <w:rsid w:val="00914182"/>
    <w:rsid w:val="00914399"/>
    <w:rsid w:val="0091530C"/>
    <w:rsid w:val="00915792"/>
    <w:rsid w:val="009158BF"/>
    <w:rsid w:val="00920988"/>
    <w:rsid w:val="0092492F"/>
    <w:rsid w:val="00924DD1"/>
    <w:rsid w:val="009264AB"/>
    <w:rsid w:val="00930F8E"/>
    <w:rsid w:val="009323AC"/>
    <w:rsid w:val="009327C2"/>
    <w:rsid w:val="00932E65"/>
    <w:rsid w:val="009330C1"/>
    <w:rsid w:val="00933C9B"/>
    <w:rsid w:val="00933E08"/>
    <w:rsid w:val="00933F22"/>
    <w:rsid w:val="009342FC"/>
    <w:rsid w:val="0093503B"/>
    <w:rsid w:val="00935A6A"/>
    <w:rsid w:val="00936068"/>
    <w:rsid w:val="009376C7"/>
    <w:rsid w:val="009376D8"/>
    <w:rsid w:val="00937B5C"/>
    <w:rsid w:val="00937BCA"/>
    <w:rsid w:val="00937E05"/>
    <w:rsid w:val="00941664"/>
    <w:rsid w:val="00942551"/>
    <w:rsid w:val="00942FB4"/>
    <w:rsid w:val="009430DE"/>
    <w:rsid w:val="00943806"/>
    <w:rsid w:val="00944CD4"/>
    <w:rsid w:val="0094571B"/>
    <w:rsid w:val="00946351"/>
    <w:rsid w:val="00947D67"/>
    <w:rsid w:val="00950384"/>
    <w:rsid w:val="00950D22"/>
    <w:rsid w:val="0095129D"/>
    <w:rsid w:val="00951613"/>
    <w:rsid w:val="009517CC"/>
    <w:rsid w:val="0095215B"/>
    <w:rsid w:val="00952951"/>
    <w:rsid w:val="00953EC7"/>
    <w:rsid w:val="00954626"/>
    <w:rsid w:val="00954941"/>
    <w:rsid w:val="009551BE"/>
    <w:rsid w:val="00960524"/>
    <w:rsid w:val="009615D4"/>
    <w:rsid w:val="00962163"/>
    <w:rsid w:val="00962905"/>
    <w:rsid w:val="00962C36"/>
    <w:rsid w:val="00964EE8"/>
    <w:rsid w:val="00967544"/>
    <w:rsid w:val="00970A20"/>
    <w:rsid w:val="0097163D"/>
    <w:rsid w:val="009721F8"/>
    <w:rsid w:val="00974677"/>
    <w:rsid w:val="00976023"/>
    <w:rsid w:val="009769E6"/>
    <w:rsid w:val="00977673"/>
    <w:rsid w:val="00977A11"/>
    <w:rsid w:val="00980461"/>
    <w:rsid w:val="009814A1"/>
    <w:rsid w:val="00981E62"/>
    <w:rsid w:val="0098210D"/>
    <w:rsid w:val="0098393C"/>
    <w:rsid w:val="009864AF"/>
    <w:rsid w:val="00987D41"/>
    <w:rsid w:val="0099014E"/>
    <w:rsid w:val="009901F4"/>
    <w:rsid w:val="0099172E"/>
    <w:rsid w:val="0099257A"/>
    <w:rsid w:val="00992857"/>
    <w:rsid w:val="00992BB4"/>
    <w:rsid w:val="009934BE"/>
    <w:rsid w:val="00994B9E"/>
    <w:rsid w:val="009953D1"/>
    <w:rsid w:val="009969C3"/>
    <w:rsid w:val="009973DF"/>
    <w:rsid w:val="009A2328"/>
    <w:rsid w:val="009A2F17"/>
    <w:rsid w:val="009A3BCE"/>
    <w:rsid w:val="009A3C2B"/>
    <w:rsid w:val="009A41E5"/>
    <w:rsid w:val="009A4A9E"/>
    <w:rsid w:val="009A5A46"/>
    <w:rsid w:val="009A5C21"/>
    <w:rsid w:val="009A6083"/>
    <w:rsid w:val="009B2540"/>
    <w:rsid w:val="009B26D3"/>
    <w:rsid w:val="009B28EA"/>
    <w:rsid w:val="009B4A09"/>
    <w:rsid w:val="009B4B31"/>
    <w:rsid w:val="009B5547"/>
    <w:rsid w:val="009B5BE8"/>
    <w:rsid w:val="009C01E7"/>
    <w:rsid w:val="009C2031"/>
    <w:rsid w:val="009C4189"/>
    <w:rsid w:val="009C4297"/>
    <w:rsid w:val="009C5418"/>
    <w:rsid w:val="009C54C4"/>
    <w:rsid w:val="009C6075"/>
    <w:rsid w:val="009D1DD0"/>
    <w:rsid w:val="009D24F5"/>
    <w:rsid w:val="009D32DD"/>
    <w:rsid w:val="009D3955"/>
    <w:rsid w:val="009D3D47"/>
    <w:rsid w:val="009D5327"/>
    <w:rsid w:val="009D7BC3"/>
    <w:rsid w:val="009E0644"/>
    <w:rsid w:val="009E069E"/>
    <w:rsid w:val="009E0AEE"/>
    <w:rsid w:val="009E19A3"/>
    <w:rsid w:val="009E299D"/>
    <w:rsid w:val="009E2BF5"/>
    <w:rsid w:val="009E422E"/>
    <w:rsid w:val="009E4DC0"/>
    <w:rsid w:val="009E5FEF"/>
    <w:rsid w:val="009E61A8"/>
    <w:rsid w:val="009F179A"/>
    <w:rsid w:val="009F3A5D"/>
    <w:rsid w:val="009F4137"/>
    <w:rsid w:val="009F4D31"/>
    <w:rsid w:val="009F5913"/>
    <w:rsid w:val="009F706C"/>
    <w:rsid w:val="009F76D1"/>
    <w:rsid w:val="009F7CEC"/>
    <w:rsid w:val="009F7E22"/>
    <w:rsid w:val="00A00589"/>
    <w:rsid w:val="00A017BA"/>
    <w:rsid w:val="00A03088"/>
    <w:rsid w:val="00A0757A"/>
    <w:rsid w:val="00A1123E"/>
    <w:rsid w:val="00A128B7"/>
    <w:rsid w:val="00A12F64"/>
    <w:rsid w:val="00A13664"/>
    <w:rsid w:val="00A1398A"/>
    <w:rsid w:val="00A158A4"/>
    <w:rsid w:val="00A15CE7"/>
    <w:rsid w:val="00A21D3A"/>
    <w:rsid w:val="00A2204F"/>
    <w:rsid w:val="00A2319C"/>
    <w:rsid w:val="00A25CB0"/>
    <w:rsid w:val="00A265F6"/>
    <w:rsid w:val="00A30622"/>
    <w:rsid w:val="00A30D22"/>
    <w:rsid w:val="00A30F5D"/>
    <w:rsid w:val="00A32DC2"/>
    <w:rsid w:val="00A34BB4"/>
    <w:rsid w:val="00A350BF"/>
    <w:rsid w:val="00A35137"/>
    <w:rsid w:val="00A36E33"/>
    <w:rsid w:val="00A37DC7"/>
    <w:rsid w:val="00A4053C"/>
    <w:rsid w:val="00A416AD"/>
    <w:rsid w:val="00A42416"/>
    <w:rsid w:val="00A4260F"/>
    <w:rsid w:val="00A42E70"/>
    <w:rsid w:val="00A44DE4"/>
    <w:rsid w:val="00A46FE9"/>
    <w:rsid w:val="00A471AE"/>
    <w:rsid w:val="00A47422"/>
    <w:rsid w:val="00A47AE3"/>
    <w:rsid w:val="00A50CD9"/>
    <w:rsid w:val="00A51374"/>
    <w:rsid w:val="00A514BD"/>
    <w:rsid w:val="00A520F1"/>
    <w:rsid w:val="00A528A6"/>
    <w:rsid w:val="00A52B33"/>
    <w:rsid w:val="00A530EC"/>
    <w:rsid w:val="00A53114"/>
    <w:rsid w:val="00A53455"/>
    <w:rsid w:val="00A53499"/>
    <w:rsid w:val="00A538E2"/>
    <w:rsid w:val="00A5529A"/>
    <w:rsid w:val="00A5703F"/>
    <w:rsid w:val="00A57740"/>
    <w:rsid w:val="00A578B7"/>
    <w:rsid w:val="00A57F31"/>
    <w:rsid w:val="00A60395"/>
    <w:rsid w:val="00A62BEB"/>
    <w:rsid w:val="00A630F1"/>
    <w:rsid w:val="00A64881"/>
    <w:rsid w:val="00A64DE4"/>
    <w:rsid w:val="00A6537C"/>
    <w:rsid w:val="00A65D86"/>
    <w:rsid w:val="00A65DCB"/>
    <w:rsid w:val="00A668D5"/>
    <w:rsid w:val="00A6729E"/>
    <w:rsid w:val="00A67332"/>
    <w:rsid w:val="00A6739D"/>
    <w:rsid w:val="00A678D7"/>
    <w:rsid w:val="00A72D66"/>
    <w:rsid w:val="00A72E08"/>
    <w:rsid w:val="00A75DCB"/>
    <w:rsid w:val="00A803D4"/>
    <w:rsid w:val="00A80DF4"/>
    <w:rsid w:val="00A8183A"/>
    <w:rsid w:val="00A8201E"/>
    <w:rsid w:val="00A83BBB"/>
    <w:rsid w:val="00A84591"/>
    <w:rsid w:val="00A86051"/>
    <w:rsid w:val="00A8625F"/>
    <w:rsid w:val="00A87AB4"/>
    <w:rsid w:val="00A87B0D"/>
    <w:rsid w:val="00A87D2A"/>
    <w:rsid w:val="00A90151"/>
    <w:rsid w:val="00A90256"/>
    <w:rsid w:val="00A9072B"/>
    <w:rsid w:val="00A90AA1"/>
    <w:rsid w:val="00A91551"/>
    <w:rsid w:val="00A923C7"/>
    <w:rsid w:val="00A9359B"/>
    <w:rsid w:val="00A95445"/>
    <w:rsid w:val="00A9545C"/>
    <w:rsid w:val="00A958D1"/>
    <w:rsid w:val="00A963A2"/>
    <w:rsid w:val="00A96E28"/>
    <w:rsid w:val="00A970A6"/>
    <w:rsid w:val="00A97CE6"/>
    <w:rsid w:val="00AA0AF4"/>
    <w:rsid w:val="00AA163B"/>
    <w:rsid w:val="00AA1BE2"/>
    <w:rsid w:val="00AA224D"/>
    <w:rsid w:val="00AA3569"/>
    <w:rsid w:val="00AB07D1"/>
    <w:rsid w:val="00AB0EF7"/>
    <w:rsid w:val="00AB10F4"/>
    <w:rsid w:val="00AB1E85"/>
    <w:rsid w:val="00AB2835"/>
    <w:rsid w:val="00AB2D17"/>
    <w:rsid w:val="00AB34AD"/>
    <w:rsid w:val="00AB46E2"/>
    <w:rsid w:val="00AB6E3E"/>
    <w:rsid w:val="00AB7B8D"/>
    <w:rsid w:val="00AC007B"/>
    <w:rsid w:val="00AC06B1"/>
    <w:rsid w:val="00AC134E"/>
    <w:rsid w:val="00AC3C98"/>
    <w:rsid w:val="00AC4F7C"/>
    <w:rsid w:val="00AC56E6"/>
    <w:rsid w:val="00AC587D"/>
    <w:rsid w:val="00AD00CE"/>
    <w:rsid w:val="00AD1017"/>
    <w:rsid w:val="00AD1AA2"/>
    <w:rsid w:val="00AD26C3"/>
    <w:rsid w:val="00AD307A"/>
    <w:rsid w:val="00AD756D"/>
    <w:rsid w:val="00AD7A30"/>
    <w:rsid w:val="00AE0F62"/>
    <w:rsid w:val="00AE13F9"/>
    <w:rsid w:val="00AE1B35"/>
    <w:rsid w:val="00AE1BCF"/>
    <w:rsid w:val="00AE22EE"/>
    <w:rsid w:val="00AE30E2"/>
    <w:rsid w:val="00AE33F2"/>
    <w:rsid w:val="00AE528A"/>
    <w:rsid w:val="00AE714D"/>
    <w:rsid w:val="00AE7164"/>
    <w:rsid w:val="00AE71F5"/>
    <w:rsid w:val="00AF1B9A"/>
    <w:rsid w:val="00AF28A2"/>
    <w:rsid w:val="00AF3BD9"/>
    <w:rsid w:val="00AF479F"/>
    <w:rsid w:val="00B00F84"/>
    <w:rsid w:val="00B021F0"/>
    <w:rsid w:val="00B044BC"/>
    <w:rsid w:val="00B04D49"/>
    <w:rsid w:val="00B04F92"/>
    <w:rsid w:val="00B05141"/>
    <w:rsid w:val="00B05A3E"/>
    <w:rsid w:val="00B06627"/>
    <w:rsid w:val="00B07789"/>
    <w:rsid w:val="00B07FFD"/>
    <w:rsid w:val="00B10CCE"/>
    <w:rsid w:val="00B10D81"/>
    <w:rsid w:val="00B11426"/>
    <w:rsid w:val="00B11F80"/>
    <w:rsid w:val="00B1392B"/>
    <w:rsid w:val="00B20444"/>
    <w:rsid w:val="00B205D4"/>
    <w:rsid w:val="00B20C6E"/>
    <w:rsid w:val="00B21D35"/>
    <w:rsid w:val="00B23258"/>
    <w:rsid w:val="00B23603"/>
    <w:rsid w:val="00B264F7"/>
    <w:rsid w:val="00B302FA"/>
    <w:rsid w:val="00B303EB"/>
    <w:rsid w:val="00B30D0A"/>
    <w:rsid w:val="00B31BBA"/>
    <w:rsid w:val="00B3210D"/>
    <w:rsid w:val="00B32B90"/>
    <w:rsid w:val="00B32D6C"/>
    <w:rsid w:val="00B3313B"/>
    <w:rsid w:val="00B34048"/>
    <w:rsid w:val="00B34683"/>
    <w:rsid w:val="00B3749D"/>
    <w:rsid w:val="00B4070E"/>
    <w:rsid w:val="00B40E56"/>
    <w:rsid w:val="00B41693"/>
    <w:rsid w:val="00B42FAA"/>
    <w:rsid w:val="00B443CC"/>
    <w:rsid w:val="00B44E03"/>
    <w:rsid w:val="00B450B7"/>
    <w:rsid w:val="00B5068F"/>
    <w:rsid w:val="00B52146"/>
    <w:rsid w:val="00B5605B"/>
    <w:rsid w:val="00B560C1"/>
    <w:rsid w:val="00B577D3"/>
    <w:rsid w:val="00B601EF"/>
    <w:rsid w:val="00B620A4"/>
    <w:rsid w:val="00B62435"/>
    <w:rsid w:val="00B640DC"/>
    <w:rsid w:val="00B65DAA"/>
    <w:rsid w:val="00B66B2F"/>
    <w:rsid w:val="00B7031C"/>
    <w:rsid w:val="00B70906"/>
    <w:rsid w:val="00B71497"/>
    <w:rsid w:val="00B71509"/>
    <w:rsid w:val="00B720EC"/>
    <w:rsid w:val="00B73B53"/>
    <w:rsid w:val="00B74F7F"/>
    <w:rsid w:val="00B75B08"/>
    <w:rsid w:val="00B76368"/>
    <w:rsid w:val="00B7663C"/>
    <w:rsid w:val="00B76EEB"/>
    <w:rsid w:val="00B77336"/>
    <w:rsid w:val="00B8022D"/>
    <w:rsid w:val="00B80775"/>
    <w:rsid w:val="00B8091D"/>
    <w:rsid w:val="00B8112F"/>
    <w:rsid w:val="00B81A0F"/>
    <w:rsid w:val="00B8274B"/>
    <w:rsid w:val="00B84869"/>
    <w:rsid w:val="00B851E7"/>
    <w:rsid w:val="00B86607"/>
    <w:rsid w:val="00B875EB"/>
    <w:rsid w:val="00B87859"/>
    <w:rsid w:val="00B87C6A"/>
    <w:rsid w:val="00B9014F"/>
    <w:rsid w:val="00B91D47"/>
    <w:rsid w:val="00B93678"/>
    <w:rsid w:val="00B93D97"/>
    <w:rsid w:val="00B953E2"/>
    <w:rsid w:val="00B95651"/>
    <w:rsid w:val="00B97017"/>
    <w:rsid w:val="00B9754E"/>
    <w:rsid w:val="00BA120D"/>
    <w:rsid w:val="00BA1517"/>
    <w:rsid w:val="00BA1FB6"/>
    <w:rsid w:val="00BA3861"/>
    <w:rsid w:val="00BA3CB8"/>
    <w:rsid w:val="00BA5300"/>
    <w:rsid w:val="00BA6558"/>
    <w:rsid w:val="00BA6B47"/>
    <w:rsid w:val="00BA6E1D"/>
    <w:rsid w:val="00BA7623"/>
    <w:rsid w:val="00BA7F3F"/>
    <w:rsid w:val="00BB0C42"/>
    <w:rsid w:val="00BB11C8"/>
    <w:rsid w:val="00BB29CC"/>
    <w:rsid w:val="00BB2D94"/>
    <w:rsid w:val="00BB2F1A"/>
    <w:rsid w:val="00BB304C"/>
    <w:rsid w:val="00BB3812"/>
    <w:rsid w:val="00BB3E3E"/>
    <w:rsid w:val="00BB468C"/>
    <w:rsid w:val="00BB627F"/>
    <w:rsid w:val="00BB7119"/>
    <w:rsid w:val="00BB765C"/>
    <w:rsid w:val="00BC011E"/>
    <w:rsid w:val="00BC03CC"/>
    <w:rsid w:val="00BC0DCE"/>
    <w:rsid w:val="00BC127C"/>
    <w:rsid w:val="00BC19DA"/>
    <w:rsid w:val="00BC1AA7"/>
    <w:rsid w:val="00BC1EB3"/>
    <w:rsid w:val="00BC219C"/>
    <w:rsid w:val="00BC224D"/>
    <w:rsid w:val="00BC24C4"/>
    <w:rsid w:val="00BC2F74"/>
    <w:rsid w:val="00BC3253"/>
    <w:rsid w:val="00BC4815"/>
    <w:rsid w:val="00BC53D9"/>
    <w:rsid w:val="00BC6606"/>
    <w:rsid w:val="00BC7C1B"/>
    <w:rsid w:val="00BD190D"/>
    <w:rsid w:val="00BD2D46"/>
    <w:rsid w:val="00BD5306"/>
    <w:rsid w:val="00BD5C2A"/>
    <w:rsid w:val="00BD5D58"/>
    <w:rsid w:val="00BD6FE1"/>
    <w:rsid w:val="00BD716B"/>
    <w:rsid w:val="00BE0F07"/>
    <w:rsid w:val="00BE2F6D"/>
    <w:rsid w:val="00BE5289"/>
    <w:rsid w:val="00BE5B1B"/>
    <w:rsid w:val="00BE5D4F"/>
    <w:rsid w:val="00BE6D2A"/>
    <w:rsid w:val="00BF0079"/>
    <w:rsid w:val="00BF0EF2"/>
    <w:rsid w:val="00BF11A0"/>
    <w:rsid w:val="00BF130E"/>
    <w:rsid w:val="00BF278E"/>
    <w:rsid w:val="00BF3B6A"/>
    <w:rsid w:val="00BF6347"/>
    <w:rsid w:val="00BF68C8"/>
    <w:rsid w:val="00C011D5"/>
    <w:rsid w:val="00C016A3"/>
    <w:rsid w:val="00C01E68"/>
    <w:rsid w:val="00C047D1"/>
    <w:rsid w:val="00C047D8"/>
    <w:rsid w:val="00C05BA6"/>
    <w:rsid w:val="00C0605C"/>
    <w:rsid w:val="00C06238"/>
    <w:rsid w:val="00C06C95"/>
    <w:rsid w:val="00C10444"/>
    <w:rsid w:val="00C10AB2"/>
    <w:rsid w:val="00C1143C"/>
    <w:rsid w:val="00C11924"/>
    <w:rsid w:val="00C11AC4"/>
    <w:rsid w:val="00C12479"/>
    <w:rsid w:val="00C1273E"/>
    <w:rsid w:val="00C14016"/>
    <w:rsid w:val="00C16D7F"/>
    <w:rsid w:val="00C17B40"/>
    <w:rsid w:val="00C2001B"/>
    <w:rsid w:val="00C221A0"/>
    <w:rsid w:val="00C22BED"/>
    <w:rsid w:val="00C22EE6"/>
    <w:rsid w:val="00C22F7C"/>
    <w:rsid w:val="00C2344B"/>
    <w:rsid w:val="00C238D1"/>
    <w:rsid w:val="00C239E0"/>
    <w:rsid w:val="00C23D10"/>
    <w:rsid w:val="00C24774"/>
    <w:rsid w:val="00C24FD9"/>
    <w:rsid w:val="00C25C46"/>
    <w:rsid w:val="00C265C6"/>
    <w:rsid w:val="00C26E28"/>
    <w:rsid w:val="00C2777D"/>
    <w:rsid w:val="00C3036A"/>
    <w:rsid w:val="00C30B87"/>
    <w:rsid w:val="00C3135E"/>
    <w:rsid w:val="00C31E23"/>
    <w:rsid w:val="00C326F9"/>
    <w:rsid w:val="00C3309A"/>
    <w:rsid w:val="00C346CD"/>
    <w:rsid w:val="00C3537B"/>
    <w:rsid w:val="00C361A0"/>
    <w:rsid w:val="00C36D2A"/>
    <w:rsid w:val="00C36EC7"/>
    <w:rsid w:val="00C36FFC"/>
    <w:rsid w:val="00C37A29"/>
    <w:rsid w:val="00C408A3"/>
    <w:rsid w:val="00C45051"/>
    <w:rsid w:val="00C47DB7"/>
    <w:rsid w:val="00C501C5"/>
    <w:rsid w:val="00C5082B"/>
    <w:rsid w:val="00C524BF"/>
    <w:rsid w:val="00C52F1A"/>
    <w:rsid w:val="00C54CB3"/>
    <w:rsid w:val="00C54D8C"/>
    <w:rsid w:val="00C577A9"/>
    <w:rsid w:val="00C57AE6"/>
    <w:rsid w:val="00C57B8E"/>
    <w:rsid w:val="00C6335C"/>
    <w:rsid w:val="00C671D3"/>
    <w:rsid w:val="00C67D00"/>
    <w:rsid w:val="00C7067A"/>
    <w:rsid w:val="00C70D80"/>
    <w:rsid w:val="00C70EFC"/>
    <w:rsid w:val="00C71688"/>
    <w:rsid w:val="00C7240F"/>
    <w:rsid w:val="00C724B6"/>
    <w:rsid w:val="00C7462A"/>
    <w:rsid w:val="00C75C56"/>
    <w:rsid w:val="00C75FCB"/>
    <w:rsid w:val="00C76033"/>
    <w:rsid w:val="00C77650"/>
    <w:rsid w:val="00C80531"/>
    <w:rsid w:val="00C835E6"/>
    <w:rsid w:val="00C83686"/>
    <w:rsid w:val="00C84207"/>
    <w:rsid w:val="00C84D82"/>
    <w:rsid w:val="00C86BE7"/>
    <w:rsid w:val="00C87604"/>
    <w:rsid w:val="00C87980"/>
    <w:rsid w:val="00C91201"/>
    <w:rsid w:val="00C93187"/>
    <w:rsid w:val="00C931BC"/>
    <w:rsid w:val="00C932F3"/>
    <w:rsid w:val="00C93A06"/>
    <w:rsid w:val="00C93E38"/>
    <w:rsid w:val="00C945FA"/>
    <w:rsid w:val="00C951A3"/>
    <w:rsid w:val="00C97762"/>
    <w:rsid w:val="00CA0434"/>
    <w:rsid w:val="00CA0B3F"/>
    <w:rsid w:val="00CA17B6"/>
    <w:rsid w:val="00CA1943"/>
    <w:rsid w:val="00CA3C2C"/>
    <w:rsid w:val="00CA580F"/>
    <w:rsid w:val="00CA5E07"/>
    <w:rsid w:val="00CA60CD"/>
    <w:rsid w:val="00CA6AC8"/>
    <w:rsid w:val="00CA6F98"/>
    <w:rsid w:val="00CB20EB"/>
    <w:rsid w:val="00CB231F"/>
    <w:rsid w:val="00CB2371"/>
    <w:rsid w:val="00CB2F8B"/>
    <w:rsid w:val="00CB3A71"/>
    <w:rsid w:val="00CB3F66"/>
    <w:rsid w:val="00CB4676"/>
    <w:rsid w:val="00CB51FC"/>
    <w:rsid w:val="00CB5E6A"/>
    <w:rsid w:val="00CB6272"/>
    <w:rsid w:val="00CB6DB9"/>
    <w:rsid w:val="00CB6E28"/>
    <w:rsid w:val="00CC2BEB"/>
    <w:rsid w:val="00CC323D"/>
    <w:rsid w:val="00CC3DE4"/>
    <w:rsid w:val="00CC459B"/>
    <w:rsid w:val="00CC5008"/>
    <w:rsid w:val="00CC5B58"/>
    <w:rsid w:val="00CC5E93"/>
    <w:rsid w:val="00CC5F5B"/>
    <w:rsid w:val="00CC61EA"/>
    <w:rsid w:val="00CC6B94"/>
    <w:rsid w:val="00CC6D9F"/>
    <w:rsid w:val="00CC7E4D"/>
    <w:rsid w:val="00CD0295"/>
    <w:rsid w:val="00CD0CEC"/>
    <w:rsid w:val="00CD0DB0"/>
    <w:rsid w:val="00CD0ECA"/>
    <w:rsid w:val="00CD1507"/>
    <w:rsid w:val="00CD19AC"/>
    <w:rsid w:val="00CD1D0E"/>
    <w:rsid w:val="00CD1D4D"/>
    <w:rsid w:val="00CD2E0A"/>
    <w:rsid w:val="00CD3645"/>
    <w:rsid w:val="00CD4A59"/>
    <w:rsid w:val="00CD61EB"/>
    <w:rsid w:val="00CD787D"/>
    <w:rsid w:val="00CD7F44"/>
    <w:rsid w:val="00CE0345"/>
    <w:rsid w:val="00CE0B06"/>
    <w:rsid w:val="00CE3313"/>
    <w:rsid w:val="00CE35BE"/>
    <w:rsid w:val="00CE43AF"/>
    <w:rsid w:val="00CE4D3A"/>
    <w:rsid w:val="00CE4E23"/>
    <w:rsid w:val="00CE527B"/>
    <w:rsid w:val="00CE5298"/>
    <w:rsid w:val="00CE64FD"/>
    <w:rsid w:val="00CE67A2"/>
    <w:rsid w:val="00CE6F82"/>
    <w:rsid w:val="00CE7236"/>
    <w:rsid w:val="00CE7BA0"/>
    <w:rsid w:val="00CF02F0"/>
    <w:rsid w:val="00CF27C6"/>
    <w:rsid w:val="00CF2B0E"/>
    <w:rsid w:val="00CF3826"/>
    <w:rsid w:val="00CF4BC6"/>
    <w:rsid w:val="00CF5903"/>
    <w:rsid w:val="00CF6603"/>
    <w:rsid w:val="00CF7F06"/>
    <w:rsid w:val="00D01615"/>
    <w:rsid w:val="00D019A4"/>
    <w:rsid w:val="00D02433"/>
    <w:rsid w:val="00D0352E"/>
    <w:rsid w:val="00D0356F"/>
    <w:rsid w:val="00D057D0"/>
    <w:rsid w:val="00D05C29"/>
    <w:rsid w:val="00D1015D"/>
    <w:rsid w:val="00D102F7"/>
    <w:rsid w:val="00D106B0"/>
    <w:rsid w:val="00D10C1B"/>
    <w:rsid w:val="00D10F14"/>
    <w:rsid w:val="00D114D8"/>
    <w:rsid w:val="00D13D83"/>
    <w:rsid w:val="00D141AF"/>
    <w:rsid w:val="00D15113"/>
    <w:rsid w:val="00D15268"/>
    <w:rsid w:val="00D15B7C"/>
    <w:rsid w:val="00D15B7D"/>
    <w:rsid w:val="00D1634C"/>
    <w:rsid w:val="00D16F74"/>
    <w:rsid w:val="00D17353"/>
    <w:rsid w:val="00D17C6E"/>
    <w:rsid w:val="00D201E5"/>
    <w:rsid w:val="00D20B24"/>
    <w:rsid w:val="00D20E50"/>
    <w:rsid w:val="00D214AD"/>
    <w:rsid w:val="00D21FFC"/>
    <w:rsid w:val="00D221F8"/>
    <w:rsid w:val="00D23225"/>
    <w:rsid w:val="00D23E87"/>
    <w:rsid w:val="00D25591"/>
    <w:rsid w:val="00D266A2"/>
    <w:rsid w:val="00D301EE"/>
    <w:rsid w:val="00D30791"/>
    <w:rsid w:val="00D30EBD"/>
    <w:rsid w:val="00D31E3E"/>
    <w:rsid w:val="00D3305D"/>
    <w:rsid w:val="00D330CA"/>
    <w:rsid w:val="00D3316D"/>
    <w:rsid w:val="00D35A99"/>
    <w:rsid w:val="00D36CC5"/>
    <w:rsid w:val="00D3733C"/>
    <w:rsid w:val="00D37882"/>
    <w:rsid w:val="00D400E4"/>
    <w:rsid w:val="00D40416"/>
    <w:rsid w:val="00D40782"/>
    <w:rsid w:val="00D41DDC"/>
    <w:rsid w:val="00D4354E"/>
    <w:rsid w:val="00D438F6"/>
    <w:rsid w:val="00D45623"/>
    <w:rsid w:val="00D46D74"/>
    <w:rsid w:val="00D46FD9"/>
    <w:rsid w:val="00D473F9"/>
    <w:rsid w:val="00D47C7F"/>
    <w:rsid w:val="00D521AF"/>
    <w:rsid w:val="00D52BE5"/>
    <w:rsid w:val="00D54E01"/>
    <w:rsid w:val="00D6036C"/>
    <w:rsid w:val="00D60649"/>
    <w:rsid w:val="00D61E88"/>
    <w:rsid w:val="00D63E7D"/>
    <w:rsid w:val="00D64996"/>
    <w:rsid w:val="00D65BE0"/>
    <w:rsid w:val="00D65D81"/>
    <w:rsid w:val="00D6650A"/>
    <w:rsid w:val="00D66967"/>
    <w:rsid w:val="00D7089A"/>
    <w:rsid w:val="00D71A60"/>
    <w:rsid w:val="00D71D9E"/>
    <w:rsid w:val="00D73032"/>
    <w:rsid w:val="00D736FF"/>
    <w:rsid w:val="00D73BBE"/>
    <w:rsid w:val="00D74099"/>
    <w:rsid w:val="00D75682"/>
    <w:rsid w:val="00D75E22"/>
    <w:rsid w:val="00D7656F"/>
    <w:rsid w:val="00D77A88"/>
    <w:rsid w:val="00D80DF8"/>
    <w:rsid w:val="00D81032"/>
    <w:rsid w:val="00D81C6F"/>
    <w:rsid w:val="00D827AF"/>
    <w:rsid w:val="00D83923"/>
    <w:rsid w:val="00D83C1E"/>
    <w:rsid w:val="00D83D14"/>
    <w:rsid w:val="00D87AC1"/>
    <w:rsid w:val="00D906A3"/>
    <w:rsid w:val="00D90801"/>
    <w:rsid w:val="00D9419D"/>
    <w:rsid w:val="00D95B72"/>
    <w:rsid w:val="00D9613C"/>
    <w:rsid w:val="00D96F65"/>
    <w:rsid w:val="00D97EEC"/>
    <w:rsid w:val="00D97FE4"/>
    <w:rsid w:val="00DA136C"/>
    <w:rsid w:val="00DA1843"/>
    <w:rsid w:val="00DA29C6"/>
    <w:rsid w:val="00DA2B78"/>
    <w:rsid w:val="00DA3017"/>
    <w:rsid w:val="00DA30B6"/>
    <w:rsid w:val="00DA3630"/>
    <w:rsid w:val="00DA3F14"/>
    <w:rsid w:val="00DA5484"/>
    <w:rsid w:val="00DA579B"/>
    <w:rsid w:val="00DA7CA2"/>
    <w:rsid w:val="00DB227F"/>
    <w:rsid w:val="00DB7E8D"/>
    <w:rsid w:val="00DC08AC"/>
    <w:rsid w:val="00DC0E7B"/>
    <w:rsid w:val="00DC1012"/>
    <w:rsid w:val="00DC18D8"/>
    <w:rsid w:val="00DC1B37"/>
    <w:rsid w:val="00DC1B91"/>
    <w:rsid w:val="00DC234F"/>
    <w:rsid w:val="00DC25B8"/>
    <w:rsid w:val="00DC2B01"/>
    <w:rsid w:val="00DC2D24"/>
    <w:rsid w:val="00DC388C"/>
    <w:rsid w:val="00DC5A0E"/>
    <w:rsid w:val="00DC5DFF"/>
    <w:rsid w:val="00DC69AA"/>
    <w:rsid w:val="00DC7442"/>
    <w:rsid w:val="00DC74CB"/>
    <w:rsid w:val="00DC765F"/>
    <w:rsid w:val="00DD05F7"/>
    <w:rsid w:val="00DD134A"/>
    <w:rsid w:val="00DD1ACB"/>
    <w:rsid w:val="00DD1C3B"/>
    <w:rsid w:val="00DD1CF5"/>
    <w:rsid w:val="00DD1DDB"/>
    <w:rsid w:val="00DD2C22"/>
    <w:rsid w:val="00DD328F"/>
    <w:rsid w:val="00DD33C0"/>
    <w:rsid w:val="00DD6473"/>
    <w:rsid w:val="00DD7BFB"/>
    <w:rsid w:val="00DE0242"/>
    <w:rsid w:val="00DE5CF5"/>
    <w:rsid w:val="00DE63C2"/>
    <w:rsid w:val="00DE66E2"/>
    <w:rsid w:val="00DF1DB0"/>
    <w:rsid w:val="00DF2AC2"/>
    <w:rsid w:val="00DF426B"/>
    <w:rsid w:val="00DF43D0"/>
    <w:rsid w:val="00DF4E3E"/>
    <w:rsid w:val="00DF5352"/>
    <w:rsid w:val="00DF57D9"/>
    <w:rsid w:val="00DF60B9"/>
    <w:rsid w:val="00DF63B7"/>
    <w:rsid w:val="00DF6A9F"/>
    <w:rsid w:val="00DF7137"/>
    <w:rsid w:val="00DF7969"/>
    <w:rsid w:val="00DF7F73"/>
    <w:rsid w:val="00E0018D"/>
    <w:rsid w:val="00E010CD"/>
    <w:rsid w:val="00E02441"/>
    <w:rsid w:val="00E0346B"/>
    <w:rsid w:val="00E03646"/>
    <w:rsid w:val="00E0453D"/>
    <w:rsid w:val="00E05FA6"/>
    <w:rsid w:val="00E06B08"/>
    <w:rsid w:val="00E113A1"/>
    <w:rsid w:val="00E115A0"/>
    <w:rsid w:val="00E122AD"/>
    <w:rsid w:val="00E14BF2"/>
    <w:rsid w:val="00E156D3"/>
    <w:rsid w:val="00E15A2F"/>
    <w:rsid w:val="00E177BE"/>
    <w:rsid w:val="00E17883"/>
    <w:rsid w:val="00E250B3"/>
    <w:rsid w:val="00E25474"/>
    <w:rsid w:val="00E254B3"/>
    <w:rsid w:val="00E25613"/>
    <w:rsid w:val="00E258A4"/>
    <w:rsid w:val="00E27058"/>
    <w:rsid w:val="00E2776F"/>
    <w:rsid w:val="00E304DA"/>
    <w:rsid w:val="00E3067C"/>
    <w:rsid w:val="00E30C5C"/>
    <w:rsid w:val="00E32BBB"/>
    <w:rsid w:val="00E32EE5"/>
    <w:rsid w:val="00E32F93"/>
    <w:rsid w:val="00E33A8B"/>
    <w:rsid w:val="00E33EBC"/>
    <w:rsid w:val="00E35CD0"/>
    <w:rsid w:val="00E362E5"/>
    <w:rsid w:val="00E3789B"/>
    <w:rsid w:val="00E379F7"/>
    <w:rsid w:val="00E41BF4"/>
    <w:rsid w:val="00E464A8"/>
    <w:rsid w:val="00E4686F"/>
    <w:rsid w:val="00E46D55"/>
    <w:rsid w:val="00E47107"/>
    <w:rsid w:val="00E478C6"/>
    <w:rsid w:val="00E5154C"/>
    <w:rsid w:val="00E51E23"/>
    <w:rsid w:val="00E53E10"/>
    <w:rsid w:val="00E54ACD"/>
    <w:rsid w:val="00E54B2B"/>
    <w:rsid w:val="00E610BD"/>
    <w:rsid w:val="00E61180"/>
    <w:rsid w:val="00E61632"/>
    <w:rsid w:val="00E6172D"/>
    <w:rsid w:val="00E64274"/>
    <w:rsid w:val="00E642E7"/>
    <w:rsid w:val="00E64BDB"/>
    <w:rsid w:val="00E65201"/>
    <w:rsid w:val="00E65E34"/>
    <w:rsid w:val="00E66E3A"/>
    <w:rsid w:val="00E67C9A"/>
    <w:rsid w:val="00E70DD7"/>
    <w:rsid w:val="00E71470"/>
    <w:rsid w:val="00E7156F"/>
    <w:rsid w:val="00E72EE0"/>
    <w:rsid w:val="00E72FE1"/>
    <w:rsid w:val="00E741FB"/>
    <w:rsid w:val="00E7447D"/>
    <w:rsid w:val="00E74657"/>
    <w:rsid w:val="00E7478D"/>
    <w:rsid w:val="00E800EA"/>
    <w:rsid w:val="00E80B90"/>
    <w:rsid w:val="00E81BF5"/>
    <w:rsid w:val="00E81D38"/>
    <w:rsid w:val="00E82B05"/>
    <w:rsid w:val="00E83A53"/>
    <w:rsid w:val="00E84A54"/>
    <w:rsid w:val="00E85202"/>
    <w:rsid w:val="00E8643A"/>
    <w:rsid w:val="00E86718"/>
    <w:rsid w:val="00E86E97"/>
    <w:rsid w:val="00E91A7E"/>
    <w:rsid w:val="00E91EFE"/>
    <w:rsid w:val="00E91FED"/>
    <w:rsid w:val="00E9483B"/>
    <w:rsid w:val="00E95AAA"/>
    <w:rsid w:val="00E95F7D"/>
    <w:rsid w:val="00E977E9"/>
    <w:rsid w:val="00E97AAF"/>
    <w:rsid w:val="00EA1943"/>
    <w:rsid w:val="00EA1F4F"/>
    <w:rsid w:val="00EA550E"/>
    <w:rsid w:val="00EA6333"/>
    <w:rsid w:val="00EB08CE"/>
    <w:rsid w:val="00EB2621"/>
    <w:rsid w:val="00EB3298"/>
    <w:rsid w:val="00EB3B14"/>
    <w:rsid w:val="00EB3F9D"/>
    <w:rsid w:val="00EB48C4"/>
    <w:rsid w:val="00EB5DC6"/>
    <w:rsid w:val="00EB5F46"/>
    <w:rsid w:val="00EC32DF"/>
    <w:rsid w:val="00EC3B48"/>
    <w:rsid w:val="00ED02C4"/>
    <w:rsid w:val="00ED42FD"/>
    <w:rsid w:val="00ED4983"/>
    <w:rsid w:val="00ED5202"/>
    <w:rsid w:val="00ED54F5"/>
    <w:rsid w:val="00ED604A"/>
    <w:rsid w:val="00ED716F"/>
    <w:rsid w:val="00ED7FDC"/>
    <w:rsid w:val="00EE07E8"/>
    <w:rsid w:val="00EE0DD4"/>
    <w:rsid w:val="00EE1543"/>
    <w:rsid w:val="00EE1720"/>
    <w:rsid w:val="00EE1889"/>
    <w:rsid w:val="00EE1D10"/>
    <w:rsid w:val="00EE59B7"/>
    <w:rsid w:val="00EE6F14"/>
    <w:rsid w:val="00EE7D16"/>
    <w:rsid w:val="00EF3E6C"/>
    <w:rsid w:val="00EF3F23"/>
    <w:rsid w:val="00EF6C20"/>
    <w:rsid w:val="00F0161C"/>
    <w:rsid w:val="00F033CA"/>
    <w:rsid w:val="00F03719"/>
    <w:rsid w:val="00F044D9"/>
    <w:rsid w:val="00F04852"/>
    <w:rsid w:val="00F04EA7"/>
    <w:rsid w:val="00F05D3E"/>
    <w:rsid w:val="00F12FC3"/>
    <w:rsid w:val="00F13CDD"/>
    <w:rsid w:val="00F15070"/>
    <w:rsid w:val="00F15171"/>
    <w:rsid w:val="00F162D4"/>
    <w:rsid w:val="00F16763"/>
    <w:rsid w:val="00F16F3A"/>
    <w:rsid w:val="00F1701E"/>
    <w:rsid w:val="00F173EF"/>
    <w:rsid w:val="00F178DB"/>
    <w:rsid w:val="00F20106"/>
    <w:rsid w:val="00F2058B"/>
    <w:rsid w:val="00F20D95"/>
    <w:rsid w:val="00F21E60"/>
    <w:rsid w:val="00F25AE6"/>
    <w:rsid w:val="00F25D00"/>
    <w:rsid w:val="00F27FD0"/>
    <w:rsid w:val="00F3074E"/>
    <w:rsid w:val="00F31E6F"/>
    <w:rsid w:val="00F3209B"/>
    <w:rsid w:val="00F3214C"/>
    <w:rsid w:val="00F32741"/>
    <w:rsid w:val="00F335FA"/>
    <w:rsid w:val="00F33F8D"/>
    <w:rsid w:val="00F34A6C"/>
    <w:rsid w:val="00F34E31"/>
    <w:rsid w:val="00F355C6"/>
    <w:rsid w:val="00F369A5"/>
    <w:rsid w:val="00F36F4B"/>
    <w:rsid w:val="00F37CB6"/>
    <w:rsid w:val="00F37F65"/>
    <w:rsid w:val="00F40055"/>
    <w:rsid w:val="00F4010B"/>
    <w:rsid w:val="00F405DE"/>
    <w:rsid w:val="00F407E2"/>
    <w:rsid w:val="00F40D35"/>
    <w:rsid w:val="00F41D0F"/>
    <w:rsid w:val="00F4306F"/>
    <w:rsid w:val="00F436EE"/>
    <w:rsid w:val="00F43C23"/>
    <w:rsid w:val="00F43E02"/>
    <w:rsid w:val="00F45064"/>
    <w:rsid w:val="00F454B9"/>
    <w:rsid w:val="00F45967"/>
    <w:rsid w:val="00F46543"/>
    <w:rsid w:val="00F46E42"/>
    <w:rsid w:val="00F46F30"/>
    <w:rsid w:val="00F4702C"/>
    <w:rsid w:val="00F501AC"/>
    <w:rsid w:val="00F505B8"/>
    <w:rsid w:val="00F53B68"/>
    <w:rsid w:val="00F53CE8"/>
    <w:rsid w:val="00F53EFE"/>
    <w:rsid w:val="00F569AE"/>
    <w:rsid w:val="00F605A6"/>
    <w:rsid w:val="00F60BA2"/>
    <w:rsid w:val="00F60F28"/>
    <w:rsid w:val="00F61905"/>
    <w:rsid w:val="00F61A0E"/>
    <w:rsid w:val="00F61DA6"/>
    <w:rsid w:val="00F622A1"/>
    <w:rsid w:val="00F634F6"/>
    <w:rsid w:val="00F63666"/>
    <w:rsid w:val="00F7042F"/>
    <w:rsid w:val="00F71BE6"/>
    <w:rsid w:val="00F73121"/>
    <w:rsid w:val="00F735DA"/>
    <w:rsid w:val="00F74543"/>
    <w:rsid w:val="00F7518F"/>
    <w:rsid w:val="00F77B4D"/>
    <w:rsid w:val="00F80F64"/>
    <w:rsid w:val="00F8117F"/>
    <w:rsid w:val="00F82333"/>
    <w:rsid w:val="00F82F51"/>
    <w:rsid w:val="00F8311F"/>
    <w:rsid w:val="00F83C5C"/>
    <w:rsid w:val="00F84C04"/>
    <w:rsid w:val="00F86048"/>
    <w:rsid w:val="00F87ADC"/>
    <w:rsid w:val="00F87B07"/>
    <w:rsid w:val="00F87F1D"/>
    <w:rsid w:val="00F901D8"/>
    <w:rsid w:val="00F94880"/>
    <w:rsid w:val="00F94A1C"/>
    <w:rsid w:val="00F94F76"/>
    <w:rsid w:val="00F94F91"/>
    <w:rsid w:val="00FA0434"/>
    <w:rsid w:val="00FA0B4B"/>
    <w:rsid w:val="00FA33D2"/>
    <w:rsid w:val="00FA59F6"/>
    <w:rsid w:val="00FA5FBE"/>
    <w:rsid w:val="00FB016C"/>
    <w:rsid w:val="00FB18E9"/>
    <w:rsid w:val="00FB1F8C"/>
    <w:rsid w:val="00FB207E"/>
    <w:rsid w:val="00FB2A5C"/>
    <w:rsid w:val="00FB2DFE"/>
    <w:rsid w:val="00FB3297"/>
    <w:rsid w:val="00FB455F"/>
    <w:rsid w:val="00FB48E0"/>
    <w:rsid w:val="00FB4902"/>
    <w:rsid w:val="00FB4E93"/>
    <w:rsid w:val="00FB668A"/>
    <w:rsid w:val="00FB6988"/>
    <w:rsid w:val="00FB762F"/>
    <w:rsid w:val="00FB7B6D"/>
    <w:rsid w:val="00FC2D8B"/>
    <w:rsid w:val="00FC47C7"/>
    <w:rsid w:val="00FC47FF"/>
    <w:rsid w:val="00FC48B3"/>
    <w:rsid w:val="00FC504C"/>
    <w:rsid w:val="00FC5A34"/>
    <w:rsid w:val="00FC5C21"/>
    <w:rsid w:val="00FD28C1"/>
    <w:rsid w:val="00FD2C2E"/>
    <w:rsid w:val="00FD3009"/>
    <w:rsid w:val="00FD3306"/>
    <w:rsid w:val="00FD36B1"/>
    <w:rsid w:val="00FD3FE4"/>
    <w:rsid w:val="00FD4717"/>
    <w:rsid w:val="00FD4EA3"/>
    <w:rsid w:val="00FD582D"/>
    <w:rsid w:val="00FD5D02"/>
    <w:rsid w:val="00FD761D"/>
    <w:rsid w:val="00FE091A"/>
    <w:rsid w:val="00FE1DA8"/>
    <w:rsid w:val="00FE28D3"/>
    <w:rsid w:val="00FE3CA6"/>
    <w:rsid w:val="00FE52FF"/>
    <w:rsid w:val="00FE59FD"/>
    <w:rsid w:val="00FE6508"/>
    <w:rsid w:val="00FE7663"/>
    <w:rsid w:val="00FE7F98"/>
    <w:rsid w:val="00FF0217"/>
    <w:rsid w:val="00FF2E7F"/>
    <w:rsid w:val="00FF305B"/>
    <w:rsid w:val="00FF306D"/>
    <w:rsid w:val="00FF353C"/>
    <w:rsid w:val="00FF4999"/>
    <w:rsid w:val="00FF72B1"/>
    <w:rsid w:val="00FF7E78"/>
    <w:rsid w:val="02429C21"/>
    <w:rsid w:val="03E2B0EC"/>
    <w:rsid w:val="048373AF"/>
    <w:rsid w:val="08B1DDA5"/>
    <w:rsid w:val="08D9231E"/>
    <w:rsid w:val="0A4DAE06"/>
    <w:rsid w:val="12E1E12F"/>
    <w:rsid w:val="13F40E2E"/>
    <w:rsid w:val="172C310E"/>
    <w:rsid w:val="176E4872"/>
    <w:rsid w:val="1C490F30"/>
    <w:rsid w:val="2011DD89"/>
    <w:rsid w:val="20A3EC00"/>
    <w:rsid w:val="210D5BA6"/>
    <w:rsid w:val="212CFC74"/>
    <w:rsid w:val="217A12BF"/>
    <w:rsid w:val="24C0D52D"/>
    <w:rsid w:val="269E51E6"/>
    <w:rsid w:val="27AA1FCB"/>
    <w:rsid w:val="27BC6CF8"/>
    <w:rsid w:val="28255BB0"/>
    <w:rsid w:val="2B549030"/>
    <w:rsid w:val="2CA5F051"/>
    <w:rsid w:val="2FC68338"/>
    <w:rsid w:val="34FB7276"/>
    <w:rsid w:val="39181C5D"/>
    <w:rsid w:val="3D22339F"/>
    <w:rsid w:val="3E7C523E"/>
    <w:rsid w:val="41C3E366"/>
    <w:rsid w:val="423487FA"/>
    <w:rsid w:val="42B49014"/>
    <w:rsid w:val="43D0585B"/>
    <w:rsid w:val="456C28BC"/>
    <w:rsid w:val="45EC30D6"/>
    <w:rsid w:val="47880137"/>
    <w:rsid w:val="4F93131C"/>
    <w:rsid w:val="5074109F"/>
    <w:rsid w:val="5110CD58"/>
    <w:rsid w:val="5331DCC1"/>
    <w:rsid w:val="55F119C9"/>
    <w:rsid w:val="560A4226"/>
    <w:rsid w:val="563656F4"/>
    <w:rsid w:val="576A2FC7"/>
    <w:rsid w:val="578B3A17"/>
    <w:rsid w:val="5831F157"/>
    <w:rsid w:val="59A25E7B"/>
    <w:rsid w:val="5C7B14FE"/>
    <w:rsid w:val="5E4C4BC9"/>
    <w:rsid w:val="608BBF02"/>
    <w:rsid w:val="623AF85A"/>
    <w:rsid w:val="63BB723E"/>
    <w:rsid w:val="6557429F"/>
    <w:rsid w:val="6A1978EB"/>
    <w:rsid w:val="6D8E087E"/>
    <w:rsid w:val="7088BA6F"/>
    <w:rsid w:val="70FE04C3"/>
    <w:rsid w:val="74F54BD5"/>
    <w:rsid w:val="76F7FBF3"/>
    <w:rsid w:val="77E31E67"/>
    <w:rsid w:val="7893CC54"/>
    <w:rsid w:val="79AF949B"/>
    <w:rsid w:val="7F1C363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0F4E19"/>
  <w15:chartTrackingRefBased/>
  <w15:docId w15:val="{FFA9FFC7-D85B-4945-9B6D-792A05FAB0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lsdException w:name="List Bullet 2" w:semiHidden="1" w:unhideWhenUsed="1" w:qFormat="1"/>
    <w:lsdException w:name="List Bullet 3" w:semiHidden="1" w:unhideWhenUsed="1" w:qFormat="1"/>
    <w:lsdException w:name="List Bullet 4" w:semiHidden="1" w:uiPriority="13"/>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2"/>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0"/>
    <w:unhideWhenUsed/>
    <w:qFormat/>
    <w:rsid w:val="00F83C5C"/>
    <w:pPr>
      <w:spacing w:before="120" w:after="120" w:line="280" w:lineRule="atLeast"/>
    </w:pPr>
    <w:rPr>
      <w:sz w:val="20"/>
      <w:szCs w:val="20"/>
    </w:rPr>
  </w:style>
  <w:style w:type="paragraph" w:styleId="Heading1">
    <w:name w:val="heading 1"/>
    <w:basedOn w:val="Normal"/>
    <w:next w:val="BodyText"/>
    <w:link w:val="Heading1Char"/>
    <w:uiPriority w:val="9"/>
    <w:qFormat/>
    <w:rsid w:val="00F83C5C"/>
    <w:pPr>
      <w:numPr>
        <w:numId w:val="13"/>
      </w:numPr>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240" w:after="480" w:line="504" w:lineRule="atLeast"/>
      <w:ind w:right="567"/>
      <w:outlineLvl w:val="0"/>
    </w:pPr>
    <w:rPr>
      <w:rFonts w:asciiTheme="majorHAnsi" w:hAnsiTheme="majorHAnsi"/>
      <w:color w:val="FFFFFF" w:themeColor="background1"/>
      <w:sz w:val="42"/>
    </w:rPr>
  </w:style>
  <w:style w:type="paragraph" w:styleId="Heading2">
    <w:name w:val="heading 2"/>
    <w:basedOn w:val="Normal"/>
    <w:next w:val="BodyText"/>
    <w:link w:val="Heading2Char"/>
    <w:uiPriority w:val="9"/>
    <w:qFormat/>
    <w:rsid w:val="00F83C5C"/>
    <w:pPr>
      <w:keepNext/>
      <w:keepLines/>
      <w:numPr>
        <w:ilvl w:val="2"/>
        <w:numId w:val="13"/>
      </w:numPr>
      <w:spacing w:before="480" w:line="340" w:lineRule="atLeast"/>
      <w:outlineLvl w:val="1"/>
    </w:pPr>
    <w:rPr>
      <w:rFonts w:asciiTheme="majorHAnsi" w:eastAsiaTheme="majorEastAsia" w:hAnsiTheme="majorHAnsi" w:cstheme="majorBidi"/>
      <w:sz w:val="30"/>
      <w:szCs w:val="60"/>
    </w:rPr>
  </w:style>
  <w:style w:type="paragraph" w:styleId="Heading3">
    <w:name w:val="heading 3"/>
    <w:basedOn w:val="Normal"/>
    <w:next w:val="BodyText"/>
    <w:link w:val="Heading3Char"/>
    <w:uiPriority w:val="9"/>
    <w:qFormat/>
    <w:rsid w:val="00F83C5C"/>
    <w:pPr>
      <w:keepNext/>
      <w:keepLines/>
      <w:spacing w:before="240" w:line="300" w:lineRule="atLeast"/>
      <w:outlineLvl w:val="2"/>
    </w:pPr>
    <w:rPr>
      <w:rFonts w:asciiTheme="majorHAnsi" w:eastAsiaTheme="majorEastAsia" w:hAnsiTheme="majorHAnsi" w:cstheme="majorBidi"/>
      <w:color w:val="2D9AC2" w:themeColor="text2" w:themeShade="BF"/>
      <w:sz w:val="26"/>
      <w:szCs w:val="37"/>
    </w:rPr>
  </w:style>
  <w:style w:type="paragraph" w:styleId="Heading4">
    <w:name w:val="heading 4"/>
    <w:basedOn w:val="Normal"/>
    <w:next w:val="BodyText"/>
    <w:link w:val="Heading4Char"/>
    <w:uiPriority w:val="9"/>
    <w:qFormat/>
    <w:rsid w:val="00F83C5C"/>
    <w:pPr>
      <w:keepNext/>
      <w:keepLines/>
      <w:spacing w:before="240" w:line="264" w:lineRule="atLeast"/>
      <w:outlineLvl w:val="3"/>
    </w:pPr>
    <w:rPr>
      <w:rFonts w:asciiTheme="majorHAnsi" w:eastAsiaTheme="majorEastAsia" w:hAnsiTheme="majorHAnsi" w:cstheme="majorBidi"/>
      <w:iCs/>
      <w:color w:val="265A9A" w:themeColor="background2"/>
      <w:sz w:val="22"/>
      <w:szCs w:val="33"/>
    </w:rPr>
  </w:style>
  <w:style w:type="paragraph" w:styleId="Heading5">
    <w:name w:val="heading 5"/>
    <w:basedOn w:val="Normal"/>
    <w:next w:val="BodyText"/>
    <w:link w:val="Heading5Char"/>
    <w:uiPriority w:val="9"/>
    <w:qFormat/>
    <w:rsid w:val="00F83C5C"/>
    <w:pPr>
      <w:keepNext/>
      <w:keepLines/>
      <w:spacing w:line="264" w:lineRule="atLeast"/>
      <w:outlineLvl w:val="4"/>
    </w:pPr>
    <w:rPr>
      <w:rFonts w:eastAsiaTheme="majorEastAsia" w:cstheme="majorBidi"/>
      <w:b/>
      <w:color w:val="265A9A" w:themeColor="background2"/>
      <w:sz w:val="22"/>
      <w:szCs w:val="29"/>
    </w:rPr>
  </w:style>
  <w:style w:type="paragraph" w:styleId="Heading6">
    <w:name w:val="heading 6"/>
    <w:basedOn w:val="Normal"/>
    <w:next w:val="BodyText"/>
    <w:link w:val="Heading6Char"/>
    <w:uiPriority w:val="9"/>
    <w:rsid w:val="00F83C5C"/>
    <w:pPr>
      <w:keepNext/>
      <w:keepLines/>
      <w:spacing w:line="240" w:lineRule="atLeast"/>
      <w:outlineLvl w:val="5"/>
    </w:pPr>
    <w:rPr>
      <w:rFonts w:eastAsiaTheme="majorEastAsia" w:cstheme="minorHAnsi"/>
      <w:b/>
      <w:bCs/>
      <w:i/>
      <w:color w:val="265A9A" w:themeColor="background2"/>
      <w:szCs w:val="24"/>
    </w:rPr>
  </w:style>
  <w:style w:type="paragraph" w:styleId="Heading7">
    <w:name w:val="heading 7"/>
    <w:basedOn w:val="Normal"/>
    <w:next w:val="Normal"/>
    <w:link w:val="Heading7Char"/>
    <w:uiPriority w:val="9"/>
    <w:semiHidden/>
    <w:qFormat/>
    <w:rsid w:val="00F83C5C"/>
    <w:pPr>
      <w:keepNext/>
      <w:keepLines/>
      <w:spacing w:line="240" w:lineRule="atLeast"/>
      <w:outlineLvl w:val="6"/>
    </w:pPr>
    <w:rPr>
      <w:rFonts w:eastAsiaTheme="majorEastAsia" w:cstheme="minorHAnsi"/>
      <w:b/>
      <w:bCs/>
      <w:i/>
      <w:iCs/>
      <w:color w:val="265A9A" w:themeColor="background2"/>
      <w:szCs w:val="22"/>
    </w:rPr>
  </w:style>
  <w:style w:type="paragraph" w:styleId="Heading8">
    <w:name w:val="heading 8"/>
    <w:basedOn w:val="Normal"/>
    <w:next w:val="Normal"/>
    <w:link w:val="Heading8Char"/>
    <w:uiPriority w:val="9"/>
    <w:semiHidden/>
    <w:qFormat/>
    <w:rsid w:val="00F83C5C"/>
    <w:pPr>
      <w:keepNext/>
      <w:keepLines/>
      <w:spacing w:after="0" w:line="293" w:lineRule="auto"/>
      <w:outlineLvl w:val="7"/>
    </w:pPr>
    <w:rPr>
      <w:rFonts w:eastAsiaTheme="majorEastAsia" w:cstheme="majorBidi"/>
      <w:b/>
      <w:sz w:val="18"/>
      <w:szCs w:val="21"/>
    </w:rPr>
  </w:style>
  <w:style w:type="paragraph" w:styleId="Heading9">
    <w:name w:val="heading 9"/>
    <w:basedOn w:val="Normal"/>
    <w:next w:val="Normal"/>
    <w:link w:val="Heading9Char"/>
    <w:uiPriority w:val="9"/>
    <w:semiHidden/>
    <w:rsid w:val="00F83C5C"/>
    <w:pPr>
      <w:spacing w:line="240" w:lineRule="auto"/>
      <w:outlineLvl w:val="8"/>
    </w:pPr>
    <w:rPr>
      <w:rFonts w:asciiTheme="majorHAnsi" w:hAnsiTheme="majorHAnsi"/>
      <w:color w:val="4D7028" w:themeColor="accent2"/>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83C5C"/>
    <w:rPr>
      <w:color w:val="808080"/>
    </w:rPr>
  </w:style>
  <w:style w:type="paragraph" w:styleId="Date">
    <w:name w:val="Date"/>
    <w:basedOn w:val="Normal"/>
    <w:next w:val="Normal"/>
    <w:link w:val="DateChar"/>
    <w:uiPriority w:val="99"/>
    <w:unhideWhenUsed/>
    <w:rsid w:val="00F83C5C"/>
    <w:pPr>
      <w:spacing w:after="360" w:line="293" w:lineRule="auto"/>
    </w:pPr>
  </w:style>
  <w:style w:type="character" w:customStyle="1" w:styleId="DateChar">
    <w:name w:val="Date Char"/>
    <w:basedOn w:val="DefaultParagraphFont"/>
    <w:link w:val="Date"/>
    <w:uiPriority w:val="99"/>
    <w:rsid w:val="00F83C5C"/>
    <w:rPr>
      <w:sz w:val="20"/>
      <w:szCs w:val="20"/>
    </w:rPr>
  </w:style>
  <w:style w:type="paragraph" w:styleId="NoSpacing">
    <w:name w:val="No Spacing"/>
    <w:basedOn w:val="Normal"/>
    <w:link w:val="NoSpacingChar"/>
    <w:uiPriority w:val="10"/>
    <w:qFormat/>
    <w:rsid w:val="00F83C5C"/>
    <w:pPr>
      <w:spacing w:before="0" w:after="0"/>
    </w:pPr>
  </w:style>
  <w:style w:type="paragraph" w:styleId="ListBullet">
    <w:name w:val="List Bullet"/>
    <w:basedOn w:val="Normal"/>
    <w:link w:val="ListBulletChar"/>
    <w:uiPriority w:val="1"/>
    <w:qFormat/>
    <w:rsid w:val="00415A0E"/>
    <w:pPr>
      <w:numPr>
        <w:numId w:val="17"/>
      </w:numPr>
      <w:tabs>
        <w:tab w:val="num" w:pos="360"/>
      </w:tabs>
      <w:contextualSpacing/>
    </w:pPr>
  </w:style>
  <w:style w:type="paragraph" w:styleId="ListBullet2">
    <w:name w:val="List Bullet 2"/>
    <w:basedOn w:val="Normal"/>
    <w:uiPriority w:val="1"/>
    <w:qFormat/>
    <w:rsid w:val="00415A0E"/>
    <w:pPr>
      <w:numPr>
        <w:ilvl w:val="1"/>
        <w:numId w:val="17"/>
      </w:numPr>
      <w:contextualSpacing/>
    </w:pPr>
  </w:style>
  <w:style w:type="paragraph" w:styleId="ListNumber">
    <w:name w:val="List Number"/>
    <w:basedOn w:val="Normal"/>
    <w:uiPriority w:val="2"/>
    <w:qFormat/>
    <w:rsid w:val="00F83C5C"/>
    <w:pPr>
      <w:numPr>
        <w:numId w:val="14"/>
      </w:numPr>
      <w:spacing w:before="60"/>
      <w:contextualSpacing/>
    </w:pPr>
  </w:style>
  <w:style w:type="numbering" w:customStyle="1" w:styleId="Bullets">
    <w:name w:val="Bullets"/>
    <w:uiPriority w:val="99"/>
    <w:rsid w:val="00F83C5C"/>
    <w:pPr>
      <w:numPr>
        <w:numId w:val="5"/>
      </w:numPr>
    </w:pPr>
  </w:style>
  <w:style w:type="character" w:customStyle="1" w:styleId="Heading1Char">
    <w:name w:val="Heading 1 Char"/>
    <w:basedOn w:val="DefaultParagraphFont"/>
    <w:link w:val="Heading1"/>
    <w:uiPriority w:val="9"/>
    <w:rsid w:val="00F83C5C"/>
    <w:rPr>
      <w:rFonts w:asciiTheme="majorHAnsi" w:hAnsiTheme="majorHAnsi"/>
      <w:color w:val="FFFFFF" w:themeColor="background1"/>
      <w:sz w:val="42"/>
      <w:szCs w:val="20"/>
      <w:shd w:val="clear" w:color="auto" w:fill="265A9A" w:themeFill="background2"/>
    </w:rPr>
  </w:style>
  <w:style w:type="paragraph" w:styleId="ListNumber2">
    <w:name w:val="List Number 2"/>
    <w:basedOn w:val="Normal"/>
    <w:uiPriority w:val="13"/>
    <w:semiHidden/>
    <w:qFormat/>
    <w:rsid w:val="00F83C5C"/>
    <w:pPr>
      <w:numPr>
        <w:ilvl w:val="1"/>
        <w:numId w:val="14"/>
      </w:numPr>
      <w:spacing w:before="60"/>
      <w:contextualSpacing/>
    </w:pPr>
  </w:style>
  <w:style w:type="character" w:customStyle="1" w:styleId="Heading2Char">
    <w:name w:val="Heading 2 Char"/>
    <w:basedOn w:val="DefaultParagraphFont"/>
    <w:link w:val="Heading2"/>
    <w:uiPriority w:val="9"/>
    <w:rsid w:val="00F83C5C"/>
    <w:rPr>
      <w:rFonts w:asciiTheme="majorHAnsi" w:eastAsiaTheme="majorEastAsia" w:hAnsiTheme="majorHAnsi" w:cstheme="majorBidi"/>
      <w:sz w:val="30"/>
      <w:szCs w:val="60"/>
    </w:rPr>
  </w:style>
  <w:style w:type="paragraph" w:styleId="ListParagraph">
    <w:name w:val="List Paragraph"/>
    <w:basedOn w:val="Normal"/>
    <w:uiPriority w:val="34"/>
    <w:rsid w:val="00F83C5C"/>
    <w:pPr>
      <w:spacing w:line="293" w:lineRule="auto"/>
      <w:ind w:left="284"/>
      <w:contextualSpacing/>
    </w:pPr>
  </w:style>
  <w:style w:type="paragraph" w:styleId="Header">
    <w:name w:val="header"/>
    <w:basedOn w:val="Normal"/>
    <w:link w:val="HeaderChar"/>
    <w:uiPriority w:val="99"/>
    <w:unhideWhenUsed/>
    <w:rsid w:val="00F83C5C"/>
    <w:pPr>
      <w:tabs>
        <w:tab w:val="center" w:pos="4513"/>
        <w:tab w:val="right" w:pos="9026"/>
      </w:tabs>
      <w:spacing w:after="0" w:line="240" w:lineRule="auto"/>
    </w:pPr>
    <w:rPr>
      <w:sz w:val="16"/>
    </w:rPr>
  </w:style>
  <w:style w:type="character" w:customStyle="1" w:styleId="HeaderChar">
    <w:name w:val="Header Char"/>
    <w:basedOn w:val="DefaultParagraphFont"/>
    <w:link w:val="Header"/>
    <w:uiPriority w:val="99"/>
    <w:rsid w:val="00F83C5C"/>
    <w:rPr>
      <w:sz w:val="16"/>
      <w:szCs w:val="20"/>
    </w:rPr>
  </w:style>
  <w:style w:type="paragraph" w:styleId="Footer">
    <w:name w:val="footer"/>
    <w:basedOn w:val="Normal"/>
    <w:link w:val="FooterChar"/>
    <w:uiPriority w:val="11"/>
    <w:rsid w:val="00F83C5C"/>
    <w:pPr>
      <w:tabs>
        <w:tab w:val="center" w:pos="4513"/>
        <w:tab w:val="right" w:pos="9026"/>
      </w:tabs>
      <w:spacing w:after="0" w:line="240" w:lineRule="auto"/>
      <w:contextualSpacing/>
    </w:pPr>
    <w:rPr>
      <w:rFonts w:asciiTheme="majorHAnsi" w:hAnsiTheme="majorHAnsi"/>
      <w:sz w:val="17"/>
      <w:szCs w:val="22"/>
    </w:rPr>
  </w:style>
  <w:style w:type="character" w:customStyle="1" w:styleId="FooterChar">
    <w:name w:val="Footer Char"/>
    <w:basedOn w:val="DefaultParagraphFont"/>
    <w:link w:val="Footer"/>
    <w:uiPriority w:val="11"/>
    <w:rsid w:val="00F83C5C"/>
    <w:rPr>
      <w:rFonts w:asciiTheme="majorHAnsi" w:hAnsiTheme="majorHAnsi"/>
      <w:sz w:val="17"/>
    </w:rPr>
  </w:style>
  <w:style w:type="numbering" w:customStyle="1" w:styleId="Numbering">
    <w:name w:val="Numbering"/>
    <w:uiPriority w:val="99"/>
    <w:rsid w:val="00F83C5C"/>
    <w:pPr>
      <w:numPr>
        <w:numId w:val="14"/>
      </w:numPr>
    </w:pPr>
  </w:style>
  <w:style w:type="paragraph" w:styleId="ListBullet3">
    <w:name w:val="List Bullet 3"/>
    <w:basedOn w:val="Normal"/>
    <w:uiPriority w:val="1"/>
    <w:qFormat/>
    <w:rsid w:val="00AE528A"/>
    <w:pPr>
      <w:numPr>
        <w:ilvl w:val="2"/>
        <w:numId w:val="17"/>
      </w:numPr>
      <w:contextualSpacing/>
    </w:pPr>
  </w:style>
  <w:style w:type="paragraph" w:styleId="ListContinue2">
    <w:name w:val="List Continue 2"/>
    <w:basedOn w:val="Normal"/>
    <w:uiPriority w:val="3"/>
    <w:unhideWhenUsed/>
    <w:qFormat/>
    <w:rsid w:val="00F83C5C"/>
    <w:pPr>
      <w:spacing w:before="60"/>
      <w:ind w:left="454"/>
    </w:pPr>
  </w:style>
  <w:style w:type="paragraph" w:styleId="ListNumber3">
    <w:name w:val="List Number 3"/>
    <w:basedOn w:val="Normal"/>
    <w:uiPriority w:val="13"/>
    <w:semiHidden/>
    <w:qFormat/>
    <w:rsid w:val="00F83C5C"/>
    <w:pPr>
      <w:numPr>
        <w:ilvl w:val="2"/>
        <w:numId w:val="14"/>
      </w:numPr>
      <w:spacing w:before="60"/>
      <w:contextualSpacing/>
    </w:pPr>
  </w:style>
  <w:style w:type="paragraph" w:styleId="ListNumber4">
    <w:name w:val="List Number 4"/>
    <w:basedOn w:val="Normal"/>
    <w:uiPriority w:val="13"/>
    <w:semiHidden/>
    <w:qFormat/>
    <w:rsid w:val="00F83C5C"/>
    <w:pPr>
      <w:numPr>
        <w:ilvl w:val="3"/>
        <w:numId w:val="14"/>
      </w:numPr>
      <w:spacing w:after="200" w:line="293" w:lineRule="auto"/>
      <w:contextualSpacing/>
    </w:pPr>
  </w:style>
  <w:style w:type="paragraph" w:styleId="ListNumber5">
    <w:name w:val="List Number 5"/>
    <w:basedOn w:val="Normal"/>
    <w:uiPriority w:val="13"/>
    <w:semiHidden/>
    <w:rsid w:val="00F83C5C"/>
    <w:pPr>
      <w:numPr>
        <w:ilvl w:val="4"/>
        <w:numId w:val="14"/>
      </w:numPr>
      <w:spacing w:after="200" w:line="293" w:lineRule="auto"/>
      <w:contextualSpacing/>
    </w:pPr>
  </w:style>
  <w:style w:type="paragraph" w:styleId="ListContinue">
    <w:name w:val="List Continue"/>
    <w:basedOn w:val="Normal"/>
    <w:uiPriority w:val="3"/>
    <w:unhideWhenUsed/>
    <w:qFormat/>
    <w:rsid w:val="00F83C5C"/>
    <w:pPr>
      <w:spacing w:before="60"/>
      <w:ind w:left="227"/>
    </w:pPr>
  </w:style>
  <w:style w:type="paragraph" w:styleId="ListContinue3">
    <w:name w:val="List Continue 3"/>
    <w:basedOn w:val="Normal"/>
    <w:uiPriority w:val="3"/>
    <w:unhideWhenUsed/>
    <w:qFormat/>
    <w:rsid w:val="00F83C5C"/>
    <w:pPr>
      <w:spacing w:before="60"/>
      <w:ind w:left="907"/>
    </w:pPr>
  </w:style>
  <w:style w:type="paragraph" w:styleId="ListContinue4">
    <w:name w:val="List Continue 4"/>
    <w:basedOn w:val="Normal"/>
    <w:uiPriority w:val="3"/>
    <w:unhideWhenUsed/>
    <w:qFormat/>
    <w:rsid w:val="00F83C5C"/>
    <w:pPr>
      <w:spacing w:line="293" w:lineRule="auto"/>
      <w:ind w:left="907"/>
      <w:contextualSpacing/>
    </w:pPr>
  </w:style>
  <w:style w:type="character" w:customStyle="1" w:styleId="Heading3Char">
    <w:name w:val="Heading 3 Char"/>
    <w:basedOn w:val="DefaultParagraphFont"/>
    <w:link w:val="Heading3"/>
    <w:uiPriority w:val="9"/>
    <w:rsid w:val="00F83C5C"/>
    <w:rPr>
      <w:rFonts w:asciiTheme="majorHAnsi" w:eastAsiaTheme="majorEastAsia" w:hAnsiTheme="majorHAnsi" w:cstheme="majorBidi"/>
      <w:color w:val="2D9AC2" w:themeColor="text2" w:themeShade="BF"/>
      <w:sz w:val="26"/>
      <w:szCs w:val="37"/>
    </w:rPr>
  </w:style>
  <w:style w:type="character" w:customStyle="1" w:styleId="Heading4Char">
    <w:name w:val="Heading 4 Char"/>
    <w:basedOn w:val="DefaultParagraphFont"/>
    <w:link w:val="Heading4"/>
    <w:uiPriority w:val="9"/>
    <w:rsid w:val="00F83C5C"/>
    <w:rPr>
      <w:rFonts w:asciiTheme="majorHAnsi" w:eastAsiaTheme="majorEastAsia" w:hAnsiTheme="majorHAnsi" w:cstheme="majorBidi"/>
      <w:iCs/>
      <w:color w:val="265A9A" w:themeColor="background2"/>
      <w:szCs w:val="33"/>
    </w:rPr>
  </w:style>
  <w:style w:type="character" w:customStyle="1" w:styleId="Heading5Char">
    <w:name w:val="Heading 5 Char"/>
    <w:basedOn w:val="DefaultParagraphFont"/>
    <w:link w:val="Heading5"/>
    <w:uiPriority w:val="9"/>
    <w:rsid w:val="00F83C5C"/>
    <w:rPr>
      <w:rFonts w:eastAsiaTheme="majorEastAsia" w:cstheme="majorBidi"/>
      <w:b/>
      <w:color w:val="265A9A" w:themeColor="background2"/>
      <w:szCs w:val="29"/>
    </w:rPr>
  </w:style>
  <w:style w:type="numbering" w:customStyle="1" w:styleId="ListHeadings">
    <w:name w:val="List Headings"/>
    <w:uiPriority w:val="99"/>
    <w:rsid w:val="00F83C5C"/>
    <w:pPr>
      <w:numPr>
        <w:numId w:val="12"/>
      </w:numPr>
    </w:pPr>
  </w:style>
  <w:style w:type="paragraph" w:styleId="Title">
    <w:name w:val="Title"/>
    <w:basedOn w:val="Heading1"/>
    <w:next w:val="Normal"/>
    <w:link w:val="TitleChar"/>
    <w:uiPriority w:val="39"/>
    <w:rsid w:val="00F83C5C"/>
    <w:pPr>
      <w:numPr>
        <w:numId w:val="0"/>
      </w:numPr>
      <w:pBdr>
        <w:top w:val="none" w:sz="0" w:space="0" w:color="auto"/>
        <w:left w:val="none" w:sz="0" w:space="0" w:color="auto"/>
        <w:bottom w:val="none" w:sz="0" w:space="0" w:color="auto"/>
        <w:right w:val="none" w:sz="0" w:space="0" w:color="auto"/>
      </w:pBdr>
      <w:shd w:val="clear" w:color="auto" w:fill="auto"/>
      <w:spacing w:before="560" w:line="204" w:lineRule="auto"/>
      <w:ind w:right="2268"/>
      <w:contextualSpacing/>
    </w:pPr>
    <w:rPr>
      <w:rFonts w:eastAsiaTheme="majorEastAsia" w:cstheme="majorBidi"/>
      <w:kern w:val="28"/>
      <w:sz w:val="52"/>
      <w:szCs w:val="56"/>
    </w:rPr>
  </w:style>
  <w:style w:type="character" w:customStyle="1" w:styleId="TitleChar">
    <w:name w:val="Title Char"/>
    <w:basedOn w:val="DefaultParagraphFont"/>
    <w:link w:val="Title"/>
    <w:uiPriority w:val="39"/>
    <w:rsid w:val="00F83C5C"/>
    <w:rPr>
      <w:rFonts w:asciiTheme="majorHAnsi" w:eastAsiaTheme="majorEastAsia" w:hAnsiTheme="majorHAnsi" w:cstheme="majorBidi"/>
      <w:color w:val="FFFFFF" w:themeColor="background1"/>
      <w:kern w:val="28"/>
      <w:sz w:val="52"/>
      <w:szCs w:val="56"/>
    </w:rPr>
  </w:style>
  <w:style w:type="paragraph" w:customStyle="1" w:styleId="Pull-outQuote">
    <w:name w:val="Pull-out Quote"/>
    <w:basedOn w:val="Normal"/>
    <w:link w:val="Pull-outQuoteChar"/>
    <w:uiPriority w:val="99"/>
    <w:semiHidden/>
    <w:rsid w:val="00F83C5C"/>
    <w:pPr>
      <w:pBdr>
        <w:top w:val="single" w:sz="4" w:space="4" w:color="66BCDB" w:themeColor="text2"/>
        <w:left w:val="single" w:sz="4" w:space="4" w:color="66BCDB" w:themeColor="text2"/>
        <w:bottom w:val="single" w:sz="4" w:space="4" w:color="66BCDB" w:themeColor="text2"/>
        <w:right w:val="single" w:sz="4" w:space="4" w:color="66BCDB" w:themeColor="text2"/>
      </w:pBdr>
      <w:shd w:val="clear" w:color="auto" w:fill="66BCDB" w:themeFill="text2"/>
      <w:spacing w:line="293" w:lineRule="auto"/>
      <w:ind w:left="113" w:right="113"/>
    </w:pPr>
    <w:rPr>
      <w:color w:val="FFFFFF" w:themeColor="background1"/>
    </w:rPr>
  </w:style>
  <w:style w:type="paragraph" w:customStyle="1" w:styleId="Pull-outQuoteHeading">
    <w:name w:val="Pull-out Quote Heading"/>
    <w:basedOn w:val="Pull-outQuote"/>
    <w:next w:val="Pull-outQuote"/>
    <w:link w:val="Pull-outQuoteHeadingChar"/>
    <w:uiPriority w:val="99"/>
    <w:semiHidden/>
    <w:rsid w:val="00F83C5C"/>
    <w:rPr>
      <w:b/>
    </w:rPr>
  </w:style>
  <w:style w:type="character" w:customStyle="1" w:styleId="Pull-outQuoteChar">
    <w:name w:val="Pull-out Quote Char"/>
    <w:basedOn w:val="DefaultParagraphFont"/>
    <w:link w:val="Pull-outQuote"/>
    <w:uiPriority w:val="99"/>
    <w:semiHidden/>
    <w:rsid w:val="00F83C5C"/>
    <w:rPr>
      <w:color w:val="FFFFFF" w:themeColor="background1"/>
      <w:sz w:val="20"/>
      <w:szCs w:val="20"/>
      <w:shd w:val="clear" w:color="auto" w:fill="66BCDB" w:themeFill="text2"/>
    </w:rPr>
  </w:style>
  <w:style w:type="character" w:customStyle="1" w:styleId="Pull-outQuoteHeadingChar">
    <w:name w:val="Pull-out Quote Heading Char"/>
    <w:basedOn w:val="Pull-outQuoteChar"/>
    <w:link w:val="Pull-outQuoteHeading"/>
    <w:uiPriority w:val="99"/>
    <w:semiHidden/>
    <w:rsid w:val="00F83C5C"/>
    <w:rPr>
      <w:b/>
      <w:color w:val="FFFFFF" w:themeColor="background1"/>
      <w:sz w:val="20"/>
      <w:szCs w:val="20"/>
      <w:shd w:val="clear" w:color="auto" w:fill="66BCDB" w:themeFill="text2"/>
    </w:rPr>
  </w:style>
  <w:style w:type="paragraph" w:customStyle="1" w:styleId="NumberedHeading1">
    <w:name w:val="Numbered Heading 1"/>
    <w:basedOn w:val="Heading1"/>
    <w:next w:val="Normal"/>
    <w:link w:val="NumberedHeading1Char"/>
    <w:uiPriority w:val="9"/>
    <w:semiHidden/>
    <w:rsid w:val="00F83C5C"/>
  </w:style>
  <w:style w:type="paragraph" w:customStyle="1" w:styleId="NumberedHeading2">
    <w:name w:val="Numbered Heading 2"/>
    <w:basedOn w:val="Heading2"/>
    <w:next w:val="Normal"/>
    <w:link w:val="NumberedHeading2Char"/>
    <w:uiPriority w:val="9"/>
    <w:semiHidden/>
    <w:rsid w:val="00F83C5C"/>
  </w:style>
  <w:style w:type="character" w:customStyle="1" w:styleId="NumberedHeading1Char">
    <w:name w:val="Numbered Heading 1 Char"/>
    <w:basedOn w:val="Heading1Char"/>
    <w:link w:val="NumberedHeading1"/>
    <w:uiPriority w:val="9"/>
    <w:semiHidden/>
    <w:rsid w:val="00F83C5C"/>
    <w:rPr>
      <w:rFonts w:asciiTheme="majorHAnsi" w:hAnsiTheme="majorHAnsi"/>
      <w:color w:val="FFFFFF" w:themeColor="background1"/>
      <w:sz w:val="42"/>
      <w:szCs w:val="20"/>
      <w:shd w:val="clear" w:color="auto" w:fill="265A9A" w:themeFill="background2"/>
    </w:rPr>
  </w:style>
  <w:style w:type="character" w:customStyle="1" w:styleId="NumberedHeading2Char">
    <w:name w:val="Numbered Heading 2 Char"/>
    <w:basedOn w:val="Heading2Char"/>
    <w:link w:val="NumberedHeading2"/>
    <w:uiPriority w:val="9"/>
    <w:semiHidden/>
    <w:rsid w:val="00F83C5C"/>
    <w:rPr>
      <w:rFonts w:asciiTheme="majorHAnsi" w:eastAsiaTheme="majorEastAsia" w:hAnsiTheme="majorHAnsi" w:cstheme="majorBidi"/>
      <w:sz w:val="30"/>
      <w:szCs w:val="60"/>
    </w:rPr>
  </w:style>
  <w:style w:type="paragraph" w:styleId="ListContinue5">
    <w:name w:val="List Continue 5"/>
    <w:basedOn w:val="Normal"/>
    <w:uiPriority w:val="3"/>
    <w:unhideWhenUsed/>
    <w:qFormat/>
    <w:rsid w:val="00F83C5C"/>
    <w:pPr>
      <w:ind w:left="1134"/>
      <w:contextualSpacing/>
    </w:pPr>
  </w:style>
  <w:style w:type="table" w:styleId="TableGrid">
    <w:name w:val="Table Grid"/>
    <w:basedOn w:val="TableNormal"/>
    <w:uiPriority w:val="39"/>
    <w:rsid w:val="00F83C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4"/>
    <w:qFormat/>
    <w:rsid w:val="00F83C5C"/>
    <w:pPr>
      <w:spacing w:before="0" w:after="40"/>
    </w:pPr>
    <w:rPr>
      <w:rFonts w:asciiTheme="majorHAnsi" w:hAnsiTheme="majorHAnsi"/>
      <w:iCs/>
      <w:color w:val="000000" w:themeColor="text1"/>
      <w:szCs w:val="18"/>
    </w:rPr>
  </w:style>
  <w:style w:type="paragraph" w:styleId="List">
    <w:name w:val="List"/>
    <w:basedOn w:val="Normal"/>
    <w:uiPriority w:val="99"/>
    <w:semiHidden/>
    <w:qFormat/>
    <w:rsid w:val="00F83C5C"/>
    <w:pPr>
      <w:numPr>
        <w:numId w:val="9"/>
      </w:numPr>
      <w:spacing w:before="60"/>
    </w:pPr>
  </w:style>
  <w:style w:type="paragraph" w:styleId="List2">
    <w:name w:val="List 2"/>
    <w:basedOn w:val="Normal"/>
    <w:uiPriority w:val="99"/>
    <w:semiHidden/>
    <w:qFormat/>
    <w:rsid w:val="00F83C5C"/>
    <w:pPr>
      <w:numPr>
        <w:ilvl w:val="1"/>
        <w:numId w:val="9"/>
      </w:numPr>
      <w:spacing w:before="60"/>
    </w:pPr>
  </w:style>
  <w:style w:type="numbering" w:customStyle="1" w:styleId="LetteredList">
    <w:name w:val="Lettered List"/>
    <w:uiPriority w:val="99"/>
    <w:rsid w:val="00F83C5C"/>
    <w:pPr>
      <w:numPr>
        <w:numId w:val="8"/>
      </w:numPr>
    </w:pPr>
  </w:style>
  <w:style w:type="paragraph" w:styleId="Subtitle">
    <w:name w:val="Subtitle"/>
    <w:basedOn w:val="Normal"/>
    <w:next w:val="Normal"/>
    <w:link w:val="SubtitleChar"/>
    <w:uiPriority w:val="39"/>
    <w:rsid w:val="00F83C5C"/>
    <w:pPr>
      <w:numPr>
        <w:ilvl w:val="1"/>
      </w:numPr>
      <w:spacing w:before="240" w:after="240" w:line="240" w:lineRule="auto"/>
    </w:pPr>
    <w:rPr>
      <w:rFonts w:eastAsiaTheme="minorEastAsia"/>
      <w:color w:val="FFFFFF" w:themeColor="background1"/>
      <w:sz w:val="52"/>
    </w:rPr>
  </w:style>
  <w:style w:type="character" w:customStyle="1" w:styleId="SubtitleChar">
    <w:name w:val="Subtitle Char"/>
    <w:basedOn w:val="DefaultParagraphFont"/>
    <w:link w:val="Subtitle"/>
    <w:uiPriority w:val="39"/>
    <w:rsid w:val="00F83C5C"/>
    <w:rPr>
      <w:rFonts w:eastAsiaTheme="minorEastAsia"/>
      <w:color w:val="FFFFFF" w:themeColor="background1"/>
      <w:sz w:val="52"/>
      <w:szCs w:val="20"/>
    </w:rPr>
  </w:style>
  <w:style w:type="character" w:styleId="Strong">
    <w:name w:val="Strong"/>
    <w:basedOn w:val="DefaultParagraphFont"/>
    <w:uiPriority w:val="22"/>
    <w:qFormat/>
    <w:rsid w:val="00F83C5C"/>
    <w:rPr>
      <w:rFonts w:asciiTheme="minorHAnsi" w:hAnsiTheme="minorHAnsi"/>
      <w:b/>
      <w:bCs/>
    </w:rPr>
  </w:style>
  <w:style w:type="paragraph" w:customStyle="1" w:styleId="Header-Keyline">
    <w:name w:val="Header - Keyline"/>
    <w:basedOn w:val="Header"/>
    <w:link w:val="Header-KeylineChar"/>
    <w:uiPriority w:val="99"/>
    <w:rsid w:val="00F83C5C"/>
    <w:pPr>
      <w:pBdr>
        <w:bottom w:val="single" w:sz="4" w:space="31" w:color="66BCDB" w:themeColor="text2"/>
      </w:pBdr>
      <w:spacing w:after="600"/>
    </w:pPr>
  </w:style>
  <w:style w:type="character" w:customStyle="1" w:styleId="Heading6Char">
    <w:name w:val="Heading 6 Char"/>
    <w:basedOn w:val="DefaultParagraphFont"/>
    <w:link w:val="Heading6"/>
    <w:uiPriority w:val="9"/>
    <w:rsid w:val="00F83C5C"/>
    <w:rPr>
      <w:rFonts w:eastAsiaTheme="majorEastAsia" w:cstheme="minorHAnsi"/>
      <w:b/>
      <w:bCs/>
      <w:i/>
      <w:color w:val="265A9A" w:themeColor="background2"/>
      <w:sz w:val="20"/>
      <w:szCs w:val="24"/>
    </w:rPr>
  </w:style>
  <w:style w:type="character" w:customStyle="1" w:styleId="Header-KeylineChar">
    <w:name w:val="Header - Keyline Char"/>
    <w:basedOn w:val="HeaderChar"/>
    <w:link w:val="Header-Keyline"/>
    <w:uiPriority w:val="99"/>
    <w:rsid w:val="00F83C5C"/>
    <w:rPr>
      <w:sz w:val="16"/>
      <w:szCs w:val="20"/>
    </w:rPr>
  </w:style>
  <w:style w:type="character" w:customStyle="1" w:styleId="Heading7Char">
    <w:name w:val="Heading 7 Char"/>
    <w:basedOn w:val="DefaultParagraphFont"/>
    <w:link w:val="Heading7"/>
    <w:uiPriority w:val="9"/>
    <w:semiHidden/>
    <w:rsid w:val="00F83C5C"/>
    <w:rPr>
      <w:rFonts w:eastAsiaTheme="majorEastAsia" w:cstheme="minorHAnsi"/>
      <w:b/>
      <w:bCs/>
      <w:i/>
      <w:iCs/>
      <w:color w:val="265A9A" w:themeColor="background2"/>
      <w:sz w:val="20"/>
    </w:rPr>
  </w:style>
  <w:style w:type="character" w:customStyle="1" w:styleId="Heading8Char">
    <w:name w:val="Heading 8 Char"/>
    <w:basedOn w:val="DefaultParagraphFont"/>
    <w:link w:val="Heading8"/>
    <w:uiPriority w:val="9"/>
    <w:semiHidden/>
    <w:rsid w:val="00F83C5C"/>
    <w:rPr>
      <w:rFonts w:eastAsiaTheme="majorEastAsia" w:cstheme="majorBidi"/>
      <w:b/>
      <w:sz w:val="18"/>
      <w:szCs w:val="21"/>
    </w:rPr>
  </w:style>
  <w:style w:type="table" w:customStyle="1" w:styleId="ProductivityCommissionTable1">
    <w:name w:val="Productivity Commission Table 1"/>
    <w:basedOn w:val="TableNormal"/>
    <w:uiPriority w:val="99"/>
    <w:rsid w:val="00F83C5C"/>
    <w:pPr>
      <w:spacing w:after="0" w:line="240" w:lineRule="auto"/>
    </w:pPr>
    <w:tblPr>
      <w:tblStyleRowBandSize w:val="1"/>
      <w:tblBorders>
        <w:top w:val="single" w:sz="4" w:space="0" w:color="BFBFBF"/>
        <w:bottom w:val="single" w:sz="4" w:space="0" w:color="B3B3B3"/>
        <w:insideH w:val="single" w:sz="4" w:space="0" w:color="B3B3B3"/>
      </w:tblBorders>
      <w:tblCellMar>
        <w:top w:w="45" w:type="dxa"/>
        <w:left w:w="0" w:type="dxa"/>
        <w:bottom w:w="4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Heading9Char">
    <w:name w:val="Heading 9 Char"/>
    <w:basedOn w:val="DefaultParagraphFont"/>
    <w:link w:val="Heading9"/>
    <w:uiPriority w:val="9"/>
    <w:semiHidden/>
    <w:rsid w:val="00F83C5C"/>
    <w:rPr>
      <w:rFonts w:asciiTheme="majorHAnsi" w:hAnsiTheme="majorHAnsi"/>
      <w:color w:val="4D7028" w:themeColor="accent2"/>
      <w:sz w:val="18"/>
      <w:szCs w:val="18"/>
    </w:rPr>
  </w:style>
  <w:style w:type="table" w:customStyle="1" w:styleId="ProductivityCommissionTable3">
    <w:name w:val="Productivity Commission Table 3"/>
    <w:basedOn w:val="TableNormal"/>
    <w:uiPriority w:val="99"/>
    <w:rsid w:val="00F83C5C"/>
    <w:pPr>
      <w:spacing w:after="0" w:line="240" w:lineRule="auto"/>
      <w:jc w:val="right"/>
    </w:pPr>
    <w:tblPr>
      <w:tblCellMar>
        <w:top w:w="45" w:type="dxa"/>
        <w:left w:w="0" w:type="dxa"/>
        <w:bottom w:w="45" w:type="dxa"/>
        <w:right w:w="28" w:type="dxa"/>
      </w:tblCellMar>
    </w:tblPr>
    <w:tblStylePr w:type="firstRow">
      <w:rPr>
        <w:b/>
        <w:color w:val="66BCDB" w:themeColor="text2"/>
      </w:rPr>
      <w:tblPr/>
      <w:tcPr>
        <w:tcBorders>
          <w:top w:val="nil"/>
          <w:left w:val="nil"/>
          <w:bottom w:val="single" w:sz="4" w:space="0" w:color="F4B123" w:themeColor="accent3"/>
          <w:right w:val="nil"/>
          <w:insideH w:val="nil"/>
          <w:insideV w:val="nil"/>
          <w:tl2br w:val="nil"/>
          <w:tr2bl w:val="nil"/>
        </w:tcBorders>
      </w:tcPr>
    </w:tblStylePr>
    <w:tblStylePr w:type="lastRow">
      <w:rPr>
        <w:b/>
      </w:rPr>
      <w:tblPr/>
      <w:tcPr>
        <w:tcBorders>
          <w:top w:val="single" w:sz="4" w:space="0" w:color="F4B123" w:themeColor="accent3"/>
          <w:left w:val="nil"/>
          <w:bottom w:val="single" w:sz="4" w:space="0" w:color="F4B123" w:themeColor="accent3"/>
          <w:right w:val="nil"/>
          <w:insideH w:val="nil"/>
          <w:insideV w:val="nil"/>
          <w:tl2br w:val="nil"/>
          <w:tr2bl w:val="nil"/>
        </w:tcBorders>
      </w:tcPr>
    </w:tblStylePr>
    <w:tblStylePr w:type="firstCol">
      <w:pPr>
        <w:jc w:val="left"/>
      </w:pPr>
    </w:tblStylePr>
  </w:style>
  <w:style w:type="paragraph" w:styleId="TOCHeading">
    <w:name w:val="TOC Heading"/>
    <w:next w:val="Normal"/>
    <w:uiPriority w:val="39"/>
    <w:unhideWhenUsed/>
    <w:rsid w:val="00F83C5C"/>
    <w:pPr>
      <w:spacing w:before="240" w:after="240" w:line="500" w:lineRule="atLeast"/>
      <w:outlineLvl w:val="0"/>
    </w:pPr>
    <w:rPr>
      <w:rFonts w:asciiTheme="majorHAnsi" w:hAnsiTheme="majorHAnsi"/>
      <w:color w:val="265A9A" w:themeColor="background2"/>
      <w:sz w:val="42"/>
      <w:szCs w:val="20"/>
    </w:rPr>
  </w:style>
  <w:style w:type="paragraph" w:styleId="FootnoteText">
    <w:name w:val="footnote text"/>
    <w:basedOn w:val="Normal"/>
    <w:link w:val="FootnoteTextChar"/>
    <w:uiPriority w:val="99"/>
    <w:rsid w:val="00F83C5C"/>
    <w:pPr>
      <w:spacing w:before="60" w:after="60" w:line="293" w:lineRule="auto"/>
      <w:contextualSpacing/>
    </w:pPr>
    <w:rPr>
      <w:sz w:val="18"/>
    </w:rPr>
  </w:style>
  <w:style w:type="paragraph" w:styleId="TOC1">
    <w:name w:val="toc 1"/>
    <w:basedOn w:val="Normal"/>
    <w:next w:val="BodyText"/>
    <w:autoRedefine/>
    <w:uiPriority w:val="39"/>
    <w:unhideWhenUsed/>
    <w:rsid w:val="00F83C5C"/>
    <w:pPr>
      <w:tabs>
        <w:tab w:val="left" w:pos="567"/>
        <w:tab w:val="right" w:pos="7938"/>
      </w:tabs>
      <w:spacing w:after="100" w:line="293" w:lineRule="auto"/>
      <w:ind w:left="567" w:right="1701" w:hanging="567"/>
    </w:pPr>
    <w:rPr>
      <w:rFonts w:asciiTheme="majorHAnsi" w:hAnsiTheme="majorHAnsi"/>
      <w:color w:val="265A9A" w:themeColor="background2"/>
    </w:rPr>
  </w:style>
  <w:style w:type="character" w:customStyle="1" w:styleId="FootnoteTextChar">
    <w:name w:val="Footnote Text Char"/>
    <w:basedOn w:val="DefaultParagraphFont"/>
    <w:link w:val="FootnoteText"/>
    <w:uiPriority w:val="99"/>
    <w:rsid w:val="00F83C5C"/>
    <w:rPr>
      <w:sz w:val="18"/>
      <w:szCs w:val="20"/>
    </w:rPr>
  </w:style>
  <w:style w:type="character" w:styleId="FootnoteReference">
    <w:name w:val="footnote reference"/>
    <w:basedOn w:val="DefaultParagraphFont"/>
    <w:uiPriority w:val="99"/>
    <w:semiHidden/>
    <w:unhideWhenUsed/>
    <w:rsid w:val="00F83C5C"/>
    <w:rPr>
      <w:vertAlign w:val="superscript"/>
    </w:rPr>
  </w:style>
  <w:style w:type="character" w:styleId="Hyperlink">
    <w:name w:val="Hyperlink"/>
    <w:basedOn w:val="DefaultParagraphFont"/>
    <w:uiPriority w:val="99"/>
    <w:unhideWhenUsed/>
    <w:rsid w:val="00F83C5C"/>
    <w:rPr>
      <w:color w:val="000000" w:themeColor="hyperlink"/>
      <w:u w:val="single"/>
    </w:rPr>
  </w:style>
  <w:style w:type="character" w:styleId="HTMLVariable">
    <w:name w:val="HTML Variable"/>
    <w:basedOn w:val="DefaultParagraphFont"/>
    <w:uiPriority w:val="99"/>
    <w:unhideWhenUsed/>
    <w:rsid w:val="00F83C5C"/>
    <w:rPr>
      <w:i/>
      <w:iCs/>
    </w:rPr>
  </w:style>
  <w:style w:type="paragraph" w:styleId="TOC2">
    <w:name w:val="toc 2"/>
    <w:basedOn w:val="Normal"/>
    <w:next w:val="Normal"/>
    <w:autoRedefine/>
    <w:uiPriority w:val="39"/>
    <w:unhideWhenUsed/>
    <w:rsid w:val="00F83C5C"/>
    <w:pPr>
      <w:tabs>
        <w:tab w:val="left" w:pos="567"/>
        <w:tab w:val="left" w:pos="1134"/>
        <w:tab w:val="right" w:pos="7938"/>
      </w:tabs>
      <w:spacing w:after="100" w:line="293" w:lineRule="auto"/>
      <w:ind w:left="567" w:right="1701"/>
    </w:pPr>
    <w:rPr>
      <w:noProof/>
    </w:rPr>
  </w:style>
  <w:style w:type="paragraph" w:styleId="TOC3">
    <w:name w:val="toc 3"/>
    <w:basedOn w:val="Normal"/>
    <w:next w:val="Normal"/>
    <w:autoRedefine/>
    <w:uiPriority w:val="39"/>
    <w:unhideWhenUsed/>
    <w:rsid w:val="00F83C5C"/>
    <w:pPr>
      <w:tabs>
        <w:tab w:val="right" w:pos="7938"/>
      </w:tabs>
      <w:spacing w:after="100" w:line="293" w:lineRule="auto"/>
      <w:ind w:right="1701"/>
    </w:pPr>
    <w:rPr>
      <w:rFonts w:asciiTheme="majorHAnsi" w:hAnsiTheme="majorHAnsi"/>
      <w:color w:val="265A9A" w:themeColor="background2"/>
    </w:rPr>
  </w:style>
  <w:style w:type="paragraph" w:customStyle="1" w:styleId="Subtitle2">
    <w:name w:val="Subtitle 2"/>
    <w:basedOn w:val="Normal"/>
    <w:link w:val="Subtitle2Char"/>
    <w:uiPriority w:val="39"/>
    <w:rsid w:val="00F83C5C"/>
    <w:pPr>
      <w:spacing w:before="180" w:line="293" w:lineRule="auto"/>
    </w:pPr>
    <w:rPr>
      <w:rFonts w:asciiTheme="majorHAnsi" w:hAnsiTheme="majorHAnsi"/>
      <w:color w:val="FFFFFF" w:themeColor="background1"/>
      <w:spacing w:val="6"/>
      <w:sz w:val="28"/>
    </w:rPr>
  </w:style>
  <w:style w:type="paragraph" w:customStyle="1" w:styleId="Copyrightpage-Heading2">
    <w:name w:val="Copyright page-Heading 2"/>
    <w:basedOn w:val="NoSpacing"/>
    <w:link w:val="Copyrightpage-Heading2Char"/>
    <w:uiPriority w:val="19"/>
    <w:rsid w:val="00F83C5C"/>
    <w:pPr>
      <w:spacing w:before="240" w:after="60"/>
    </w:pPr>
    <w:rPr>
      <w:b/>
      <w:color w:val="FFFFFF" w:themeColor="background1"/>
      <w:sz w:val="16"/>
      <w:szCs w:val="16"/>
    </w:rPr>
  </w:style>
  <w:style w:type="character" w:customStyle="1" w:styleId="Subtitle2Char">
    <w:name w:val="Subtitle 2 Char"/>
    <w:basedOn w:val="DefaultParagraphFont"/>
    <w:link w:val="Subtitle2"/>
    <w:uiPriority w:val="39"/>
    <w:rsid w:val="00F83C5C"/>
    <w:rPr>
      <w:rFonts w:asciiTheme="majorHAnsi" w:hAnsiTheme="majorHAnsi"/>
      <w:color w:val="FFFFFF" w:themeColor="background1"/>
      <w:spacing w:val="6"/>
      <w:sz w:val="28"/>
      <w:szCs w:val="20"/>
    </w:rPr>
  </w:style>
  <w:style w:type="paragraph" w:customStyle="1" w:styleId="Copyrightpage-BodyText">
    <w:name w:val="Copyright page-Body Text"/>
    <w:basedOn w:val="Normal"/>
    <w:link w:val="Copyrightpage-BodyTextChar"/>
    <w:uiPriority w:val="19"/>
    <w:rsid w:val="00F83C5C"/>
    <w:pPr>
      <w:spacing w:before="80" w:line="250" w:lineRule="atLeast"/>
    </w:pPr>
    <w:rPr>
      <w:color w:val="FFFFFF" w:themeColor="background1"/>
      <w:sz w:val="16"/>
    </w:rPr>
  </w:style>
  <w:style w:type="character" w:customStyle="1" w:styleId="NoSpacingChar">
    <w:name w:val="No Spacing Char"/>
    <w:basedOn w:val="DefaultParagraphFont"/>
    <w:link w:val="NoSpacing"/>
    <w:uiPriority w:val="10"/>
    <w:rsid w:val="00F83C5C"/>
    <w:rPr>
      <w:sz w:val="20"/>
      <w:szCs w:val="20"/>
    </w:rPr>
  </w:style>
  <w:style w:type="character" w:customStyle="1" w:styleId="Copyrightpage-Heading2Char">
    <w:name w:val="Copyright page-Heading 2 Char"/>
    <w:basedOn w:val="NoSpacingChar"/>
    <w:link w:val="Copyrightpage-Heading2"/>
    <w:uiPriority w:val="19"/>
    <w:rsid w:val="00F83C5C"/>
    <w:rPr>
      <w:b/>
      <w:color w:val="FFFFFF" w:themeColor="background1"/>
      <w:sz w:val="16"/>
      <w:szCs w:val="16"/>
    </w:rPr>
  </w:style>
  <w:style w:type="paragraph" w:customStyle="1" w:styleId="Copyrightpage-Heading">
    <w:name w:val="Copyright page-Heading"/>
    <w:basedOn w:val="Subtitle2"/>
    <w:link w:val="Copyrightpage-HeadingChar"/>
    <w:uiPriority w:val="19"/>
    <w:rsid w:val="00F83C5C"/>
    <w:pPr>
      <w:spacing w:before="0" w:line="240" w:lineRule="auto"/>
    </w:pPr>
    <w:rPr>
      <w:spacing w:val="4"/>
      <w:sz w:val="19"/>
      <w:szCs w:val="18"/>
    </w:rPr>
  </w:style>
  <w:style w:type="character" w:customStyle="1" w:styleId="Copyrightpage-BodyTextChar">
    <w:name w:val="Copyright page-Body Text Char"/>
    <w:basedOn w:val="DefaultParagraphFont"/>
    <w:link w:val="Copyrightpage-BodyText"/>
    <w:uiPriority w:val="19"/>
    <w:rsid w:val="00F83C5C"/>
    <w:rPr>
      <w:color w:val="FFFFFF" w:themeColor="background1"/>
      <w:sz w:val="16"/>
      <w:szCs w:val="20"/>
    </w:rPr>
  </w:style>
  <w:style w:type="paragraph" w:customStyle="1" w:styleId="Subtitle4">
    <w:name w:val="Subtitle 4"/>
    <w:basedOn w:val="Copyrightpage-Heading"/>
    <w:link w:val="Subtitle4Char"/>
    <w:uiPriority w:val="39"/>
    <w:rsid w:val="00F83C5C"/>
    <w:pPr>
      <w:spacing w:after="40"/>
    </w:pPr>
    <w:rPr>
      <w:b/>
      <w:sz w:val="16"/>
    </w:rPr>
  </w:style>
  <w:style w:type="character" w:customStyle="1" w:styleId="Copyrightpage-HeadingChar">
    <w:name w:val="Copyright page-Heading Char"/>
    <w:basedOn w:val="Subtitle2Char"/>
    <w:link w:val="Copyrightpage-Heading"/>
    <w:uiPriority w:val="19"/>
    <w:rsid w:val="00F83C5C"/>
    <w:rPr>
      <w:rFonts w:asciiTheme="majorHAnsi" w:hAnsiTheme="majorHAnsi"/>
      <w:color w:val="FFFFFF" w:themeColor="background1"/>
      <w:spacing w:val="4"/>
      <w:sz w:val="19"/>
      <w:szCs w:val="18"/>
    </w:rPr>
  </w:style>
  <w:style w:type="paragraph" w:customStyle="1" w:styleId="Heading1-noTOC">
    <w:name w:val="Heading 1-no TOC"/>
    <w:next w:val="BodyText"/>
    <w:uiPriority w:val="9"/>
    <w:qFormat/>
    <w:rsid w:val="00F83C5C"/>
    <w:pPr>
      <w:spacing w:before="600" w:after="480" w:line="504" w:lineRule="atLeast"/>
    </w:pPr>
    <w:rPr>
      <w:rFonts w:asciiTheme="majorHAnsi" w:eastAsiaTheme="majorEastAsia" w:hAnsiTheme="majorHAnsi" w:cstheme="majorBidi"/>
      <w:b/>
      <w:color w:val="265A9A" w:themeColor="background2"/>
      <w:sz w:val="42"/>
      <w:szCs w:val="68"/>
    </w:rPr>
  </w:style>
  <w:style w:type="character" w:customStyle="1" w:styleId="Subtitle4Char">
    <w:name w:val="Subtitle 4 Char"/>
    <w:basedOn w:val="Copyrightpage-HeadingChar"/>
    <w:link w:val="Subtitle4"/>
    <w:uiPriority w:val="39"/>
    <w:rsid w:val="00F83C5C"/>
    <w:rPr>
      <w:rFonts w:asciiTheme="majorHAnsi" w:hAnsiTheme="majorHAnsi"/>
      <w:b/>
      <w:color w:val="FFFFFF" w:themeColor="background1"/>
      <w:spacing w:val="4"/>
      <w:sz w:val="16"/>
      <w:szCs w:val="18"/>
    </w:rPr>
  </w:style>
  <w:style w:type="paragraph" w:customStyle="1" w:styleId="Heading2-noTOC">
    <w:name w:val="Heading 2-no TOC"/>
    <w:next w:val="BodyText"/>
    <w:uiPriority w:val="9"/>
    <w:unhideWhenUsed/>
    <w:qFormat/>
    <w:rsid w:val="00F83C5C"/>
    <w:pPr>
      <w:spacing w:before="240" w:after="120" w:line="360" w:lineRule="atLeast"/>
    </w:pPr>
    <w:rPr>
      <w:rFonts w:asciiTheme="majorHAnsi" w:eastAsiaTheme="majorEastAsia" w:hAnsiTheme="majorHAnsi" w:cstheme="majorBidi"/>
      <w:sz w:val="30"/>
      <w:szCs w:val="60"/>
    </w:rPr>
  </w:style>
  <w:style w:type="paragraph" w:styleId="TOC4">
    <w:name w:val="toc 4"/>
    <w:basedOn w:val="Normal"/>
    <w:next w:val="Normal"/>
    <w:autoRedefine/>
    <w:uiPriority w:val="39"/>
    <w:unhideWhenUsed/>
    <w:rsid w:val="00F83C5C"/>
    <w:pPr>
      <w:tabs>
        <w:tab w:val="right" w:pos="7938"/>
        <w:tab w:val="right" w:pos="9628"/>
      </w:tabs>
      <w:spacing w:after="100" w:line="293" w:lineRule="auto"/>
      <w:ind w:left="567" w:right="1701"/>
    </w:pPr>
  </w:style>
  <w:style w:type="paragraph" w:customStyle="1" w:styleId="LetterRight">
    <w:name w:val="Letter Right"/>
    <w:basedOn w:val="Normal"/>
    <w:link w:val="LetterRightChar"/>
    <w:uiPriority w:val="99"/>
    <w:rsid w:val="00F83C5C"/>
    <w:pPr>
      <w:spacing w:line="360" w:lineRule="auto"/>
      <w:jc w:val="right"/>
    </w:pPr>
    <w:rPr>
      <w:sz w:val="16"/>
    </w:rPr>
  </w:style>
  <w:style w:type="paragraph" w:customStyle="1" w:styleId="Letterlogo">
    <w:name w:val="Letter logo"/>
    <w:basedOn w:val="LetterRight"/>
    <w:uiPriority w:val="99"/>
    <w:rsid w:val="00F83C5C"/>
    <w:pPr>
      <w:spacing w:after="320"/>
    </w:pPr>
  </w:style>
  <w:style w:type="character" w:customStyle="1" w:styleId="LetterRightChar">
    <w:name w:val="Letter Right Char"/>
    <w:basedOn w:val="DefaultParagraphFont"/>
    <w:link w:val="LetterRight"/>
    <w:uiPriority w:val="99"/>
    <w:rsid w:val="00F83C5C"/>
    <w:rPr>
      <w:sz w:val="16"/>
      <w:szCs w:val="20"/>
    </w:rPr>
  </w:style>
  <w:style w:type="character" w:styleId="UnresolvedMention">
    <w:name w:val="Unresolved Mention"/>
    <w:basedOn w:val="DefaultParagraphFont"/>
    <w:uiPriority w:val="99"/>
    <w:semiHidden/>
    <w:unhideWhenUsed/>
    <w:rsid w:val="00F83C5C"/>
    <w:rPr>
      <w:color w:val="605E5C"/>
      <w:shd w:val="clear" w:color="auto" w:fill="E1DFDD"/>
    </w:rPr>
  </w:style>
  <w:style w:type="paragraph" w:customStyle="1" w:styleId="LetterRight-NoSpace">
    <w:name w:val="Letter Right-No Space"/>
    <w:basedOn w:val="LetterRight"/>
    <w:uiPriority w:val="99"/>
    <w:rsid w:val="00F83C5C"/>
    <w:pPr>
      <w:spacing w:after="0"/>
    </w:pPr>
  </w:style>
  <w:style w:type="table" w:customStyle="1" w:styleId="Blank">
    <w:name w:val="Blank"/>
    <w:basedOn w:val="TableNormal"/>
    <w:uiPriority w:val="99"/>
    <w:rsid w:val="00F83C5C"/>
    <w:pPr>
      <w:spacing w:after="0" w:line="240" w:lineRule="auto"/>
    </w:pPr>
    <w:tblPr>
      <w:tblCellMar>
        <w:top w:w="57" w:type="dxa"/>
        <w:left w:w="0" w:type="dxa"/>
        <w:bottom w:w="57" w:type="dxa"/>
        <w:right w:w="0" w:type="dxa"/>
      </w:tblCellMar>
    </w:tblPr>
  </w:style>
  <w:style w:type="paragraph" w:styleId="ListBullet5">
    <w:name w:val="List Bullet 5"/>
    <w:basedOn w:val="Normal"/>
    <w:uiPriority w:val="13"/>
    <w:semiHidden/>
    <w:rsid w:val="00F83C5C"/>
    <w:pPr>
      <w:numPr>
        <w:numId w:val="11"/>
      </w:numPr>
      <w:contextualSpacing/>
    </w:pPr>
  </w:style>
  <w:style w:type="paragraph" w:customStyle="1" w:styleId="Coverdate">
    <w:name w:val="Cover date"/>
    <w:basedOn w:val="Normal"/>
    <w:uiPriority w:val="29"/>
    <w:rsid w:val="00F83C5C"/>
    <w:pPr>
      <w:framePr w:wrap="around" w:vAnchor="page" w:hAnchor="margin" w:xAlign="right" w:y="1135" w:anchorLock="1"/>
    </w:pPr>
  </w:style>
  <w:style w:type="table" w:customStyle="1" w:styleId="ProductivityCommissionTable2">
    <w:name w:val="Productivity Commission Table 2"/>
    <w:basedOn w:val="ProductivityCommissionTable1"/>
    <w:uiPriority w:val="99"/>
    <w:rsid w:val="00F83C5C"/>
    <w:tblPr>
      <w:tblBorders>
        <w:top w:val="single" w:sz="4" w:space="0" w:color="B3B3B3"/>
        <w:bottom w:val="none" w:sz="0" w:space="0" w:color="auto"/>
        <w:insideH w:val="none" w:sz="0" w:space="0" w:color="auto"/>
      </w:tblBorders>
      <w:tblCellMar>
        <w:top w:w="57" w:type="dxa"/>
        <w:left w:w="57" w:type="dxa"/>
        <w:bottom w:w="57" w:type="dxa"/>
        <w:right w:w="8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White">
    <w:name w:val="White"/>
    <w:basedOn w:val="DefaultParagraphFont"/>
    <w:uiPriority w:val="10"/>
    <w:rsid w:val="00F83C5C"/>
    <w:rPr>
      <w:color w:val="FFFFFF" w:themeColor="background1"/>
    </w:rPr>
  </w:style>
  <w:style w:type="paragraph" w:customStyle="1" w:styleId="Copyrightpage-Keylinenotext">
    <w:name w:val="Copyright page-Keyline (no text)"/>
    <w:basedOn w:val="Copyrightpage-Heading2"/>
    <w:uiPriority w:val="19"/>
    <w:rsid w:val="00F83C5C"/>
    <w:pPr>
      <w:pBdr>
        <w:top w:val="single" w:sz="4" w:space="8" w:color="66BCDB" w:themeColor="text2"/>
      </w:pBdr>
      <w:spacing w:after="0" w:line="168" w:lineRule="auto"/>
    </w:pPr>
    <w:rPr>
      <w:b w:val="0"/>
      <w:color w:val="265A9A" w:themeColor="background2"/>
    </w:rPr>
  </w:style>
  <w:style w:type="table" w:customStyle="1" w:styleId="ProductivityCommissionTable4">
    <w:name w:val="Productivity Commission Table 4"/>
    <w:basedOn w:val="ProductivityCommissionTable3"/>
    <w:uiPriority w:val="99"/>
    <w:rsid w:val="00F83C5C"/>
    <w:pPr>
      <w:jc w:val="left"/>
    </w:pPr>
    <w:tblPr/>
    <w:tblStylePr w:type="firstRow">
      <w:rPr>
        <w:b/>
        <w:color w:val="265A9A" w:themeColor="background2"/>
      </w:rPr>
      <w:tblPr/>
      <w:tcPr>
        <w:tcBorders>
          <w:top w:val="nil"/>
          <w:left w:val="nil"/>
          <w:bottom w:val="single" w:sz="4" w:space="0" w:color="B3B3B3"/>
          <w:right w:val="nil"/>
          <w:insideH w:val="nil"/>
          <w:insideV w:val="nil"/>
          <w:tl2br w:val="nil"/>
          <w:tr2bl w:val="nil"/>
        </w:tcBorders>
      </w:tcPr>
    </w:tblStylePr>
    <w:tblStylePr w:type="lastRow">
      <w:rPr>
        <w:b/>
      </w:rPr>
      <w:tblPr/>
      <w:tcPr>
        <w:tcBorders>
          <w:top w:val="single" w:sz="4" w:space="0" w:color="B3B3B3"/>
          <w:left w:val="nil"/>
          <w:bottom w:val="single" w:sz="4" w:space="0" w:color="B3B3B3"/>
          <w:right w:val="nil"/>
          <w:insideH w:val="nil"/>
          <w:insideV w:val="nil"/>
          <w:tl2br w:val="nil"/>
          <w:tr2bl w:val="nil"/>
        </w:tcBorders>
      </w:tcPr>
    </w:tblStylePr>
    <w:tblStylePr w:type="firstCol">
      <w:pPr>
        <w:jc w:val="left"/>
      </w:pPr>
    </w:tblStylePr>
    <w:tblStylePr w:type="lastCol">
      <w:pPr>
        <w:jc w:val="right"/>
      </w:pPr>
    </w:tblStylePr>
  </w:style>
  <w:style w:type="paragraph" w:customStyle="1" w:styleId="TableHeading-Subheading">
    <w:name w:val="Table Heading - Subheading"/>
    <w:basedOn w:val="NoSpacing"/>
    <w:uiPriority w:val="40"/>
    <w:rsid w:val="00F83C5C"/>
    <w:rPr>
      <w:b/>
    </w:rPr>
  </w:style>
  <w:style w:type="paragraph" w:customStyle="1" w:styleId="CoverImage">
    <w:name w:val="Cover Image"/>
    <w:basedOn w:val="Normal"/>
    <w:uiPriority w:val="29"/>
    <w:rsid w:val="00F83C5C"/>
    <w:pPr>
      <w:framePr w:w="11913" w:h="4536" w:hRule="exact" w:wrap="around" w:vAnchor="page" w:hAnchor="page" w:y="2269" w:anchorLock="1"/>
      <w:spacing w:before="0" w:after="0" w:line="240" w:lineRule="auto"/>
    </w:pPr>
  </w:style>
  <w:style w:type="table" w:customStyle="1" w:styleId="NoBorderwithPadding">
    <w:name w:val="No Border with Padding"/>
    <w:basedOn w:val="TableNormal"/>
    <w:uiPriority w:val="99"/>
    <w:rsid w:val="00F83C5C"/>
    <w:pPr>
      <w:spacing w:after="0" w:line="240" w:lineRule="auto"/>
    </w:pPr>
    <w:tblPr>
      <w:tblCellMar>
        <w:top w:w="284" w:type="dxa"/>
        <w:left w:w="284" w:type="dxa"/>
        <w:bottom w:w="284" w:type="dxa"/>
        <w:right w:w="284" w:type="dxa"/>
      </w:tblCellMar>
    </w:tblPr>
  </w:style>
  <w:style w:type="table" w:customStyle="1" w:styleId="OverviewPageBannerTableStyle">
    <w:name w:val="Overview/Page Banner Table Style"/>
    <w:basedOn w:val="TableNormal"/>
    <w:uiPriority w:val="99"/>
    <w:rsid w:val="00F83C5C"/>
    <w:pPr>
      <w:spacing w:after="0" w:line="240" w:lineRule="auto"/>
    </w:pPr>
    <w:tblPr>
      <w:tblCellMar>
        <w:top w:w="567" w:type="dxa"/>
        <w:left w:w="567" w:type="dxa"/>
        <w:bottom w:w="680" w:type="dxa"/>
        <w:right w:w="1134" w:type="dxa"/>
      </w:tblCellMar>
    </w:tblPr>
    <w:tcPr>
      <w:shd w:val="clear" w:color="auto" w:fill="265A9A" w:themeFill="background2"/>
      <w:vAlign w:val="bottom"/>
    </w:tcPr>
  </w:style>
  <w:style w:type="paragraph" w:styleId="Quote">
    <w:name w:val="Quote"/>
    <w:basedOn w:val="BodyText"/>
    <w:next w:val="BodyText"/>
    <w:link w:val="QuoteChar"/>
    <w:uiPriority w:val="1"/>
    <w:qFormat/>
    <w:rsid w:val="00F83C5C"/>
    <w:pPr>
      <w:spacing w:before="60"/>
      <w:ind w:left="113" w:right="851"/>
    </w:pPr>
    <w:rPr>
      <w:color w:val="58585B"/>
    </w:rPr>
  </w:style>
  <w:style w:type="numbering" w:customStyle="1" w:styleId="TOCList">
    <w:name w:val="TOC List"/>
    <w:uiPriority w:val="99"/>
    <w:rsid w:val="00F83C5C"/>
    <w:pPr>
      <w:numPr>
        <w:numId w:val="16"/>
      </w:numPr>
    </w:pPr>
  </w:style>
  <w:style w:type="paragraph" w:customStyle="1" w:styleId="Heading1-Section-fullpage">
    <w:name w:val="Heading 1-Section-full page"/>
    <w:basedOn w:val="Heading1-nobackground"/>
    <w:uiPriority w:val="9"/>
    <w:qFormat/>
    <w:rsid w:val="00F83C5C"/>
    <w:pPr>
      <w:framePr w:w="9639" w:h="13041" w:hRule="exact" w:wrap="around" w:vAnchor="text" w:hAnchor="text" w:y="1" w:anchorLock="1"/>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0"/>
      <w:ind w:left="567" w:right="567"/>
    </w:pPr>
    <w:rPr>
      <w:color w:val="66BCDB" w:themeColor="text2"/>
    </w:rPr>
  </w:style>
  <w:style w:type="table" w:customStyle="1" w:styleId="Texttable-Paleblue">
    <w:name w:val="Text table-Pale blue"/>
    <w:basedOn w:val="TableNormal"/>
    <w:uiPriority w:val="99"/>
    <w:rsid w:val="00F83C5C"/>
    <w:pPr>
      <w:spacing w:after="0" w:line="240" w:lineRule="auto"/>
    </w:pPr>
    <w:tblPr>
      <w:tblCellMar>
        <w:top w:w="113" w:type="dxa"/>
        <w:left w:w="113" w:type="dxa"/>
        <w:bottom w:w="113" w:type="dxa"/>
        <w:right w:w="113" w:type="dxa"/>
      </w:tblCellMar>
    </w:tblPr>
    <w:tcPr>
      <w:shd w:val="clear" w:color="auto" w:fill="EFF9FE"/>
    </w:tcPr>
  </w:style>
  <w:style w:type="paragraph" w:customStyle="1" w:styleId="FigureTableHeading">
    <w:name w:val="Figure/Table Heading"/>
    <w:basedOn w:val="Caption"/>
    <w:uiPriority w:val="4"/>
    <w:qFormat/>
    <w:rsid w:val="00F83C5C"/>
    <w:pPr>
      <w:keepNext/>
      <w:spacing w:before="240"/>
    </w:pPr>
  </w:style>
  <w:style w:type="paragraph" w:customStyle="1" w:styleId="Source">
    <w:name w:val="Source"/>
    <w:basedOn w:val="Normal"/>
    <w:uiPriority w:val="9"/>
    <w:qFormat/>
    <w:rsid w:val="00F83C5C"/>
    <w:pPr>
      <w:spacing w:before="80" w:after="240" w:line="216" w:lineRule="atLeast"/>
    </w:pPr>
    <w:rPr>
      <w:sz w:val="18"/>
    </w:rPr>
  </w:style>
  <w:style w:type="paragraph" w:customStyle="1" w:styleId="Note">
    <w:name w:val="Note"/>
    <w:basedOn w:val="Source"/>
    <w:uiPriority w:val="9"/>
    <w:qFormat/>
    <w:rsid w:val="00F83C5C"/>
    <w:pPr>
      <w:spacing w:after="20"/>
    </w:pPr>
  </w:style>
  <w:style w:type="numbering" w:customStyle="1" w:styleId="Figure">
    <w:name w:val="Figure"/>
    <w:uiPriority w:val="99"/>
    <w:rsid w:val="00F83C5C"/>
    <w:pPr>
      <w:numPr>
        <w:numId w:val="6"/>
      </w:numPr>
    </w:pPr>
  </w:style>
  <w:style w:type="table" w:customStyle="1" w:styleId="Boxtable">
    <w:name w:val="Box table"/>
    <w:basedOn w:val="Texttable-Paleblue"/>
    <w:uiPriority w:val="99"/>
    <w:rsid w:val="00F83C5C"/>
    <w:tblPr>
      <w:tblCellMar>
        <w:top w:w="170" w:type="dxa"/>
        <w:left w:w="170" w:type="dxa"/>
        <w:bottom w:w="170" w:type="dxa"/>
        <w:right w:w="170" w:type="dxa"/>
      </w:tblCellMar>
    </w:tblPr>
    <w:tcPr>
      <w:shd w:val="clear" w:color="auto" w:fill="F4F5F6"/>
    </w:tcPr>
  </w:style>
  <w:style w:type="numbering" w:customStyle="1" w:styleId="BoxList">
    <w:name w:val="Box List"/>
    <w:uiPriority w:val="99"/>
    <w:rsid w:val="00F83C5C"/>
    <w:pPr>
      <w:numPr>
        <w:numId w:val="4"/>
      </w:numPr>
    </w:pPr>
  </w:style>
  <w:style w:type="paragraph" w:customStyle="1" w:styleId="BoxHeading2">
    <w:name w:val="Box Heading 2"/>
    <w:basedOn w:val="Normal"/>
    <w:next w:val="BodyText"/>
    <w:uiPriority w:val="4"/>
    <w:qFormat/>
    <w:rsid w:val="00F83C5C"/>
    <w:rPr>
      <w:b/>
    </w:rPr>
  </w:style>
  <w:style w:type="table" w:customStyle="1" w:styleId="ProductivityCommissionTable2-Dark">
    <w:name w:val="Productivity Commission Table 2 - Dark"/>
    <w:basedOn w:val="ProductivityCommissionTable2"/>
    <w:uiPriority w:val="99"/>
    <w:rsid w:val="00F83C5C"/>
    <w:tblPr>
      <w:tblBorders>
        <w:top w:val="none" w:sz="0" w:space="0" w:color="auto"/>
        <w:bottom w:val="single" w:sz="4" w:space="0" w:color="B3B3B3"/>
        <w:insideH w:val="single" w:sz="4" w:space="0" w:color="B3B3B3"/>
      </w:tblBorders>
    </w:tblPr>
    <w:tblStylePr w:type="firstRow">
      <w:rPr>
        <w:b/>
        <w:color w:val="265A9A" w:themeColor="background2"/>
      </w:rPr>
    </w:tblStylePr>
    <w:tblStylePr w:type="firstCol">
      <w:rPr>
        <w:b/>
        <w:color w:val="265A9A" w:themeColor="background2"/>
      </w:rPr>
    </w:tblStylePr>
    <w:tblStylePr w:type="band1Horz">
      <w:tblPr/>
      <w:tcPr>
        <w:shd w:val="clear" w:color="auto" w:fill="DCDDDE"/>
      </w:tcPr>
    </w:tblStylePr>
  </w:style>
  <w:style w:type="paragraph" w:customStyle="1" w:styleId="BoxHeading3">
    <w:name w:val="Box Heading 3"/>
    <w:basedOn w:val="BoxHeading2"/>
    <w:uiPriority w:val="4"/>
    <w:qFormat/>
    <w:rsid w:val="00F83C5C"/>
    <w:rPr>
      <w:i/>
    </w:rPr>
  </w:style>
  <w:style w:type="paragraph" w:customStyle="1" w:styleId="TableHeading">
    <w:name w:val="Table Heading"/>
    <w:basedOn w:val="NoSpacing"/>
    <w:uiPriority w:val="4"/>
    <w:qFormat/>
    <w:rsid w:val="00F83C5C"/>
    <w:pPr>
      <w:spacing w:after="20"/>
      <w:ind w:left="57"/>
    </w:pPr>
    <w:rPr>
      <w:b/>
      <w:color w:val="265A9A" w:themeColor="background2"/>
      <w:sz w:val="18"/>
    </w:rPr>
  </w:style>
  <w:style w:type="paragraph" w:customStyle="1" w:styleId="BodyText-Blue">
    <w:name w:val="Body Text-Blue"/>
    <w:basedOn w:val="BodyText"/>
    <w:link w:val="BodyText-BlueChar"/>
    <w:semiHidden/>
    <w:qFormat/>
    <w:rsid w:val="00F83C5C"/>
    <w:rPr>
      <w:color w:val="265A9A" w:themeColor="background2"/>
    </w:rPr>
  </w:style>
  <w:style w:type="table" w:customStyle="1" w:styleId="Texttable-Keyline">
    <w:name w:val="Text table-Keyline"/>
    <w:basedOn w:val="Texttable-Paleblue"/>
    <w:uiPriority w:val="99"/>
    <w:rsid w:val="00F83C5C"/>
    <w:tblPr>
      <w:tblBorders>
        <w:top w:val="single" w:sz="4" w:space="0" w:color="66BCDB" w:themeColor="text2"/>
        <w:left w:val="single" w:sz="4" w:space="0" w:color="66BCDB" w:themeColor="text2"/>
        <w:bottom w:val="single" w:sz="4" w:space="0" w:color="66BCDB" w:themeColor="text2"/>
        <w:right w:val="single" w:sz="4" w:space="0" w:color="66BCDB" w:themeColor="text2"/>
      </w:tblBorders>
    </w:tblPr>
    <w:tcPr>
      <w:shd w:val="clear" w:color="auto" w:fill="auto"/>
    </w:tcPr>
  </w:style>
  <w:style w:type="paragraph" w:customStyle="1" w:styleId="Header-KeylineRight">
    <w:name w:val="Header - Keyline Right"/>
    <w:basedOn w:val="Header-Keyline"/>
    <w:uiPriority w:val="99"/>
    <w:rsid w:val="00F83C5C"/>
    <w:pPr>
      <w:jc w:val="right"/>
    </w:pPr>
  </w:style>
  <w:style w:type="table" w:customStyle="1" w:styleId="CopyrightPage">
    <w:name w:val="Copyright Page"/>
    <w:basedOn w:val="OverviewPageBannerTableStyle"/>
    <w:uiPriority w:val="99"/>
    <w:rsid w:val="00F83C5C"/>
    <w:rPr>
      <w:color w:val="FFFFFF" w:themeColor="background1"/>
    </w:rPr>
    <w:tblPr>
      <w:tblCellMar>
        <w:top w:w="284" w:type="dxa"/>
        <w:left w:w="284" w:type="dxa"/>
        <w:bottom w:w="284" w:type="dxa"/>
        <w:right w:w="3119" w:type="dxa"/>
      </w:tblCellMar>
    </w:tblPr>
    <w:tcPr>
      <w:shd w:val="clear" w:color="auto" w:fill="265A9A" w:themeFill="background2"/>
    </w:tcPr>
  </w:style>
  <w:style w:type="paragraph" w:customStyle="1" w:styleId="Heading3-noTOC">
    <w:name w:val="Heading 3-no TOC"/>
    <w:basedOn w:val="Heading3"/>
    <w:uiPriority w:val="9"/>
    <w:qFormat/>
    <w:rsid w:val="00F83C5C"/>
    <w:pPr>
      <w:spacing w:line="312" w:lineRule="atLeast"/>
    </w:pPr>
    <w:rPr>
      <w:color w:val="2C9BC2"/>
    </w:rPr>
  </w:style>
  <w:style w:type="paragraph" w:styleId="BodyText">
    <w:name w:val="Body Text"/>
    <w:basedOn w:val="Normal"/>
    <w:link w:val="BodyTextChar"/>
    <w:qFormat/>
    <w:rsid w:val="00F83C5C"/>
  </w:style>
  <w:style w:type="character" w:customStyle="1" w:styleId="BodyTextChar">
    <w:name w:val="Body Text Char"/>
    <w:basedOn w:val="DefaultParagraphFont"/>
    <w:link w:val="BodyText"/>
    <w:rsid w:val="00F83C5C"/>
    <w:rPr>
      <w:sz w:val="20"/>
      <w:szCs w:val="20"/>
    </w:rPr>
  </w:style>
  <w:style w:type="paragraph" w:styleId="List4">
    <w:name w:val="List 4"/>
    <w:basedOn w:val="Normal"/>
    <w:uiPriority w:val="99"/>
    <w:semiHidden/>
    <w:rsid w:val="00F83C5C"/>
    <w:pPr>
      <w:numPr>
        <w:ilvl w:val="3"/>
        <w:numId w:val="9"/>
      </w:numPr>
      <w:contextualSpacing/>
    </w:pPr>
  </w:style>
  <w:style w:type="paragraph" w:styleId="List3">
    <w:name w:val="List 3"/>
    <w:basedOn w:val="Normal"/>
    <w:uiPriority w:val="99"/>
    <w:semiHidden/>
    <w:rsid w:val="00F83C5C"/>
    <w:pPr>
      <w:numPr>
        <w:ilvl w:val="2"/>
        <w:numId w:val="9"/>
      </w:numPr>
      <w:contextualSpacing/>
    </w:pPr>
  </w:style>
  <w:style w:type="paragraph" w:customStyle="1" w:styleId="Heading1-nonumber">
    <w:name w:val="Heading 1-no number"/>
    <w:basedOn w:val="Heading1"/>
    <w:next w:val="BodyText"/>
    <w:uiPriority w:val="9"/>
    <w:qFormat/>
    <w:rsid w:val="00F83C5C"/>
    <w:pPr>
      <w:numPr>
        <w:numId w:val="0"/>
      </w:numPr>
      <w:ind w:left="567"/>
    </w:pPr>
  </w:style>
  <w:style w:type="paragraph" w:customStyle="1" w:styleId="ListAlpha1">
    <w:name w:val="List Alpha 1"/>
    <w:basedOn w:val="Normal"/>
    <w:uiPriority w:val="3"/>
    <w:qFormat/>
    <w:rsid w:val="00F83C5C"/>
    <w:pPr>
      <w:numPr>
        <w:numId w:val="10"/>
      </w:numPr>
      <w:spacing w:before="60"/>
      <w:contextualSpacing/>
    </w:pPr>
  </w:style>
  <w:style w:type="paragraph" w:customStyle="1" w:styleId="ListAlpha2">
    <w:name w:val="List Alpha 2"/>
    <w:basedOn w:val="ListAlpha1"/>
    <w:uiPriority w:val="3"/>
    <w:qFormat/>
    <w:rsid w:val="00F83C5C"/>
    <w:pPr>
      <w:numPr>
        <w:ilvl w:val="1"/>
      </w:numPr>
    </w:pPr>
  </w:style>
  <w:style w:type="paragraph" w:customStyle="1" w:styleId="ListAlpha3">
    <w:name w:val="List Alpha 3"/>
    <w:basedOn w:val="ListAlpha2"/>
    <w:uiPriority w:val="3"/>
    <w:qFormat/>
    <w:rsid w:val="00F83C5C"/>
    <w:pPr>
      <w:numPr>
        <w:ilvl w:val="2"/>
      </w:numPr>
    </w:pPr>
  </w:style>
  <w:style w:type="paragraph" w:customStyle="1" w:styleId="ListAlpha4">
    <w:name w:val="List Alpha 4"/>
    <w:basedOn w:val="ListAlpha3"/>
    <w:uiPriority w:val="3"/>
    <w:semiHidden/>
    <w:qFormat/>
    <w:rsid w:val="00F83C5C"/>
    <w:pPr>
      <w:numPr>
        <w:ilvl w:val="3"/>
      </w:numPr>
    </w:pPr>
  </w:style>
  <w:style w:type="numbering" w:customStyle="1" w:styleId="Alphalist">
    <w:name w:val="Alpha list"/>
    <w:uiPriority w:val="99"/>
    <w:rsid w:val="00F83C5C"/>
    <w:pPr>
      <w:numPr>
        <w:numId w:val="1"/>
      </w:numPr>
    </w:pPr>
  </w:style>
  <w:style w:type="paragraph" w:customStyle="1" w:styleId="KeyPoints-Bold">
    <w:name w:val="Key Points-Bold"/>
    <w:basedOn w:val="Normal"/>
    <w:uiPriority w:val="10"/>
    <w:qFormat/>
    <w:rsid w:val="00F83C5C"/>
    <w:pPr>
      <w:spacing w:before="40" w:after="60" w:line="274" w:lineRule="atLeast"/>
    </w:pPr>
    <w:rPr>
      <w:b/>
      <w:sz w:val="18"/>
    </w:rPr>
  </w:style>
  <w:style w:type="paragraph" w:customStyle="1" w:styleId="Copyrightpage-BodyBold">
    <w:name w:val="Copyright page-Body Bold"/>
    <w:basedOn w:val="Copyrightpage-BodyText"/>
    <w:uiPriority w:val="19"/>
    <w:rsid w:val="00F83C5C"/>
    <w:rPr>
      <w:b/>
    </w:rPr>
  </w:style>
  <w:style w:type="paragraph" w:customStyle="1" w:styleId="KeyPoints-Bullet">
    <w:name w:val="Key Points-Bullet"/>
    <w:basedOn w:val="ListBullet"/>
    <w:uiPriority w:val="10"/>
    <w:qFormat/>
    <w:rsid w:val="00F83C5C"/>
    <w:pPr>
      <w:spacing w:after="60" w:line="274" w:lineRule="atLeast"/>
    </w:pPr>
    <w:rPr>
      <w:sz w:val="18"/>
    </w:rPr>
  </w:style>
  <w:style w:type="paragraph" w:customStyle="1" w:styleId="BodyText-Grey">
    <w:name w:val="Body Text-Grey"/>
    <w:basedOn w:val="BodyText"/>
    <w:link w:val="BodyText-GreyChar"/>
    <w:semiHidden/>
    <w:qFormat/>
    <w:rsid w:val="00F83C5C"/>
    <w:rPr>
      <w:color w:val="58585B"/>
    </w:rPr>
  </w:style>
  <w:style w:type="character" w:customStyle="1" w:styleId="BodyText-GreyChar">
    <w:name w:val="Body Text-Grey Char"/>
    <w:basedOn w:val="BodyTextChar"/>
    <w:link w:val="BodyText-Grey"/>
    <w:semiHidden/>
    <w:rsid w:val="00F83C5C"/>
    <w:rPr>
      <w:color w:val="58585B"/>
      <w:sz w:val="20"/>
      <w:szCs w:val="20"/>
    </w:rPr>
  </w:style>
  <w:style w:type="paragraph" w:styleId="BalloonText">
    <w:name w:val="Balloon Text"/>
    <w:basedOn w:val="Normal"/>
    <w:link w:val="BalloonTextChar"/>
    <w:uiPriority w:val="99"/>
    <w:semiHidden/>
    <w:unhideWhenUsed/>
    <w:rsid w:val="00F83C5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3C5C"/>
    <w:rPr>
      <w:rFonts w:ascii="Segoe UI" w:hAnsi="Segoe UI" w:cs="Segoe UI"/>
      <w:sz w:val="18"/>
      <w:szCs w:val="18"/>
    </w:rPr>
  </w:style>
  <w:style w:type="character" w:styleId="CommentReference">
    <w:name w:val="annotation reference"/>
    <w:basedOn w:val="DefaultParagraphFont"/>
    <w:uiPriority w:val="99"/>
    <w:semiHidden/>
    <w:unhideWhenUsed/>
    <w:rsid w:val="00F83C5C"/>
    <w:rPr>
      <w:sz w:val="16"/>
      <w:szCs w:val="16"/>
    </w:rPr>
  </w:style>
  <w:style w:type="paragraph" w:styleId="CommentText">
    <w:name w:val="annotation text"/>
    <w:basedOn w:val="Normal"/>
    <w:link w:val="CommentTextChar"/>
    <w:uiPriority w:val="99"/>
    <w:unhideWhenUsed/>
    <w:rsid w:val="00F83C5C"/>
    <w:pPr>
      <w:spacing w:line="240" w:lineRule="auto"/>
    </w:pPr>
  </w:style>
  <w:style w:type="character" w:customStyle="1" w:styleId="CommentTextChar">
    <w:name w:val="Comment Text Char"/>
    <w:basedOn w:val="DefaultParagraphFont"/>
    <w:link w:val="CommentText"/>
    <w:uiPriority w:val="99"/>
    <w:rsid w:val="00F83C5C"/>
    <w:rPr>
      <w:sz w:val="20"/>
      <w:szCs w:val="20"/>
    </w:rPr>
  </w:style>
  <w:style w:type="paragraph" w:styleId="CommentSubject">
    <w:name w:val="annotation subject"/>
    <w:basedOn w:val="CommentText"/>
    <w:next w:val="CommentText"/>
    <w:link w:val="CommentSubjectChar"/>
    <w:uiPriority w:val="99"/>
    <w:semiHidden/>
    <w:unhideWhenUsed/>
    <w:rsid w:val="00F83C5C"/>
    <w:rPr>
      <w:b/>
      <w:bCs/>
    </w:rPr>
  </w:style>
  <w:style w:type="character" w:customStyle="1" w:styleId="CommentSubjectChar">
    <w:name w:val="Comment Subject Char"/>
    <w:basedOn w:val="CommentTextChar"/>
    <w:link w:val="CommentSubject"/>
    <w:uiPriority w:val="99"/>
    <w:semiHidden/>
    <w:rsid w:val="00F83C5C"/>
    <w:rPr>
      <w:b/>
      <w:bCs/>
      <w:sz w:val="20"/>
      <w:szCs w:val="20"/>
    </w:rPr>
  </w:style>
  <w:style w:type="character" w:customStyle="1" w:styleId="ColourBlue">
    <w:name w:val="Colour Blue"/>
    <w:basedOn w:val="DefaultParagraphFont"/>
    <w:uiPriority w:val="22"/>
    <w:qFormat/>
    <w:rsid w:val="00F83C5C"/>
    <w:rPr>
      <w:color w:val="66BCDB" w:themeColor="text2"/>
    </w:rPr>
  </w:style>
  <w:style w:type="character" w:customStyle="1" w:styleId="ColourDarkBlue">
    <w:name w:val="Colour Dark Blue"/>
    <w:basedOn w:val="ColourBlue"/>
    <w:uiPriority w:val="22"/>
    <w:qFormat/>
    <w:rsid w:val="00F83C5C"/>
    <w:rPr>
      <w:color w:val="265A9A" w:themeColor="background2"/>
    </w:rPr>
  </w:style>
  <w:style w:type="paragraph" w:customStyle="1" w:styleId="BodyText-Beforebullet">
    <w:name w:val="Body Text-Before bullet"/>
    <w:basedOn w:val="BodyText"/>
    <w:link w:val="BodyText-BeforebulletChar"/>
    <w:semiHidden/>
    <w:unhideWhenUsed/>
    <w:rsid w:val="00F83C5C"/>
    <w:pPr>
      <w:spacing w:after="20"/>
    </w:pPr>
  </w:style>
  <w:style w:type="paragraph" w:customStyle="1" w:styleId="PullQuote">
    <w:name w:val="Pull Quote"/>
    <w:basedOn w:val="BodyText"/>
    <w:next w:val="BodyText"/>
    <w:uiPriority w:val="10"/>
    <w:qFormat/>
    <w:rsid w:val="00F83C5C"/>
    <w:pPr>
      <w:spacing w:before="60"/>
      <w:ind w:left="113" w:right="1134"/>
    </w:pPr>
    <w:rPr>
      <w:rFonts w:ascii="Arial Black" w:hAnsi="Arial Black"/>
      <w:color w:val="2C9BC2"/>
      <w:sz w:val="24"/>
    </w:rPr>
  </w:style>
  <w:style w:type="character" w:customStyle="1" w:styleId="BodyText-BeforebulletChar">
    <w:name w:val="Body Text-Before bullet Char"/>
    <w:basedOn w:val="BodyTextChar"/>
    <w:link w:val="BodyText-Beforebullet"/>
    <w:semiHidden/>
    <w:rsid w:val="00F83C5C"/>
    <w:rPr>
      <w:sz w:val="20"/>
      <w:szCs w:val="20"/>
    </w:rPr>
  </w:style>
  <w:style w:type="paragraph" w:customStyle="1" w:styleId="TableBody">
    <w:name w:val="Table Body"/>
    <w:basedOn w:val="NoSpacing"/>
    <w:uiPriority w:val="4"/>
    <w:qFormat/>
    <w:rsid w:val="00F83C5C"/>
    <w:pPr>
      <w:spacing w:after="20"/>
      <w:ind w:left="57"/>
    </w:pPr>
    <w:rPr>
      <w:sz w:val="18"/>
    </w:rPr>
  </w:style>
  <w:style w:type="paragraph" w:styleId="Revision">
    <w:name w:val="Revision"/>
    <w:hidden/>
    <w:uiPriority w:val="99"/>
    <w:semiHidden/>
    <w:rsid w:val="008D19FD"/>
    <w:pPr>
      <w:spacing w:after="0" w:line="240" w:lineRule="auto"/>
    </w:pPr>
    <w:rPr>
      <w:sz w:val="20"/>
      <w:szCs w:val="20"/>
    </w:rPr>
  </w:style>
  <w:style w:type="paragraph" w:customStyle="1" w:styleId="KeyPointsicon">
    <w:name w:val="Key Points icon"/>
    <w:basedOn w:val="Normal"/>
    <w:uiPriority w:val="10"/>
    <w:qFormat/>
    <w:rsid w:val="00F83C5C"/>
    <w:pPr>
      <w:spacing w:before="60"/>
      <w:jc w:val="right"/>
    </w:pPr>
  </w:style>
  <w:style w:type="paragraph" w:customStyle="1" w:styleId="FigureTableSubheading">
    <w:name w:val="Figure/Table Subheading"/>
    <w:basedOn w:val="FigureTableHeading"/>
    <w:uiPriority w:val="4"/>
    <w:qFormat/>
    <w:rsid w:val="00F83C5C"/>
    <w:pPr>
      <w:spacing w:before="40"/>
    </w:pPr>
    <w:rPr>
      <w:color w:val="58585B"/>
    </w:rPr>
  </w:style>
  <w:style w:type="table" w:customStyle="1" w:styleId="TextTable-Grey">
    <w:name w:val="Text Table-Grey"/>
    <w:basedOn w:val="Texttable-Paleblue"/>
    <w:uiPriority w:val="99"/>
    <w:rsid w:val="00F83C5C"/>
    <w:rPr>
      <w:color w:val="265A9A" w:themeColor="background2"/>
    </w:rPr>
    <w:tblPr/>
    <w:tcPr>
      <w:shd w:val="clear" w:color="auto" w:fill="F2F2F2"/>
    </w:tcPr>
  </w:style>
  <w:style w:type="character" w:customStyle="1" w:styleId="BodyText-BlueChar">
    <w:name w:val="Body Text-Blue Char"/>
    <w:basedOn w:val="BodyTextChar"/>
    <w:link w:val="BodyText-Blue"/>
    <w:semiHidden/>
    <w:rsid w:val="00F83C5C"/>
    <w:rPr>
      <w:color w:val="265A9A" w:themeColor="background2"/>
      <w:sz w:val="20"/>
      <w:szCs w:val="20"/>
    </w:rPr>
  </w:style>
  <w:style w:type="paragraph" w:customStyle="1" w:styleId="Heading3-nonumber">
    <w:name w:val="Heading 3-no number"/>
    <w:basedOn w:val="Heading3"/>
    <w:uiPriority w:val="9"/>
    <w:semiHidden/>
    <w:qFormat/>
    <w:rsid w:val="00F83C5C"/>
  </w:style>
  <w:style w:type="paragraph" w:customStyle="1" w:styleId="Heading1-nobackground">
    <w:name w:val="Heading 1-no background"/>
    <w:basedOn w:val="Heading1"/>
    <w:next w:val="BodyText"/>
    <w:uiPriority w:val="9"/>
    <w:qFormat/>
    <w:rsid w:val="00F83C5C"/>
    <w:pPr>
      <w:numPr>
        <w:numId w:val="0"/>
      </w:numPr>
      <w:pBdr>
        <w:top w:val="none" w:sz="0" w:space="0" w:color="auto"/>
        <w:left w:val="none" w:sz="0" w:space="0" w:color="auto"/>
        <w:bottom w:val="none" w:sz="0" w:space="0" w:color="auto"/>
        <w:right w:val="none" w:sz="0" w:space="0" w:color="auto"/>
      </w:pBdr>
      <w:shd w:val="clear" w:color="auto" w:fill="auto"/>
      <w:spacing w:before="600"/>
      <w:ind w:right="0"/>
    </w:pPr>
    <w:rPr>
      <w:color w:val="265A9A" w:themeColor="background2"/>
    </w:rPr>
  </w:style>
  <w:style w:type="character" w:customStyle="1" w:styleId="QuoteChar">
    <w:name w:val="Quote Char"/>
    <w:basedOn w:val="DefaultParagraphFont"/>
    <w:link w:val="Quote"/>
    <w:uiPriority w:val="1"/>
    <w:rsid w:val="00F83C5C"/>
    <w:rPr>
      <w:color w:val="58585B"/>
      <w:sz w:val="20"/>
      <w:szCs w:val="20"/>
    </w:rPr>
  </w:style>
  <w:style w:type="paragraph" w:customStyle="1" w:styleId="TableHeading-numbered">
    <w:name w:val="Table Heading-numbered"/>
    <w:basedOn w:val="Normal"/>
    <w:semiHidden/>
    <w:qFormat/>
    <w:rsid w:val="00F83C5C"/>
    <w:pPr>
      <w:numPr>
        <w:numId w:val="15"/>
      </w:numPr>
      <w:spacing w:before="60"/>
      <w:contextualSpacing/>
    </w:pPr>
    <w:rPr>
      <w:b/>
      <w:color w:val="265A9A" w:themeColor="background2"/>
    </w:rPr>
  </w:style>
  <w:style w:type="numbering" w:customStyle="1" w:styleId="TableList">
    <w:name w:val="TableList"/>
    <w:uiPriority w:val="99"/>
    <w:rsid w:val="00F83C5C"/>
    <w:pPr>
      <w:numPr>
        <w:numId w:val="15"/>
      </w:numPr>
    </w:pPr>
  </w:style>
  <w:style w:type="paragraph" w:customStyle="1" w:styleId="Footer-right">
    <w:name w:val="Footer-right"/>
    <w:basedOn w:val="Footer"/>
    <w:uiPriority w:val="11"/>
    <w:rsid w:val="00F83C5C"/>
    <w:pPr>
      <w:jc w:val="right"/>
    </w:pPr>
    <w:rPr>
      <w:szCs w:val="24"/>
    </w:rPr>
  </w:style>
  <w:style w:type="paragraph" w:customStyle="1" w:styleId="Heading2-nonumber">
    <w:name w:val="Heading 2-no number"/>
    <w:basedOn w:val="Heading2"/>
    <w:uiPriority w:val="9"/>
    <w:qFormat/>
    <w:rsid w:val="00F83C5C"/>
    <w:pPr>
      <w:numPr>
        <w:ilvl w:val="0"/>
        <w:numId w:val="0"/>
      </w:numPr>
    </w:pPr>
  </w:style>
  <w:style w:type="paragraph" w:customStyle="1" w:styleId="Heading-Appendix">
    <w:name w:val="Heading-Appendix"/>
    <w:basedOn w:val="Heading1-nonumber"/>
    <w:next w:val="BodyText"/>
    <w:uiPriority w:val="9"/>
    <w:qFormat/>
    <w:rsid w:val="00F83C5C"/>
    <w:pPr>
      <w:numPr>
        <w:numId w:val="7"/>
      </w:numPr>
    </w:pPr>
  </w:style>
  <w:style w:type="numbering" w:customStyle="1" w:styleId="AppendixHeading">
    <w:name w:val="AppendixHeading"/>
    <w:uiPriority w:val="99"/>
    <w:rsid w:val="00F83C5C"/>
    <w:pPr>
      <w:numPr>
        <w:numId w:val="3"/>
      </w:numPr>
    </w:pPr>
  </w:style>
  <w:style w:type="paragraph" w:customStyle="1" w:styleId="DraftingNote">
    <w:name w:val="Drafting Note"/>
    <w:basedOn w:val="BodyText"/>
    <w:link w:val="DraftingNoteChar"/>
    <w:qFormat/>
    <w:rsid w:val="00F83C5C"/>
    <w:pPr>
      <w:contextualSpacing/>
    </w:pPr>
    <w:rPr>
      <w:color w:val="A22D2B"/>
      <w:sz w:val="24"/>
      <w:u w:val="dotted"/>
    </w:rPr>
  </w:style>
  <w:style w:type="character" w:customStyle="1" w:styleId="DraftingNoteChar">
    <w:name w:val="Drafting Note Char"/>
    <w:basedOn w:val="BodyTextChar"/>
    <w:link w:val="DraftingNote"/>
    <w:rsid w:val="00F83C5C"/>
    <w:rPr>
      <w:color w:val="A22D2B"/>
      <w:sz w:val="24"/>
      <w:szCs w:val="20"/>
      <w:u w:val="dotted"/>
    </w:rPr>
  </w:style>
  <w:style w:type="paragraph" w:customStyle="1" w:styleId="BoxHeading1">
    <w:name w:val="Box Heading 1"/>
    <w:basedOn w:val="FigureTableHeading"/>
    <w:next w:val="BodyText"/>
    <w:uiPriority w:val="4"/>
    <w:qFormat/>
    <w:rsid w:val="00F83C5C"/>
    <w:pPr>
      <w:spacing w:after="0"/>
    </w:pPr>
  </w:style>
  <w:style w:type="character" w:styleId="Emphasis">
    <w:name w:val="Emphasis"/>
    <w:basedOn w:val="DefaultParagraphFont"/>
    <w:uiPriority w:val="22"/>
    <w:qFormat/>
    <w:rsid w:val="00F83C5C"/>
    <w:rPr>
      <w:i/>
      <w:iCs/>
    </w:rPr>
  </w:style>
  <w:style w:type="paragraph" w:customStyle="1" w:styleId="Reference">
    <w:name w:val="Reference"/>
    <w:basedOn w:val="BodyText"/>
    <w:qFormat/>
    <w:rsid w:val="00F83C5C"/>
    <w:pPr>
      <w:spacing w:before="0" w:after="60" w:line="200" w:lineRule="exact"/>
    </w:pPr>
    <w:rPr>
      <w:sz w:val="16"/>
    </w:rPr>
  </w:style>
  <w:style w:type="paragraph" w:customStyle="1" w:styleId="Keypoints-heading">
    <w:name w:val="Key points-heading"/>
    <w:basedOn w:val="Heading3"/>
    <w:uiPriority w:val="10"/>
    <w:qFormat/>
    <w:rsid w:val="00F83C5C"/>
    <w:rPr>
      <w:color w:val="auto"/>
    </w:rPr>
  </w:style>
  <w:style w:type="paragraph" w:customStyle="1" w:styleId="Heading2-Appendix">
    <w:name w:val="Heading 2-Appendix"/>
    <w:basedOn w:val="Heading2-nonumber"/>
    <w:next w:val="Normal"/>
    <w:uiPriority w:val="10"/>
    <w:qFormat/>
    <w:rsid w:val="00F83C5C"/>
    <w:pPr>
      <w:numPr>
        <w:ilvl w:val="1"/>
        <w:numId w:val="7"/>
      </w:numPr>
    </w:pPr>
  </w:style>
  <w:style w:type="numbering" w:customStyle="1" w:styleId="AppendixHeadingList">
    <w:name w:val="Appendix Heading List"/>
    <w:uiPriority w:val="99"/>
    <w:rsid w:val="00F83C5C"/>
    <w:pPr>
      <w:numPr>
        <w:numId w:val="2"/>
      </w:numPr>
    </w:pPr>
  </w:style>
  <w:style w:type="paragraph" w:customStyle="1" w:styleId="Space">
    <w:name w:val="Space"/>
    <w:basedOn w:val="BodyText"/>
    <w:uiPriority w:val="1"/>
    <w:rsid w:val="00F83C5C"/>
    <w:pPr>
      <w:spacing w:before="0" w:after="0"/>
    </w:pPr>
  </w:style>
  <w:style w:type="paragraph" w:customStyle="1" w:styleId="QuoteBullet">
    <w:name w:val="Quote Bullet"/>
    <w:basedOn w:val="ListBullet"/>
    <w:link w:val="QuoteBulletChar"/>
    <w:uiPriority w:val="1"/>
    <w:qFormat/>
    <w:rsid w:val="00F83C5C"/>
    <w:pPr>
      <w:spacing w:before="60"/>
      <w:ind w:left="340" w:right="851"/>
    </w:pPr>
    <w:rPr>
      <w:color w:val="58585B"/>
    </w:rPr>
  </w:style>
  <w:style w:type="character" w:customStyle="1" w:styleId="ListBulletChar">
    <w:name w:val="List Bullet Char"/>
    <w:basedOn w:val="DefaultParagraphFont"/>
    <w:link w:val="ListBullet"/>
    <w:uiPriority w:val="1"/>
    <w:rsid w:val="00415A0E"/>
    <w:rPr>
      <w:sz w:val="20"/>
      <w:szCs w:val="20"/>
    </w:rPr>
  </w:style>
  <w:style w:type="character" w:customStyle="1" w:styleId="QuoteBulletChar">
    <w:name w:val="Quote Bullet Char"/>
    <w:basedOn w:val="ListBulletChar"/>
    <w:link w:val="QuoteBullet"/>
    <w:uiPriority w:val="1"/>
    <w:rsid w:val="00F83C5C"/>
    <w:rPr>
      <w:color w:val="58585B"/>
      <w:sz w:val="20"/>
      <w:szCs w:val="20"/>
    </w:rPr>
  </w:style>
  <w:style w:type="paragraph" w:customStyle="1" w:styleId="Figurecharttitle">
    <w:name w:val="Figure chart title"/>
    <w:basedOn w:val="BodyText"/>
    <w:uiPriority w:val="10"/>
    <w:qFormat/>
    <w:rsid w:val="00F83C5C"/>
    <w:pPr>
      <w:spacing w:before="0" w:after="0"/>
      <w:ind w:left="284" w:hanging="284"/>
    </w:pPr>
    <w:rPr>
      <w:sz w:val="18"/>
      <w:szCs w:val="18"/>
    </w:rPr>
  </w:style>
  <w:style w:type="paragraph" w:customStyle="1" w:styleId="TableListBullet">
    <w:name w:val="Table List Bullet"/>
    <w:basedOn w:val="ListBullet"/>
    <w:uiPriority w:val="10"/>
    <w:qFormat/>
    <w:rsid w:val="00F83C5C"/>
    <w:pPr>
      <w:spacing w:before="0" w:after="20"/>
      <w:ind w:left="170" w:hanging="113"/>
    </w:pPr>
  </w:style>
  <w:style w:type="character" w:styleId="FollowedHyperlink">
    <w:name w:val="FollowedHyperlink"/>
    <w:basedOn w:val="DefaultParagraphFont"/>
    <w:uiPriority w:val="99"/>
    <w:semiHidden/>
    <w:unhideWhenUsed/>
    <w:rsid w:val="00DE0242"/>
    <w:rPr>
      <w:color w:val="BFBFBF" w:themeColor="followedHyperlink"/>
      <w:u w:val="single"/>
    </w:rPr>
  </w:style>
  <w:style w:type="character" w:styleId="Mention">
    <w:name w:val="Mention"/>
    <w:basedOn w:val="DefaultParagraphFont"/>
    <w:uiPriority w:val="99"/>
    <w:unhideWhenUsed/>
    <w:rsid w:val="009264AB"/>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1537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footer" Target="footer2.xml"/><Relationship Id="rId26" Type="http://schemas.openxmlformats.org/officeDocument/2006/relationships/footer" Target="footer5.xml"/><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footer" Target="footer1.xml"/><Relationship Id="rId25"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eader" Target="header5.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header" Target="header4.xml"/><Relationship Id="rId28" Type="http://schemas.openxmlformats.org/officeDocument/2006/relationships/theme" Target="theme/theme1.xml"/><Relationship Id="rId10" Type="http://schemas.openxmlformats.org/officeDocument/2006/relationships/settings" Target="setting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jpeg"/><Relationship Id="rId22" Type="http://schemas.openxmlformats.org/officeDocument/2006/relationships/image" Target="media/image5.svg"/><Relationship Id="rId27" Type="http://schemas.openxmlformats.org/officeDocument/2006/relationships/fontTable" Target="fontTable.xml"/></Relationships>
</file>

<file path=word/_rels/header3.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eorge\AppData\Local\Temp\Templafy\WordVsto\chapter.dotx" TargetMode="External"/></Relationships>
</file>

<file path=word/theme/theme1.xml><?xml version="1.0" encoding="utf-8"?>
<a:theme xmlns:a="http://schemas.openxmlformats.org/drawingml/2006/main" name="Office Theme">
  <a:themeElements>
    <a:clrScheme name="PC colour themeNew">
      <a:dk1>
        <a:sysClr val="windowText" lastClr="000000"/>
      </a:dk1>
      <a:lt1>
        <a:sysClr val="window" lastClr="FFFFFF"/>
      </a:lt1>
      <a:dk2>
        <a:srgbClr val="66BCDB"/>
      </a:dk2>
      <a:lt2>
        <a:srgbClr val="265A9A"/>
      </a:lt2>
      <a:accent1>
        <a:srgbClr val="78A22F"/>
      </a:accent1>
      <a:accent2>
        <a:srgbClr val="4D7028"/>
      </a:accent2>
      <a:accent3>
        <a:srgbClr val="F4B123"/>
      </a:accent3>
      <a:accent4>
        <a:srgbClr val="F15A25"/>
      </a:accent4>
      <a:accent5>
        <a:srgbClr val="A52828"/>
      </a:accent5>
      <a:accent6>
        <a:srgbClr val="8956A3"/>
      </a:accent6>
      <a:hlink>
        <a:srgbClr val="000000"/>
      </a:hlink>
      <a:folHlink>
        <a:srgbClr val="BFBFBF"/>
      </a:folHlink>
    </a:clrScheme>
    <a:fontScheme name="ACDC">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PC Dark Blue">
      <a:srgbClr val="265999"/>
    </a:custClr>
    <a:custClr name="PC Mid Blue">
      <a:srgbClr val="2C9BC2"/>
    </a:custClr>
    <a:custClr name="PC Blue">
      <a:srgbClr val="66B9DA"/>
    </a:custClr>
    <a:custClr name="PC Light Blue">
      <a:srgbClr val="EEF8FD"/>
    </a:custClr>
    <a:custClr name="PC Light Grey">
      <a:srgbClr val="F2F2F2"/>
    </a:custClr>
    <a:custClr name="PC Grey">
      <a:srgbClr val="DBDCDE"/>
    </a:custClr>
    <a:custClr name="PC Dark Grey">
      <a:srgbClr val="58585B"/>
    </a:custClr>
    <a:custClr name="PC Green">
      <a:srgbClr val="7AA644"/>
    </a:custClr>
    <a:custClr name="PC Dark green">
      <a:srgbClr val="3A703A"/>
    </a:custClr>
    <a:custClr name="PC Yellow">
      <a:srgbClr val="FCB221"/>
    </a:custClr>
    <a:custClr name="PC Orange">
      <a:srgbClr val="F15A2B"/>
    </a:custClr>
    <a:custClr name="PC Dark Red">
      <a:srgbClr val="A22D2B"/>
    </a:custClr>
    <a:custClr name="PC Purple">
      <a:srgbClr val="8857A2"/>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TemplafyTemplateConfiguration><![CDATA[{"elementsMetadata":[],"transformationConfigurations":[],"templateName":"chapter","templateDescription":"","enableDocumentContentUpdater":false,"version":"2.0"}]]></TemplafyTemplateConfiguration>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TemplafyFormConfiguration><![CDATA[{"formFields":[],"formDataEntries":[]}]]></TemplafyFormConfiguration>
</file>

<file path=customXml/item4.xml><?xml version="1.0" encoding="utf-8"?>
<ct:contentTypeSchema xmlns:ct="http://schemas.microsoft.com/office/2006/metadata/contentType" xmlns:ma="http://schemas.microsoft.com/office/2006/metadata/properties/metaAttributes" ct:_="" ma:_="" ma:contentTypeName="MPW Document" ma:contentTypeID="0x0101006C0B5E815648EF46B6FA6D42F17E5E9F000C963E276195B04F83BC027CFDC94A8D" ma:contentTypeVersion="19" ma:contentTypeDescription="" ma:contentTypeScope="" ma:versionID="acc58037bbc905560eea2dcbc76d524a">
  <xsd:schema xmlns:xsd="http://www.w3.org/2001/XMLSchema" xmlns:xs="http://www.w3.org/2001/XMLSchema" xmlns:p="http://schemas.microsoft.com/office/2006/metadata/properties" xmlns:ns2="20393cdf-440a-4521-8f19-00ba43423d00" xmlns:ns3="3d385984-9344-419b-a80b-49c06a2bdab8" targetNamespace="http://schemas.microsoft.com/office/2006/metadata/properties" ma:root="true" ma:fieldsID="2b2dd0c5283b5b734cb8c48874b7283b" ns2:_="" ns3:_="">
    <xsd:import namespace="20393cdf-440a-4521-8f19-00ba43423d00"/>
    <xsd:import namespace="3d385984-9344-419b-a80b-49c06a2bdab8"/>
    <xsd:element name="properties">
      <xsd:complexType>
        <xsd:sequence>
          <xsd:element name="documentManagement">
            <xsd:complexType>
              <xsd:all>
                <xsd:element ref="ns2:_dlc_DocId" minOccurs="0"/>
                <xsd:element ref="ns2:_dlc_DocIdUrl" minOccurs="0"/>
                <xsd:element ref="ns2:_dlc_DocIdPersistId"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2:SharedWithUsers" minOccurs="0"/>
                <xsd:element ref="ns2:SharedWithDetails" minOccurs="0"/>
                <xsd:element ref="ns3:MediaServiceLocation" minOccurs="0"/>
                <xsd:element ref="ns2:i0f84bba906045b4af568ee102a52dcb" minOccurs="0"/>
                <xsd:element ref="ns2:TaxCatchAll" minOccurs="0"/>
                <xsd:element ref="ns3:MediaLengthInSeconds" minOccurs="0"/>
                <xsd:element ref="ns3:thumbnail" minOccurs="0"/>
                <xsd:element ref="ns3:lcf76f155ced4ddcb4097134ff3c332f" minOccurs="0"/>
                <xsd:element ref="ns3:_Flow_SignoffStatus"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393cdf-440a-4521-8f19-00ba43423d0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i0f84bba906045b4af568ee102a52dcb" ma:index="20" nillable="true" ma:taxonomy="true" ma:internalName="i0f84bba906045b4af568ee102a52dcb" ma:taxonomyFieldName="RevIMBCS" ma:displayName="Record" ma:indexed="true" ma:default="1;#Unclassified|3955eeb1-2d18-4582-aeb2-00144ec3aaf5" ma:fieldId="{20f84bba-9060-45b4-af56-8ee102a52dcb}" ma:sspId="9e7832e3-0c1d-4697-8be2-0d137dca2da6" ma:termSetId="3c672b5e-1100-4960-a8a3-535520ee1155" ma:anchorId="00000000-0000-0000-0000-000000000000" ma:open="false" ma:isKeyword="false">
      <xsd:complexType>
        <xsd:sequence>
          <xsd:element ref="pc:Terms" minOccurs="0" maxOccurs="1"/>
        </xsd:sequence>
      </xsd:complexType>
    </xsd:element>
    <xsd:element name="TaxCatchAll" ma:index="21" nillable="true" ma:displayName="Taxonomy Catch All Column" ma:hidden="true" ma:list="{af6d4cc1-c529-4b5b-a8f1-9797b2b9eddf}" ma:internalName="TaxCatchAll" ma:showField="CatchAllData" ma:web="20393cdf-440a-4521-8f19-00ba43423d0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d385984-9344-419b-a80b-49c06a2bdab8" elementFormDefault="qualified">
    <xsd:import namespace="http://schemas.microsoft.com/office/2006/documentManagement/types"/>
    <xsd:import namespace="http://schemas.microsoft.com/office/infopath/2007/PartnerControls"/>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thumbnail" ma:index="23" nillable="true" ma:displayName="thumbnail" ma:format="Thumbnail" ma:internalName="thumbnail">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9e7832e3-0c1d-4697-8be2-0d137dca2da6" ma:termSetId="09814cd3-568e-fe90-9814-8d621ff8fb84" ma:anchorId="fba54fb3-c3e1-fe81-a776-ca4b69148c4d" ma:open="true" ma:isKeyword="false">
      <xsd:complexType>
        <xsd:sequence>
          <xsd:element ref="pc:Terms" minOccurs="0" maxOccurs="1"/>
        </xsd:sequence>
      </xsd:complexType>
    </xsd:element>
    <xsd:element name="_Flow_SignoffStatus" ma:index="26" nillable="true" ma:displayName="Sign-off status" ma:internalName="Sign_x002d_off_x0020_status">
      <xsd:simpleType>
        <xsd:restriction base="dms:Text"/>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i0f84bba906045b4af568ee102a52dcb xmlns="20393cdf-440a-4521-8f19-00ba43423d00">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3955eeb1-2d18-4582-aeb2-00144ec3aaf5</TermId>
        </TermInfo>
      </Terms>
    </i0f84bba906045b4af568ee102a52dcb>
    <TaxCatchAll xmlns="20393cdf-440a-4521-8f19-00ba43423d00">
      <Value>1</Value>
    </TaxCatchAll>
    <lcf76f155ced4ddcb4097134ff3c332f xmlns="3d385984-9344-419b-a80b-49c06a2bdab8">
      <Terms xmlns="http://schemas.microsoft.com/office/infopath/2007/PartnerControls"/>
    </lcf76f155ced4ddcb4097134ff3c332f>
    <thumbnail xmlns="3d385984-9344-419b-a80b-49c06a2bdab8" xsi:nil="true"/>
    <_Flow_SignoffStatus xmlns="3d385984-9344-419b-a80b-49c06a2bdab8" xsi:nil="true"/>
    <_dlc_DocId xmlns="20393cdf-440a-4521-8f19-00ba43423d00">MPWT-2140667901-48440</_dlc_DocId>
    <_dlc_DocIdUrl xmlns="20393cdf-440a-4521-8f19-00ba43423d00">
      <Url>https://pcgov.sharepoint.com/sites/sceteam/_layouts/15/DocIdRedir.aspx?ID=MPWT-2140667901-48440</Url>
      <Description>MPWT-2140667901-48440</Description>
    </_dlc_DocIdUrl>
  </documentManagement>
</p:properties>
</file>

<file path=customXml/item7.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5CCDCE8C-2FF2-479D-91C1-79A7A7683D3C}">
  <ds:schemaRefs/>
</ds:datastoreItem>
</file>

<file path=customXml/itemProps2.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3.xml><?xml version="1.0" encoding="utf-8"?>
<ds:datastoreItem xmlns:ds="http://schemas.openxmlformats.org/officeDocument/2006/customXml" ds:itemID="{9897F752-2238-441E-ABA5-DB8C10DEA577}">
  <ds:schemaRefs/>
</ds:datastoreItem>
</file>

<file path=customXml/itemProps4.xml><?xml version="1.0" encoding="utf-8"?>
<ds:datastoreItem xmlns:ds="http://schemas.openxmlformats.org/officeDocument/2006/customXml" ds:itemID="{4D7FBACA-CD0C-43B7-9FF7-0A8BE92641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393cdf-440a-4521-8f19-00ba43423d00"/>
    <ds:schemaRef ds:uri="3d385984-9344-419b-a80b-49c06a2bda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75378C1-38F8-4A4C-9726-4B021F17678D}">
  <ds:schemaRefs>
    <ds:schemaRef ds:uri="http://schemas.microsoft.com/sharepoint/v3/contenttype/forms"/>
  </ds:schemaRefs>
</ds:datastoreItem>
</file>

<file path=customXml/itemProps6.xml><?xml version="1.0" encoding="utf-8"?>
<ds:datastoreItem xmlns:ds="http://schemas.openxmlformats.org/officeDocument/2006/customXml" ds:itemID="{33C07A7D-E90C-459C-ADD0-C8A15D1E487D}">
  <ds:schemaRefs>
    <ds:schemaRef ds:uri="http://schemas.microsoft.com/office/2006/metadata/properties"/>
    <ds:schemaRef ds:uri="http://schemas.microsoft.com/office/infopath/2007/PartnerControls"/>
    <ds:schemaRef ds:uri="20393cdf-440a-4521-8f19-00ba43423d00"/>
    <ds:schemaRef ds:uri="3d385984-9344-419b-a80b-49c06a2bdab8"/>
  </ds:schemaRefs>
</ds:datastoreItem>
</file>

<file path=customXml/itemProps7.xml><?xml version="1.0" encoding="utf-8"?>
<ds:datastoreItem xmlns:ds="http://schemas.openxmlformats.org/officeDocument/2006/customXml" ds:itemID="{BFFEF345-2CEB-45AA-9028-4442DE97C03D}">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chapter</Template>
  <TotalTime>31</TotalTime>
  <Pages>6</Pages>
  <Words>2175</Words>
  <Characters>12398</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Inquiry into the Pharmacy Business Ownership Bill 2023</vt:lpstr>
    </vt:vector>
  </TitlesOfParts>
  <Company>Productivity Commission</Company>
  <LinksUpToDate>false</LinksUpToDate>
  <CharactersWithSpaces>14544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Inquiry into the Pharmacy Business Ownership Bill 2023</dc:title>
  <dc:subject>Productivity Commission submission</dc:subject>
  <dc:creator>Productivity Commission</dc:creator>
  <cp:keywords/>
  <dc:description/>
  <cp:lastModifiedBy>Chris Alston</cp:lastModifiedBy>
  <cp:revision>21</cp:revision>
  <cp:lastPrinted>2024-01-22T00:27:00Z</cp:lastPrinted>
  <dcterms:created xsi:type="dcterms:W3CDTF">2024-01-16T20:29:00Z</dcterms:created>
  <dcterms:modified xsi:type="dcterms:W3CDTF">2024-01-22T00:27:00Z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zotero-version="5.0.96"&gt;&lt;session id="2DT2wHVk"/&gt;&lt;style id="http://www.zotero.org/styles/Productivity-Commission" hasBibliography="1" bibliographyStyleHasBeenSet="0"/&gt;&lt;prefs&gt;&lt;pref name="fieldType" value="Field"/&gt;&lt;pref name="automatic</vt:lpwstr>
  </property>
  <property fmtid="{D5CDD505-2E9C-101B-9397-08002B2CF9AE}" pid="3" name="ZOTERO_PREF_2">
    <vt:lpwstr>JournalAbbreviations" value="true"/&gt;&lt;/prefs&gt;&lt;/data&gt;</vt:lpwstr>
  </property>
  <property fmtid="{D5CDD505-2E9C-101B-9397-08002B2CF9AE}" pid="4" name="TemplafyTenantId">
    <vt:lpwstr>productivitycommission</vt:lpwstr>
  </property>
  <property fmtid="{D5CDD505-2E9C-101B-9397-08002B2CF9AE}" pid="5" name="TemplafyTemplateId">
    <vt:lpwstr>637629323564275408</vt:lpwstr>
  </property>
  <property fmtid="{D5CDD505-2E9C-101B-9397-08002B2CF9AE}" pid="6" name="TemplafyUserProfileId">
    <vt:lpwstr>637805663370596119</vt:lpwstr>
  </property>
  <property fmtid="{D5CDD505-2E9C-101B-9397-08002B2CF9AE}" pid="7" name="TemplafyFromBlank">
    <vt:bool>false</vt:bool>
  </property>
  <property fmtid="{D5CDD505-2E9C-101B-9397-08002B2CF9AE}" pid="8" name="ContentTypeId">
    <vt:lpwstr>0x0101006C0B5E815648EF46B6FA6D42F17E5E9F000C963E276195B04F83BC027CFDC94A8D</vt:lpwstr>
  </property>
  <property fmtid="{D5CDD505-2E9C-101B-9397-08002B2CF9AE}" pid="9" name="_dlc_DocIdItemGuid">
    <vt:lpwstr>a18f9a73-c202-474f-8851-cb6a3d1bdb7d</vt:lpwstr>
  </property>
  <property fmtid="{D5CDD505-2E9C-101B-9397-08002B2CF9AE}" pid="10" name="RevIMBCS">
    <vt:lpwstr>1;#Unclassified|3955eeb1-2d18-4582-aeb2-00144ec3aaf5</vt:lpwstr>
  </property>
  <property fmtid="{D5CDD505-2E9C-101B-9397-08002B2CF9AE}" pid="11" name="MediaServiceImageTags">
    <vt:lpwstr/>
  </property>
</Properties>
</file>