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C072" w14:textId="41FBBD42" w:rsidR="00F73D9B" w:rsidRDefault="00F73D9B">
      <w:pPr>
        <w:rPr>
          <w:sz w:val="52"/>
          <w:szCs w:val="20"/>
        </w:rPr>
      </w:pPr>
      <w:bookmarkStart w:id="0" w:name="ChapterTitle"/>
      <w:r>
        <w:rPr>
          <w:noProof/>
          <w:sz w:val="52"/>
          <w:szCs w:val="20"/>
        </w:rPr>
        <w:drawing>
          <wp:anchor distT="0" distB="0" distL="114300" distR="114300" simplePos="0" relativeHeight="251658240" behindDoc="0" locked="0" layoutInCell="1" allowOverlap="1" wp14:anchorId="6D391783" wp14:editId="30FB2CB4">
            <wp:simplePos x="0" y="0"/>
            <wp:positionH relativeFrom="margin">
              <wp:posOffset>-1136650</wp:posOffset>
            </wp:positionH>
            <wp:positionV relativeFrom="margin">
              <wp:posOffset>-1238885</wp:posOffset>
            </wp:positionV>
            <wp:extent cx="7549858" cy="10679239"/>
            <wp:effectExtent l="0" t="0" r="0" b="825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9858" cy="10679239"/>
                    </a:xfrm>
                    <a:prstGeom prst="rect">
                      <a:avLst/>
                    </a:prstGeom>
                  </pic:spPr>
                </pic:pic>
              </a:graphicData>
            </a:graphic>
            <wp14:sizeRelH relativeFrom="page">
              <wp14:pctWidth>0</wp14:pctWidth>
            </wp14:sizeRelH>
            <wp14:sizeRelV relativeFrom="page">
              <wp14:pctHeight>0</wp14:pctHeight>
            </wp14:sizeRelV>
          </wp:anchor>
        </w:drawing>
      </w:r>
      <w:r>
        <w:br w:type="page"/>
      </w:r>
    </w:p>
    <w:p w14:paraId="5258D25F" w14:textId="77777777" w:rsidR="00B16445" w:rsidRDefault="00B16445" w:rsidP="00CB2CD1">
      <w:pPr>
        <w:pStyle w:val="Heading1"/>
        <w:spacing w:before="0"/>
        <w:ind w:left="0" w:firstLine="0"/>
        <w:sectPr w:rsidR="00B16445" w:rsidSect="00F73D9B">
          <w:headerReference w:type="even" r:id="rId12"/>
          <w:headerReference w:type="default" r:id="rId13"/>
          <w:footerReference w:type="even" r:id="rId14"/>
          <w:footerReference w:type="default" r:id="rId15"/>
          <w:pgSz w:w="11907" w:h="16840" w:code="9"/>
          <w:pgMar w:top="1985" w:right="1304" w:bottom="1247" w:left="1814" w:header="1701" w:footer="397" w:gutter="0"/>
          <w:pgNumType w:start="1" w:chapSep="period"/>
          <w:cols w:space="720"/>
          <w:titlePg/>
          <w:docGrid w:linePitch="326"/>
        </w:sectPr>
      </w:pPr>
    </w:p>
    <w:p w14:paraId="5F7D3F47" w14:textId="70BE5F3E" w:rsidR="00A33DFF" w:rsidRDefault="007D202F" w:rsidP="00CB2CD1">
      <w:pPr>
        <w:pStyle w:val="Heading1"/>
        <w:spacing w:before="0"/>
        <w:ind w:left="0" w:firstLine="0"/>
      </w:pPr>
      <w:r>
        <w:lastRenderedPageBreak/>
        <w:t>Submission to the Quality Initial Teacher Education Review</w:t>
      </w:r>
      <w:bookmarkEnd w:id="0"/>
    </w:p>
    <w:p w14:paraId="2253CF63" w14:textId="1B14F099" w:rsidR="007D202F" w:rsidRDefault="007D202F" w:rsidP="007D202F">
      <w:pPr>
        <w:pStyle w:val="BodyText"/>
      </w:pPr>
      <w:r>
        <w:t xml:space="preserve">The Productivity Commission (the Commission) is pleased to make this submission to the Quality Initial Teacher Education </w:t>
      </w:r>
      <w:r w:rsidR="5D543EFE">
        <w:t xml:space="preserve">(QITE) </w:t>
      </w:r>
      <w:r>
        <w:t xml:space="preserve">Review. </w:t>
      </w:r>
    </w:p>
    <w:p w14:paraId="0447DB64" w14:textId="0104D3EE" w:rsidR="007D202F" w:rsidRDefault="007D202F" w:rsidP="007D202F">
      <w:pPr>
        <w:pStyle w:val="BodyText"/>
      </w:pPr>
      <w:r>
        <w:t xml:space="preserve">The Commission is the Australian Government’s independent research and advisory body on a range of economic, social and environmental issues affecting the welfare of Australians. We provide independent advice and information to governments, and assist in the communication of ideas and analysis. </w:t>
      </w:r>
    </w:p>
    <w:p w14:paraId="53B8374F" w14:textId="77777777" w:rsidR="007D202F" w:rsidRDefault="007D202F" w:rsidP="007D202F">
      <w:pPr>
        <w:pStyle w:val="BodyText"/>
      </w:pPr>
      <w:r>
        <w:t xml:space="preserve">The core function of the Commission is to conduct public inquiries at the request of the Australian Government on key policy or regulatory issues bearing on Australia’s economic performance and community wellbeing. In addition, we undertake a variety of research at the request of the Government and to support its annual reporting, performance monitoring and other responsibilities. </w:t>
      </w:r>
    </w:p>
    <w:p w14:paraId="534FDCCF" w14:textId="41C58B1E" w:rsidR="0015305A" w:rsidRDefault="007D202F" w:rsidP="007D202F">
      <w:pPr>
        <w:pStyle w:val="BodyText"/>
      </w:pPr>
      <w:r>
        <w:t xml:space="preserve">The Commission has previously undertaken a commissioned research study on the </w:t>
      </w:r>
      <w:r w:rsidRPr="007D202F">
        <w:rPr>
          <w:i/>
          <w:iCs/>
        </w:rPr>
        <w:t>Schools Workforce</w:t>
      </w:r>
      <w:r>
        <w:t xml:space="preserve"> (PC 2012), which examined issues in teacher training and professional development, as well </w:t>
      </w:r>
      <w:r w:rsidR="002D19FB">
        <w:t xml:space="preserve">as </w:t>
      </w:r>
      <w:r>
        <w:t>an inquiry into the information and data needed to develop an high</w:t>
      </w:r>
      <w:r w:rsidR="00125E9E">
        <w:noBreakHyphen/>
      </w:r>
      <w:r>
        <w:t xml:space="preserve">quality education evidence base in Australia (PC 2016). A number of conclusions and recommendations related to education outcomes and broader training issues in the </w:t>
      </w:r>
      <w:r w:rsidRPr="007D202F">
        <w:rPr>
          <w:i/>
          <w:iCs/>
        </w:rPr>
        <w:t xml:space="preserve">Shifting the Dial: 5 </w:t>
      </w:r>
      <w:r w:rsidR="004912CB">
        <w:rPr>
          <w:i/>
          <w:iCs/>
        </w:rPr>
        <w:t>Y</w:t>
      </w:r>
      <w:r w:rsidRPr="007D202F">
        <w:rPr>
          <w:i/>
          <w:iCs/>
        </w:rPr>
        <w:t>ear Productivity Review</w:t>
      </w:r>
      <w:r>
        <w:t xml:space="preserve"> (PC 2017</w:t>
      </w:r>
      <w:r w:rsidR="00852962">
        <w:t>a, 2017b)</w:t>
      </w:r>
      <w:r>
        <w:t xml:space="preserve"> may also be of relevance, </w:t>
      </w:r>
      <w:r w:rsidR="00852962" w:rsidRPr="00852962">
        <w:t>as well as research on the impact of the demand</w:t>
      </w:r>
      <w:r w:rsidR="00E566B5">
        <w:noBreakHyphen/>
      </w:r>
      <w:r w:rsidR="00852962" w:rsidRPr="00852962">
        <w:t>driven university system (PC 2019)</w:t>
      </w:r>
      <w:r w:rsidR="00852962">
        <w:t>.</w:t>
      </w:r>
      <w:r>
        <w:t xml:space="preserve"> </w:t>
      </w:r>
      <w:r w:rsidR="00FD2D50">
        <w:t xml:space="preserve">The Commission has also </w:t>
      </w:r>
      <w:r w:rsidR="00932E13">
        <w:t>recently</w:t>
      </w:r>
      <w:r w:rsidR="00FD2D50">
        <w:t xml:space="preserve"> completed a review into the </w:t>
      </w:r>
      <w:r w:rsidR="006F20ED">
        <w:t xml:space="preserve">National Agreement </w:t>
      </w:r>
      <w:r w:rsidR="00992BEB">
        <w:t>on Skills and Workforce Development</w:t>
      </w:r>
      <w:r w:rsidR="00EA5EAB">
        <w:t xml:space="preserve"> (PC 202</w:t>
      </w:r>
      <w:r w:rsidR="00FD1A6C">
        <w:t>0</w:t>
      </w:r>
      <w:r w:rsidR="00EA5EAB">
        <w:t>)</w:t>
      </w:r>
      <w:r w:rsidR="00783D3D">
        <w:t>. W</w:t>
      </w:r>
      <w:r w:rsidR="00E42044">
        <w:t xml:space="preserve">hile this </w:t>
      </w:r>
      <w:r w:rsidR="00F13563">
        <w:t xml:space="preserve">related to the </w:t>
      </w:r>
      <w:r w:rsidR="00C42534">
        <w:t>Vocational Education and Training (</w:t>
      </w:r>
      <w:r w:rsidR="00F13563">
        <w:t>VET</w:t>
      </w:r>
      <w:r w:rsidR="00C42534">
        <w:t>)</w:t>
      </w:r>
      <w:r w:rsidR="00F13563">
        <w:t xml:space="preserve"> system, some of its findings </w:t>
      </w:r>
      <w:r w:rsidR="00B12CD3">
        <w:t>(</w:t>
      </w:r>
      <w:r w:rsidR="00F13563">
        <w:t>for example</w:t>
      </w:r>
      <w:r w:rsidR="00DA4D6F">
        <w:t>,</w:t>
      </w:r>
      <w:r w:rsidR="00F13563">
        <w:t xml:space="preserve"> into support for apprentices </w:t>
      </w:r>
      <w:r w:rsidR="00695A5F">
        <w:t xml:space="preserve">and the use </w:t>
      </w:r>
      <w:r w:rsidR="002C0AE5">
        <w:t>of screening for entry into courses</w:t>
      </w:r>
      <w:r w:rsidR="00B12CD3">
        <w:t>)</w:t>
      </w:r>
      <w:r w:rsidR="002C0AE5" w:rsidDel="00B12CD3">
        <w:t xml:space="preserve"> </w:t>
      </w:r>
      <w:r w:rsidR="00703FA3">
        <w:t xml:space="preserve">deal with issues that are also present for trainee teachers. </w:t>
      </w:r>
      <w:r w:rsidR="00B12CD3">
        <w:t>Although</w:t>
      </w:r>
      <w:r w:rsidR="00B3169D">
        <w:t xml:space="preserve"> </w:t>
      </w:r>
      <w:r w:rsidR="00F06138">
        <w:t xml:space="preserve">the above reports </w:t>
      </w:r>
      <w:r w:rsidR="00981AEE">
        <w:t>may be</w:t>
      </w:r>
      <w:r w:rsidR="00AE17A8">
        <w:t xml:space="preserve"> </w:t>
      </w:r>
      <w:r w:rsidR="00F06138">
        <w:t>relevant</w:t>
      </w:r>
      <w:r w:rsidR="00677815">
        <w:t xml:space="preserve"> to </w:t>
      </w:r>
      <w:r w:rsidR="00981AEE">
        <w:t>the QITE</w:t>
      </w:r>
      <w:r w:rsidR="00677815">
        <w:t xml:space="preserve"> </w:t>
      </w:r>
      <w:r w:rsidR="00981AEE">
        <w:t>R</w:t>
      </w:r>
      <w:r w:rsidR="00677815">
        <w:t>eview</w:t>
      </w:r>
      <w:r w:rsidR="0092100E">
        <w:t xml:space="preserve">, they will not </w:t>
      </w:r>
      <w:r w:rsidR="00B35F4A">
        <w:t xml:space="preserve">reflect </w:t>
      </w:r>
      <w:r>
        <w:t xml:space="preserve">developments in regulatory regimes and markets since </w:t>
      </w:r>
      <w:r w:rsidR="00AE17A8">
        <w:t>their publication</w:t>
      </w:r>
      <w:r>
        <w:t>.</w:t>
      </w:r>
      <w:r w:rsidR="001427C5">
        <w:t xml:space="preserve"> </w:t>
      </w:r>
    </w:p>
    <w:p w14:paraId="5D2EC370" w14:textId="49015612" w:rsidR="007D202F" w:rsidRDefault="001427C5" w:rsidP="007D202F">
      <w:pPr>
        <w:pStyle w:val="BodyText"/>
      </w:pPr>
      <w:r>
        <w:t xml:space="preserve">Apart from the Commission’s research and inquiry analysis relevant to </w:t>
      </w:r>
      <w:r w:rsidR="00416C1B">
        <w:t xml:space="preserve">the </w:t>
      </w:r>
      <w:r w:rsidR="00D51677">
        <w:t xml:space="preserve">QITE Review, </w:t>
      </w:r>
      <w:r w:rsidR="004A57E7">
        <w:t xml:space="preserve">we also produce </w:t>
      </w:r>
      <w:r w:rsidR="00336872">
        <w:t xml:space="preserve">regular statistics on school education as part of our </w:t>
      </w:r>
      <w:r w:rsidR="0046112D">
        <w:t xml:space="preserve">reports on </w:t>
      </w:r>
      <w:r w:rsidR="00336872">
        <w:t xml:space="preserve">government </w:t>
      </w:r>
      <w:r w:rsidR="00353885">
        <w:t>services</w:t>
      </w:r>
      <w:r w:rsidR="005B0A82">
        <w:t>, which may help provide some contextual evidence</w:t>
      </w:r>
      <w:r w:rsidR="006910B4">
        <w:t>.</w:t>
      </w:r>
      <w:r w:rsidR="006910B4">
        <w:rPr>
          <w:rStyle w:val="FootnoteReference"/>
        </w:rPr>
        <w:footnoteReference w:id="2"/>
      </w:r>
      <w:r w:rsidR="00336872">
        <w:t xml:space="preserve"> </w:t>
      </w:r>
    </w:p>
    <w:p w14:paraId="62F1705D" w14:textId="23317115" w:rsidR="00666E02" w:rsidRDefault="007D202F" w:rsidP="007D202F">
      <w:pPr>
        <w:pStyle w:val="BodyText"/>
      </w:pPr>
      <w:r>
        <w:t>This submission briefly addresses a number of the matters in the Review’s terms of reference below, drawing from this previous work</w:t>
      </w:r>
      <w:r w:rsidR="008566DE">
        <w:t>, but</w:t>
      </w:r>
      <w:r w:rsidR="008566DE" w:rsidRPr="008566DE">
        <w:t xml:space="preserve"> </w:t>
      </w:r>
      <w:r w:rsidR="008566DE">
        <w:t xml:space="preserve">is not a comprehensive or detailed analysis of </w:t>
      </w:r>
      <w:r w:rsidR="008566DE">
        <w:lastRenderedPageBreak/>
        <w:t xml:space="preserve">all aspects of the </w:t>
      </w:r>
      <w:r w:rsidR="00C65585" w:rsidRPr="00C65585">
        <w:t>initial teacher education</w:t>
      </w:r>
      <w:r w:rsidR="008566DE">
        <w:t xml:space="preserve"> </w:t>
      </w:r>
      <w:r w:rsidR="00C65585">
        <w:t>(</w:t>
      </w:r>
      <w:r w:rsidR="008566DE">
        <w:t>ITE</w:t>
      </w:r>
      <w:r w:rsidR="00C65585">
        <w:t>)</w:t>
      </w:r>
      <w:r w:rsidR="008566DE">
        <w:t xml:space="preserve"> system</w:t>
      </w:r>
      <w:r>
        <w:t>. The first section of the submission explores issues with attracting high</w:t>
      </w:r>
      <w:r w:rsidR="00F76369">
        <w:noBreakHyphen/>
      </w:r>
      <w:r>
        <w:t>quality ITE candidates to teaching,</w:t>
      </w:r>
      <w:r w:rsidRPr="007D202F">
        <w:t xml:space="preserve"> </w:t>
      </w:r>
      <w:r>
        <w:t xml:space="preserve">including </w:t>
      </w:r>
      <w:r w:rsidR="00F50BD2">
        <w:t xml:space="preserve">related issues with </w:t>
      </w:r>
      <w:r>
        <w:t xml:space="preserve">teacher shortages in specific areas. The second section explores </w:t>
      </w:r>
      <w:r w:rsidR="00B70C00">
        <w:t>some research on</w:t>
      </w:r>
      <w:r w:rsidDel="00B70C00">
        <w:t xml:space="preserve"> </w:t>
      </w:r>
      <w:r>
        <w:t xml:space="preserve">teacher training and </w:t>
      </w:r>
      <w:r w:rsidR="00B70C00">
        <w:t xml:space="preserve">the importance of ongoing </w:t>
      </w:r>
      <w:r>
        <w:t xml:space="preserve">professional development. </w:t>
      </w:r>
    </w:p>
    <w:p w14:paraId="54B10193" w14:textId="1E3BF9B7" w:rsidR="000D0D4B" w:rsidRDefault="000D0D4B" w:rsidP="000D0D4B">
      <w:pPr>
        <w:pStyle w:val="Heading2"/>
      </w:pPr>
      <w:r>
        <w:t>Attracting and selecting high</w:t>
      </w:r>
      <w:r w:rsidR="0090169F">
        <w:noBreakHyphen/>
      </w:r>
      <w:r>
        <w:t xml:space="preserve">quality </w:t>
      </w:r>
      <w:r w:rsidR="00A005C2">
        <w:t>teachers</w:t>
      </w:r>
    </w:p>
    <w:p w14:paraId="25963B2C" w14:textId="7D5529CB" w:rsidR="000D0D4B" w:rsidRDefault="000D0D4B" w:rsidP="000D0D4B">
      <w:pPr>
        <w:pStyle w:val="BodyText"/>
      </w:pPr>
      <w:r>
        <w:t>A strong school system is fundamental to Australia’s future, but there are signs that student achievement at Australian schools has stagnated (or even dropped) over recent years, even as students in other high</w:t>
      </w:r>
      <w:r w:rsidR="00F76369">
        <w:noBreakHyphen/>
      </w:r>
      <w:r>
        <w:t>performing countries (like Singapore) have continued to excel (PC</w:t>
      </w:r>
      <w:r w:rsidR="00C4081B">
        <w:t> </w:t>
      </w:r>
      <w:r>
        <w:t>2017a, p.</w:t>
      </w:r>
      <w:r w:rsidR="00053C2E">
        <w:t> </w:t>
      </w:r>
      <w:r>
        <w:t xml:space="preserve">89). </w:t>
      </w:r>
      <w:r w:rsidR="00E00DC6">
        <w:t>This is despite increasing resourcing of the school system</w:t>
      </w:r>
      <w:r w:rsidR="0015554F">
        <w:t xml:space="preserve">, which has seen the </w:t>
      </w:r>
      <w:r w:rsidR="00230AB5">
        <w:t>ratio</w:t>
      </w:r>
      <w:r w:rsidR="0015554F">
        <w:t xml:space="preserve"> of </w:t>
      </w:r>
      <w:r w:rsidR="00D3403A">
        <w:t>full</w:t>
      </w:r>
      <w:r w:rsidR="00D3403A">
        <w:noBreakHyphen/>
        <w:t>time equivalent students to full</w:t>
      </w:r>
      <w:r w:rsidR="002B716F">
        <w:noBreakHyphen/>
        <w:t xml:space="preserve">time equivalent teachers fall from 14.1 </w:t>
      </w:r>
      <w:r w:rsidR="006A01C4">
        <w:t>to 13.5 from 2006 to 2020</w:t>
      </w:r>
      <w:r w:rsidR="003313F8">
        <w:t xml:space="preserve"> (</w:t>
      </w:r>
      <w:r w:rsidR="00A71E07">
        <w:t>ABS 2021</w:t>
      </w:r>
      <w:r w:rsidR="004E012F">
        <w:t>, table</w:t>
      </w:r>
      <w:r w:rsidR="00F76369">
        <w:t> </w:t>
      </w:r>
      <w:r w:rsidR="004E012F">
        <w:t>53a)</w:t>
      </w:r>
      <w:r w:rsidR="007D4F82">
        <w:t>.</w:t>
      </w:r>
      <w:r w:rsidR="00191459">
        <w:rPr>
          <w:rStyle w:val="FootnoteReference"/>
        </w:rPr>
        <w:footnoteReference w:id="3"/>
      </w:r>
      <w:r w:rsidR="006168D4">
        <w:t xml:space="preserve"> </w:t>
      </w:r>
    </w:p>
    <w:p w14:paraId="4C4C9AFE" w14:textId="63750003" w:rsidR="006522A2" w:rsidRPr="003A4834" w:rsidRDefault="0055798C" w:rsidP="000D0D4B">
      <w:pPr>
        <w:pStyle w:val="BodyText"/>
        <w:rPr>
          <w:spacing w:val="-2"/>
        </w:rPr>
      </w:pPr>
      <w:r w:rsidRPr="003A4834">
        <w:rPr>
          <w:spacing w:val="-2"/>
        </w:rPr>
        <w:t xml:space="preserve">Given the </w:t>
      </w:r>
      <w:r w:rsidR="00937066" w:rsidRPr="003A4834">
        <w:rPr>
          <w:spacing w:val="-2"/>
        </w:rPr>
        <w:t>persuasive</w:t>
      </w:r>
      <w:r w:rsidRPr="003A4834">
        <w:rPr>
          <w:spacing w:val="-2"/>
        </w:rPr>
        <w:t xml:space="preserve"> </w:t>
      </w:r>
      <w:r w:rsidR="00937066" w:rsidRPr="003A4834">
        <w:rPr>
          <w:spacing w:val="-2"/>
        </w:rPr>
        <w:t>evidence</w:t>
      </w:r>
      <w:r w:rsidRPr="003A4834">
        <w:rPr>
          <w:spacing w:val="-2"/>
        </w:rPr>
        <w:t xml:space="preserve"> that teacher quality is one of the few </w:t>
      </w:r>
      <w:r w:rsidR="00CB5F1D" w:rsidRPr="003A4834">
        <w:rPr>
          <w:spacing w:val="-2"/>
        </w:rPr>
        <w:t xml:space="preserve">consistent predictors of </w:t>
      </w:r>
      <w:r w:rsidR="008417EB" w:rsidRPr="003A4834">
        <w:rPr>
          <w:spacing w:val="-2"/>
        </w:rPr>
        <w:t xml:space="preserve">good </w:t>
      </w:r>
      <w:r w:rsidR="00CB5F1D" w:rsidRPr="003A4834">
        <w:rPr>
          <w:spacing w:val="-2"/>
        </w:rPr>
        <w:t xml:space="preserve">student </w:t>
      </w:r>
      <w:r w:rsidR="00F72F7B" w:rsidRPr="003A4834">
        <w:rPr>
          <w:spacing w:val="-2"/>
        </w:rPr>
        <w:t>outcomes</w:t>
      </w:r>
      <w:r w:rsidR="00937066" w:rsidRPr="003A4834">
        <w:rPr>
          <w:spacing w:val="-2"/>
        </w:rPr>
        <w:t xml:space="preserve">, attracting </w:t>
      </w:r>
      <w:r w:rsidR="000D0D4B" w:rsidRPr="003A4834">
        <w:rPr>
          <w:spacing w:val="-2"/>
        </w:rPr>
        <w:t xml:space="preserve">and selecting the best students to become teachers in Australia’s schools </w:t>
      </w:r>
      <w:r w:rsidR="00A00A99" w:rsidRPr="003A4834">
        <w:rPr>
          <w:spacing w:val="-2"/>
        </w:rPr>
        <w:t xml:space="preserve">would </w:t>
      </w:r>
      <w:r w:rsidR="000D0D4B" w:rsidRPr="003A4834">
        <w:rPr>
          <w:spacing w:val="-2"/>
        </w:rPr>
        <w:t xml:space="preserve">assist with reversing some of this trend. </w:t>
      </w:r>
      <w:r w:rsidR="00482A2D" w:rsidRPr="003A4834">
        <w:rPr>
          <w:spacing w:val="-2"/>
        </w:rPr>
        <w:t xml:space="preserve">However, </w:t>
      </w:r>
      <w:r w:rsidR="008909EB" w:rsidRPr="003A4834">
        <w:rPr>
          <w:spacing w:val="-2"/>
        </w:rPr>
        <w:t xml:space="preserve">as </w:t>
      </w:r>
      <w:r w:rsidR="00484EA8" w:rsidRPr="003A4834">
        <w:rPr>
          <w:spacing w:val="-2"/>
        </w:rPr>
        <w:t>desirable</w:t>
      </w:r>
      <w:r w:rsidR="008909EB" w:rsidRPr="003A4834">
        <w:rPr>
          <w:spacing w:val="-2"/>
        </w:rPr>
        <w:t xml:space="preserve"> as </w:t>
      </w:r>
      <w:r w:rsidR="005D1CC0" w:rsidRPr="003A4834">
        <w:rPr>
          <w:spacing w:val="-2"/>
        </w:rPr>
        <w:t xml:space="preserve">it </w:t>
      </w:r>
      <w:r w:rsidR="008909EB" w:rsidRPr="003A4834">
        <w:rPr>
          <w:spacing w:val="-2"/>
        </w:rPr>
        <w:t>is</w:t>
      </w:r>
      <w:r w:rsidR="005D1CC0" w:rsidRPr="003A4834">
        <w:rPr>
          <w:spacing w:val="-2"/>
        </w:rPr>
        <w:t xml:space="preserve"> to</w:t>
      </w:r>
      <w:r w:rsidR="008909EB" w:rsidRPr="003A4834">
        <w:rPr>
          <w:spacing w:val="-2"/>
        </w:rPr>
        <w:t xml:space="preserve"> improv</w:t>
      </w:r>
      <w:r w:rsidR="005D1CC0" w:rsidRPr="003A4834">
        <w:rPr>
          <w:spacing w:val="-2"/>
        </w:rPr>
        <w:t>e</w:t>
      </w:r>
      <w:r w:rsidR="008909EB" w:rsidRPr="003A4834">
        <w:rPr>
          <w:spacing w:val="-2"/>
        </w:rPr>
        <w:t xml:space="preserve"> the quality of the flow of new teachers into the system, </w:t>
      </w:r>
      <w:r w:rsidR="00915160" w:rsidRPr="003A4834">
        <w:rPr>
          <w:spacing w:val="-2"/>
        </w:rPr>
        <w:t xml:space="preserve">it </w:t>
      </w:r>
      <w:r w:rsidR="0068605E" w:rsidRPr="003A4834">
        <w:rPr>
          <w:spacing w:val="-2"/>
        </w:rPr>
        <w:t>will</w:t>
      </w:r>
      <w:r w:rsidR="00915160" w:rsidRPr="003A4834">
        <w:rPr>
          <w:spacing w:val="-2"/>
        </w:rPr>
        <w:t xml:space="preserve"> take </w:t>
      </w:r>
      <w:r w:rsidR="00BF41B0" w:rsidRPr="003A4834">
        <w:rPr>
          <w:spacing w:val="-2"/>
        </w:rPr>
        <w:t>many</w:t>
      </w:r>
      <w:r w:rsidR="00915160" w:rsidRPr="003A4834">
        <w:rPr>
          <w:spacing w:val="-2"/>
        </w:rPr>
        <w:t xml:space="preserve"> years for </w:t>
      </w:r>
      <w:r w:rsidR="00C96D83" w:rsidRPr="003A4834">
        <w:rPr>
          <w:spacing w:val="-2"/>
        </w:rPr>
        <w:t xml:space="preserve">this </w:t>
      </w:r>
      <w:r w:rsidR="00306EEF" w:rsidRPr="003A4834">
        <w:rPr>
          <w:spacing w:val="-2"/>
        </w:rPr>
        <w:t xml:space="preserve">effect </w:t>
      </w:r>
      <w:r w:rsidR="00C96D83" w:rsidRPr="003A4834">
        <w:rPr>
          <w:spacing w:val="-2"/>
        </w:rPr>
        <w:t xml:space="preserve">to </w:t>
      </w:r>
      <w:r w:rsidR="00512B16" w:rsidRPr="003A4834">
        <w:rPr>
          <w:spacing w:val="-2"/>
        </w:rPr>
        <w:t>be</w:t>
      </w:r>
      <w:r w:rsidR="007232F0" w:rsidRPr="003A4834">
        <w:rPr>
          <w:spacing w:val="-2"/>
        </w:rPr>
        <w:t>come</w:t>
      </w:r>
      <w:r w:rsidR="00512B16" w:rsidRPr="003A4834">
        <w:rPr>
          <w:spacing w:val="-2"/>
        </w:rPr>
        <w:t xml:space="preserve"> apparent </w:t>
      </w:r>
      <w:r w:rsidR="00B8086A" w:rsidRPr="003A4834">
        <w:rPr>
          <w:spacing w:val="-2"/>
        </w:rPr>
        <w:t>among</w:t>
      </w:r>
      <w:r w:rsidR="00512B16" w:rsidRPr="003A4834">
        <w:rPr>
          <w:spacing w:val="-2"/>
        </w:rPr>
        <w:t xml:space="preserve"> the </w:t>
      </w:r>
      <w:r w:rsidR="005D1D7D" w:rsidRPr="003A4834">
        <w:rPr>
          <w:spacing w:val="-2"/>
        </w:rPr>
        <w:t>large stock of existing teachers</w:t>
      </w:r>
      <w:r w:rsidR="00E8754E" w:rsidRPr="003A4834">
        <w:rPr>
          <w:spacing w:val="-2"/>
        </w:rPr>
        <w:t xml:space="preserve"> (</w:t>
      </w:r>
      <w:r w:rsidR="007865AE" w:rsidRPr="003A4834">
        <w:rPr>
          <w:spacing w:val="-2"/>
        </w:rPr>
        <w:t>close to 3</w:t>
      </w:r>
      <w:r w:rsidR="00E7288C" w:rsidRPr="003A4834">
        <w:rPr>
          <w:spacing w:val="-2"/>
        </w:rPr>
        <w:t>4</w:t>
      </w:r>
      <w:r w:rsidR="007865AE" w:rsidRPr="003A4834">
        <w:rPr>
          <w:spacing w:val="-2"/>
        </w:rPr>
        <w:t>0 000 in 2020</w:t>
      </w:r>
      <w:r w:rsidR="00E7288C" w:rsidRPr="003A4834">
        <w:rPr>
          <w:spacing w:val="-2"/>
        </w:rPr>
        <w:t>; ABS 2021, table</w:t>
      </w:r>
      <w:r w:rsidR="00F76369" w:rsidRPr="003A4834">
        <w:rPr>
          <w:spacing w:val="-2"/>
        </w:rPr>
        <w:t> </w:t>
      </w:r>
      <w:r w:rsidR="00B81556" w:rsidRPr="003A4834">
        <w:rPr>
          <w:spacing w:val="-2"/>
        </w:rPr>
        <w:t>50a</w:t>
      </w:r>
      <w:r w:rsidR="007865AE" w:rsidRPr="003A4834">
        <w:rPr>
          <w:spacing w:val="-2"/>
        </w:rPr>
        <w:t>)</w:t>
      </w:r>
      <w:r w:rsidR="00AC37CE" w:rsidRPr="003A4834">
        <w:rPr>
          <w:spacing w:val="-2"/>
        </w:rPr>
        <w:t xml:space="preserve">, especially as </w:t>
      </w:r>
      <w:r w:rsidR="00F93D59" w:rsidRPr="003A4834">
        <w:rPr>
          <w:spacing w:val="-2"/>
        </w:rPr>
        <w:t>it takes some time for a new teacher to acquire full proficiency</w:t>
      </w:r>
      <w:r w:rsidR="003B4966" w:rsidRPr="003A4834">
        <w:rPr>
          <w:spacing w:val="-2"/>
        </w:rPr>
        <w:t xml:space="preserve">. </w:t>
      </w:r>
      <w:r w:rsidR="00F15ED7" w:rsidRPr="003A4834">
        <w:rPr>
          <w:spacing w:val="-2"/>
        </w:rPr>
        <w:t>Although t</w:t>
      </w:r>
      <w:r w:rsidR="009B227E" w:rsidRPr="003A4834">
        <w:rPr>
          <w:spacing w:val="-2"/>
        </w:rPr>
        <w:t xml:space="preserve">he </w:t>
      </w:r>
      <w:r w:rsidR="007B1B39" w:rsidRPr="003A4834">
        <w:rPr>
          <w:spacing w:val="-2"/>
        </w:rPr>
        <w:t>QITE</w:t>
      </w:r>
      <w:r w:rsidR="009B227E" w:rsidRPr="003A4834">
        <w:rPr>
          <w:spacing w:val="-2"/>
        </w:rPr>
        <w:t xml:space="preserve"> Review cannot </w:t>
      </w:r>
      <w:r w:rsidR="00F62A69" w:rsidRPr="003A4834">
        <w:rPr>
          <w:spacing w:val="-2"/>
        </w:rPr>
        <w:t>realistically</w:t>
      </w:r>
      <w:r w:rsidR="009B227E" w:rsidRPr="003A4834">
        <w:rPr>
          <w:spacing w:val="-2"/>
        </w:rPr>
        <w:t xml:space="preserve"> consider </w:t>
      </w:r>
      <w:r w:rsidR="00611243" w:rsidRPr="003A4834">
        <w:rPr>
          <w:spacing w:val="-2"/>
        </w:rPr>
        <w:t>all of the</w:t>
      </w:r>
      <w:r w:rsidR="009B227E" w:rsidRPr="003A4834">
        <w:rPr>
          <w:spacing w:val="-2"/>
        </w:rPr>
        <w:t xml:space="preserve"> elements </w:t>
      </w:r>
      <w:r w:rsidR="00546331" w:rsidRPr="003A4834">
        <w:rPr>
          <w:spacing w:val="-2"/>
        </w:rPr>
        <w:t xml:space="preserve">that </w:t>
      </w:r>
      <w:r w:rsidR="00C25E77" w:rsidRPr="003A4834">
        <w:rPr>
          <w:spacing w:val="-2"/>
        </w:rPr>
        <w:t xml:space="preserve">are important to </w:t>
      </w:r>
      <w:r w:rsidR="007D0951" w:rsidRPr="003A4834">
        <w:rPr>
          <w:spacing w:val="-2"/>
        </w:rPr>
        <w:t>a high</w:t>
      </w:r>
      <w:r w:rsidR="00B20F78" w:rsidRPr="003A4834">
        <w:rPr>
          <w:spacing w:val="-2"/>
        </w:rPr>
        <w:noBreakHyphen/>
        <w:t>functioning school system</w:t>
      </w:r>
      <w:r w:rsidR="00611243" w:rsidRPr="003A4834">
        <w:rPr>
          <w:spacing w:val="-2"/>
        </w:rPr>
        <w:t xml:space="preserve">, there may be lessons from </w:t>
      </w:r>
      <w:r w:rsidR="00995750" w:rsidRPr="003A4834">
        <w:rPr>
          <w:spacing w:val="-2"/>
        </w:rPr>
        <w:t xml:space="preserve">ITE </w:t>
      </w:r>
      <w:r w:rsidR="00611243" w:rsidRPr="003A4834">
        <w:rPr>
          <w:spacing w:val="-2"/>
        </w:rPr>
        <w:t xml:space="preserve">initiatives that </w:t>
      </w:r>
      <w:r w:rsidR="00A57CAB" w:rsidRPr="003A4834">
        <w:rPr>
          <w:spacing w:val="-2"/>
        </w:rPr>
        <w:t>are</w:t>
      </w:r>
      <w:r w:rsidR="00F04C0B" w:rsidRPr="003A4834">
        <w:rPr>
          <w:spacing w:val="-2"/>
        </w:rPr>
        <w:t xml:space="preserve"> </w:t>
      </w:r>
      <w:r w:rsidR="00784ABF" w:rsidRPr="003A4834">
        <w:rPr>
          <w:spacing w:val="-2"/>
        </w:rPr>
        <w:t xml:space="preserve">also </w:t>
      </w:r>
      <w:r w:rsidR="00F04C0B" w:rsidRPr="003A4834">
        <w:rPr>
          <w:spacing w:val="-2"/>
        </w:rPr>
        <w:t xml:space="preserve">relevant </w:t>
      </w:r>
      <w:r w:rsidR="00FE6F0A" w:rsidRPr="003A4834">
        <w:rPr>
          <w:spacing w:val="-2"/>
        </w:rPr>
        <w:t>to</w:t>
      </w:r>
      <w:r w:rsidR="00F04C0B" w:rsidRPr="003A4834">
        <w:rPr>
          <w:spacing w:val="-2"/>
        </w:rPr>
        <w:t xml:space="preserve"> the existing stock</w:t>
      </w:r>
      <w:r w:rsidR="00FE6F0A" w:rsidRPr="003A4834">
        <w:rPr>
          <w:spacing w:val="-2"/>
        </w:rPr>
        <w:t xml:space="preserve"> of </w:t>
      </w:r>
      <w:r w:rsidR="001D1CED" w:rsidRPr="003A4834">
        <w:rPr>
          <w:spacing w:val="-2"/>
        </w:rPr>
        <w:t>teachers</w:t>
      </w:r>
      <w:r w:rsidR="00F04C0B" w:rsidRPr="003A4834">
        <w:rPr>
          <w:spacing w:val="-2"/>
        </w:rPr>
        <w:t xml:space="preserve">. </w:t>
      </w:r>
      <w:r w:rsidR="001E4E36" w:rsidRPr="003A4834">
        <w:rPr>
          <w:spacing w:val="-2"/>
        </w:rPr>
        <w:t xml:space="preserve">The </w:t>
      </w:r>
      <w:r w:rsidR="00D74956" w:rsidRPr="003A4834">
        <w:rPr>
          <w:spacing w:val="-2"/>
        </w:rPr>
        <w:t xml:space="preserve">greater the degree of complementarity in raising the human capital of new </w:t>
      </w:r>
      <w:r w:rsidR="00870B20">
        <w:rPr>
          <w:spacing w:val="-2"/>
        </w:rPr>
        <w:t>and existing</w:t>
      </w:r>
      <w:r w:rsidR="00D74956" w:rsidRPr="003A4834">
        <w:rPr>
          <w:spacing w:val="-2"/>
        </w:rPr>
        <w:t xml:space="preserve"> teachers</w:t>
      </w:r>
      <w:r w:rsidR="00286C5F" w:rsidRPr="003A4834">
        <w:rPr>
          <w:spacing w:val="-2"/>
        </w:rPr>
        <w:t>,</w:t>
      </w:r>
      <w:r w:rsidR="0009495F" w:rsidRPr="003A4834">
        <w:rPr>
          <w:spacing w:val="-2"/>
        </w:rPr>
        <w:t xml:space="preserve"> </w:t>
      </w:r>
      <w:r w:rsidR="00F1750F" w:rsidRPr="003A4834">
        <w:rPr>
          <w:spacing w:val="-2"/>
        </w:rPr>
        <w:t xml:space="preserve">the more </w:t>
      </w:r>
      <w:r w:rsidR="00A844C4" w:rsidRPr="003A4834">
        <w:rPr>
          <w:spacing w:val="-2"/>
        </w:rPr>
        <w:t>rapid</w:t>
      </w:r>
      <w:r w:rsidR="00F1750F" w:rsidRPr="003A4834">
        <w:rPr>
          <w:spacing w:val="-2"/>
        </w:rPr>
        <w:t xml:space="preserve"> </w:t>
      </w:r>
      <w:r w:rsidR="00286C5F" w:rsidRPr="003A4834">
        <w:rPr>
          <w:spacing w:val="-2"/>
        </w:rPr>
        <w:t xml:space="preserve">the </w:t>
      </w:r>
      <w:r w:rsidR="00F1750F" w:rsidRPr="003A4834">
        <w:rPr>
          <w:spacing w:val="-2"/>
        </w:rPr>
        <w:t>diffusion of excellence in the teaching profession</w:t>
      </w:r>
      <w:r w:rsidR="00286C5F" w:rsidRPr="003A4834">
        <w:rPr>
          <w:spacing w:val="-2"/>
        </w:rPr>
        <w:t xml:space="preserve"> will be</w:t>
      </w:r>
      <w:r w:rsidR="00F1750F" w:rsidRPr="003A4834">
        <w:rPr>
          <w:spacing w:val="-2"/>
        </w:rPr>
        <w:t>.</w:t>
      </w:r>
    </w:p>
    <w:p w14:paraId="41BA3C09" w14:textId="049204FE" w:rsidR="000D0D4B" w:rsidRDefault="00A005C2" w:rsidP="000D0D4B">
      <w:pPr>
        <w:pStyle w:val="Heading3"/>
      </w:pPr>
      <w:r>
        <w:t>S</w:t>
      </w:r>
      <w:r w:rsidR="000D0D4B">
        <w:t xml:space="preserve">tudent </w:t>
      </w:r>
      <w:r>
        <w:t xml:space="preserve">teacher </w:t>
      </w:r>
      <w:r w:rsidR="000D0D4B">
        <w:t>aptitude and ‘failing fast’</w:t>
      </w:r>
    </w:p>
    <w:p w14:paraId="209E0A80" w14:textId="61482EC4" w:rsidR="000D0D4B" w:rsidRPr="003A4834" w:rsidRDefault="00E22B69" w:rsidP="000D0D4B">
      <w:pPr>
        <w:pStyle w:val="BodyText"/>
        <w:rPr>
          <w:spacing w:val="-2"/>
        </w:rPr>
      </w:pPr>
      <w:r w:rsidRPr="003A4834">
        <w:rPr>
          <w:spacing w:val="-2"/>
        </w:rPr>
        <w:t>A</w:t>
      </w:r>
      <w:r w:rsidR="000D0D4B" w:rsidRPr="003A4834">
        <w:rPr>
          <w:spacing w:val="-2"/>
        </w:rPr>
        <w:t>n important first step is ensuring that ITE students have an aptitude to both complete their ITE studies and to succeed as a teacher. There is</w:t>
      </w:r>
      <w:r w:rsidR="000D0D4B" w:rsidRPr="003A4834" w:rsidDel="00A844C4">
        <w:rPr>
          <w:spacing w:val="-2"/>
        </w:rPr>
        <w:t xml:space="preserve"> </w:t>
      </w:r>
      <w:r w:rsidR="000D0D4B" w:rsidRPr="003A4834">
        <w:rPr>
          <w:spacing w:val="-2"/>
        </w:rPr>
        <w:t>evidence that the aptitude of ITE students has been falling in recent years</w:t>
      </w:r>
      <w:r w:rsidR="00C325AD" w:rsidRPr="003A4834">
        <w:rPr>
          <w:spacing w:val="-2"/>
        </w:rPr>
        <w:t>. A</w:t>
      </w:r>
      <w:r w:rsidR="000D0D4B" w:rsidRPr="003A4834">
        <w:rPr>
          <w:spacing w:val="-2"/>
        </w:rPr>
        <w:t xml:space="preserve">s the QITE Review discussion paper </w:t>
      </w:r>
      <w:r w:rsidR="00FD1D5B" w:rsidRPr="003A4834">
        <w:rPr>
          <w:spacing w:val="-2"/>
        </w:rPr>
        <w:t xml:space="preserve">(p. 10) </w:t>
      </w:r>
      <w:r w:rsidR="000D0D4B" w:rsidRPr="003A4834">
        <w:rPr>
          <w:spacing w:val="-2"/>
        </w:rPr>
        <w:t>note</w:t>
      </w:r>
      <w:r w:rsidR="00AA120A" w:rsidRPr="003A4834">
        <w:rPr>
          <w:spacing w:val="-2"/>
        </w:rPr>
        <w:t>d</w:t>
      </w:r>
      <w:r w:rsidR="000D0D4B" w:rsidRPr="003A4834">
        <w:rPr>
          <w:spacing w:val="-2"/>
        </w:rPr>
        <w:t>, six</w:t>
      </w:r>
      <w:r w:rsidR="00945147" w:rsidRPr="003A4834">
        <w:rPr>
          <w:spacing w:val="-2"/>
        </w:rPr>
        <w:noBreakHyphen/>
      </w:r>
      <w:r w:rsidR="000D0D4B" w:rsidRPr="003A4834">
        <w:rPr>
          <w:spacing w:val="-2"/>
        </w:rPr>
        <w:t xml:space="preserve">year completion rates for </w:t>
      </w:r>
      <w:r w:rsidR="00C518DD" w:rsidRPr="003A4834">
        <w:rPr>
          <w:spacing w:val="-2"/>
        </w:rPr>
        <w:t xml:space="preserve">an </w:t>
      </w:r>
      <w:r w:rsidR="000D0D4B" w:rsidRPr="003A4834">
        <w:rPr>
          <w:spacing w:val="-2"/>
        </w:rPr>
        <w:t>ITE bachelor</w:t>
      </w:r>
      <w:r w:rsidR="00C518DD" w:rsidRPr="003A4834">
        <w:rPr>
          <w:spacing w:val="-2"/>
        </w:rPr>
        <w:t>’s degree</w:t>
      </w:r>
      <w:r w:rsidR="000D0D4B" w:rsidRPr="003A4834">
        <w:rPr>
          <w:spacing w:val="-2"/>
        </w:rPr>
        <w:t xml:space="preserve"> have decreased faster than for other fields since 2005. </w:t>
      </w:r>
      <w:r w:rsidR="00FD1063" w:rsidRPr="003A4834">
        <w:rPr>
          <w:spacing w:val="-2"/>
        </w:rPr>
        <w:t xml:space="preserve">This raises the issue of appropriate screening approaches for </w:t>
      </w:r>
      <w:r w:rsidR="00251F67" w:rsidRPr="003A4834">
        <w:rPr>
          <w:spacing w:val="-2"/>
        </w:rPr>
        <w:t>budding ITE students</w:t>
      </w:r>
      <w:r w:rsidR="00683B42" w:rsidRPr="003A4834">
        <w:rPr>
          <w:spacing w:val="-2"/>
        </w:rPr>
        <w:t xml:space="preserve">. </w:t>
      </w:r>
    </w:p>
    <w:p w14:paraId="2E12E970" w14:textId="653C5E18" w:rsidR="00623536" w:rsidRDefault="00C810CB" w:rsidP="001D2B5C">
      <w:pPr>
        <w:pStyle w:val="BodyText"/>
      </w:pPr>
      <w:r>
        <w:t xml:space="preserve">On the one hand, </w:t>
      </w:r>
      <w:r w:rsidR="00623536">
        <w:t>there are high costs of someone entering higher education as a</w:t>
      </w:r>
      <w:r w:rsidR="00D67D64">
        <w:t>n ITE</w:t>
      </w:r>
      <w:r w:rsidR="00623536">
        <w:t xml:space="preserve"> student </w:t>
      </w:r>
      <w:r w:rsidR="00D67D64">
        <w:t>if</w:t>
      </w:r>
      <w:r w:rsidR="00623536">
        <w:t xml:space="preserve"> </w:t>
      </w:r>
      <w:r w:rsidR="00903748">
        <w:t xml:space="preserve">a teacher </w:t>
      </w:r>
      <w:r w:rsidR="004E6E32">
        <w:t>qualification is</w:t>
      </w:r>
      <w:r w:rsidR="00623536">
        <w:t xml:space="preserve"> ill</w:t>
      </w:r>
      <w:r w:rsidR="00623536">
        <w:noBreakHyphen/>
        <w:t>suited to them</w:t>
      </w:r>
      <w:r w:rsidR="00822EC0">
        <w:t xml:space="preserve">. This can lead to four </w:t>
      </w:r>
      <w:r w:rsidR="00903748">
        <w:t>potential</w:t>
      </w:r>
      <w:r w:rsidR="001510DC">
        <w:t xml:space="preserve"> failings — they</w:t>
      </w:r>
      <w:r w:rsidR="00EB28C1">
        <w:t xml:space="preserve"> withdraw during their studies, fail course</w:t>
      </w:r>
      <w:r w:rsidR="003355B7">
        <w:t>s</w:t>
      </w:r>
      <w:r w:rsidR="00EB28C1">
        <w:t xml:space="preserve">, do not get a job </w:t>
      </w:r>
      <w:r w:rsidR="005A3B80">
        <w:t xml:space="preserve">in an </w:t>
      </w:r>
      <w:r w:rsidR="003355B7">
        <w:t>occupation</w:t>
      </w:r>
      <w:r w:rsidR="005A3B80">
        <w:t xml:space="preserve"> that uses their skills</w:t>
      </w:r>
      <w:r w:rsidR="001510DC">
        <w:t xml:space="preserve">, or they get such a job, but are not </w:t>
      </w:r>
      <w:r w:rsidR="009C57B9">
        <w:t>proficient</w:t>
      </w:r>
      <w:r w:rsidR="001510DC">
        <w:t xml:space="preserve"> at it. </w:t>
      </w:r>
      <w:r w:rsidR="009C57B9">
        <w:t xml:space="preserve">None of these are desirable outcomes — they waste </w:t>
      </w:r>
      <w:r w:rsidR="00397D70">
        <w:t>resources</w:t>
      </w:r>
      <w:r w:rsidR="00AA0CE7">
        <w:t>,</w:t>
      </w:r>
      <w:r w:rsidR="00F90FB6">
        <w:t xml:space="preserve"> </w:t>
      </w:r>
      <w:r w:rsidR="009C57B9">
        <w:t xml:space="preserve">create </w:t>
      </w:r>
      <w:r w:rsidR="00AA0CE7">
        <w:t>student debts and fiscal costs for the Australian Government</w:t>
      </w:r>
      <w:r w:rsidR="00EA667D">
        <w:t xml:space="preserve">, </w:t>
      </w:r>
      <w:r w:rsidR="00EA667D">
        <w:lastRenderedPageBreak/>
        <w:t xml:space="preserve">and at their worst, </w:t>
      </w:r>
      <w:r w:rsidR="00925B42">
        <w:t xml:space="preserve">could </w:t>
      </w:r>
      <w:r w:rsidR="00EA667D">
        <w:t xml:space="preserve">lead to </w:t>
      </w:r>
      <w:r w:rsidR="008F6724">
        <w:t xml:space="preserve">someone </w:t>
      </w:r>
      <w:r w:rsidR="00BA0D0A">
        <w:t xml:space="preserve">notionally </w:t>
      </w:r>
      <w:r w:rsidR="00397D70">
        <w:t xml:space="preserve">qualified as a teacher, but without the </w:t>
      </w:r>
      <w:r w:rsidR="00925B42">
        <w:t xml:space="preserve">full skill set or </w:t>
      </w:r>
      <w:r w:rsidR="00E255B9">
        <w:t xml:space="preserve">sufficient </w:t>
      </w:r>
      <w:r w:rsidR="00B379BE">
        <w:t>interest in the</w:t>
      </w:r>
      <w:r w:rsidR="00E255B9">
        <w:t>ir</w:t>
      </w:r>
      <w:r w:rsidR="00B379BE">
        <w:t xml:space="preserve"> career</w:t>
      </w:r>
      <w:r>
        <w:t>.</w:t>
      </w:r>
    </w:p>
    <w:p w14:paraId="28E1720A" w14:textId="77777777" w:rsidR="007E2264" w:rsidRDefault="00C810CB" w:rsidP="00C2638D">
      <w:pPr>
        <w:pStyle w:val="BodyText"/>
      </w:pPr>
      <w:r>
        <w:t xml:space="preserve">On the other, </w:t>
      </w:r>
      <w:r w:rsidR="005826B9">
        <w:t>screening</w:t>
      </w:r>
      <w:r w:rsidR="002057E3">
        <w:t xml:space="preserve"> is an inexact science. The Commission, for example, found </w:t>
      </w:r>
      <w:r w:rsidR="00EF54B2">
        <w:t>the Australian Tertiary Admission Rank (ATAR) — is an</w:t>
      </w:r>
      <w:r w:rsidR="00795BEE">
        <w:t xml:space="preserve"> imprecise indicator of subsequent </w:t>
      </w:r>
      <w:r w:rsidR="00691E64">
        <w:t>attrition</w:t>
      </w:r>
      <w:r w:rsidR="004D18E5">
        <w:t xml:space="preserve"> and completion rates in </w:t>
      </w:r>
      <w:r w:rsidR="00795BEE">
        <w:t xml:space="preserve">higher education </w:t>
      </w:r>
      <w:r w:rsidR="004D18E5">
        <w:t>(PC 2017b, pp.</w:t>
      </w:r>
      <w:r w:rsidR="00DC08E9">
        <w:t> </w:t>
      </w:r>
      <w:r w:rsidR="004D18E5">
        <w:t>21</w:t>
      </w:r>
      <w:r w:rsidR="00F76369">
        <w:t>–</w:t>
      </w:r>
      <w:r w:rsidR="004D18E5">
        <w:t>22).</w:t>
      </w:r>
      <w:r w:rsidR="00976D0A">
        <w:t xml:space="preserve"> </w:t>
      </w:r>
      <w:r w:rsidR="00960344">
        <w:t>As such, i</w:t>
      </w:r>
      <w:r w:rsidR="0013229D">
        <w:t>t</w:t>
      </w:r>
      <w:r w:rsidR="00AC49D6">
        <w:t xml:space="preserve"> </w:t>
      </w:r>
      <w:r w:rsidR="0013229D">
        <w:t xml:space="preserve">is </w:t>
      </w:r>
      <w:r w:rsidR="0013229D" w:rsidRPr="0013229D">
        <w:t xml:space="preserve">difficult for governments or higher education providers to </w:t>
      </w:r>
      <w:r w:rsidR="00960344">
        <w:t xml:space="preserve">accurately </w:t>
      </w:r>
      <w:r w:rsidR="0013229D" w:rsidRPr="0013229D">
        <w:t>determine a student’s aptitude prior to commencing the</w:t>
      </w:r>
      <w:r w:rsidR="00960344">
        <w:t>ir</w:t>
      </w:r>
      <w:r w:rsidR="0013229D" w:rsidRPr="0013229D">
        <w:t xml:space="preserve"> course</w:t>
      </w:r>
      <w:r w:rsidR="00801171">
        <w:t xml:space="preserve">, </w:t>
      </w:r>
      <w:r w:rsidR="00C84DBC">
        <w:t xml:space="preserve">which </w:t>
      </w:r>
      <w:r w:rsidR="009D4A4C">
        <w:t>was</w:t>
      </w:r>
      <w:r w:rsidR="0013229D">
        <w:t xml:space="preserve"> </w:t>
      </w:r>
      <w:r w:rsidR="007E7535">
        <w:t>part</w:t>
      </w:r>
      <w:r w:rsidR="009D4A4C">
        <w:t xml:space="preserve"> of the rationale</w:t>
      </w:r>
      <w:r w:rsidR="007E7535">
        <w:t xml:space="preserve"> underpinn</w:t>
      </w:r>
      <w:r w:rsidR="009D4A4C">
        <w:t>ing</w:t>
      </w:r>
      <w:r w:rsidR="007E7535">
        <w:t xml:space="preserve"> the demand</w:t>
      </w:r>
      <w:r w:rsidR="007E7535">
        <w:noBreakHyphen/>
        <w:t>driven university system</w:t>
      </w:r>
      <w:r w:rsidR="00AC747E">
        <w:t xml:space="preserve"> </w:t>
      </w:r>
      <w:r w:rsidR="00C800FA">
        <w:t>from 2010</w:t>
      </w:r>
      <w:r w:rsidR="009D4A4C">
        <w:t xml:space="preserve"> to </w:t>
      </w:r>
      <w:r w:rsidR="00C800FA">
        <w:t>2017</w:t>
      </w:r>
      <w:r w:rsidR="009D4A4C">
        <w:t xml:space="preserve"> (PC 2019, p.</w:t>
      </w:r>
      <w:r w:rsidR="00DC08E9">
        <w:t> </w:t>
      </w:r>
      <w:r w:rsidR="007121DF">
        <w:t>47</w:t>
      </w:r>
      <w:r w:rsidR="00C800FA" w:rsidDel="009D4A4C">
        <w:t>)</w:t>
      </w:r>
      <w:r w:rsidR="003919BD">
        <w:t xml:space="preserve">. </w:t>
      </w:r>
    </w:p>
    <w:p w14:paraId="1284029A" w14:textId="19F24603" w:rsidR="009C4075" w:rsidRPr="00083C7D" w:rsidRDefault="00C61CCF" w:rsidP="00C2638D">
      <w:pPr>
        <w:pStyle w:val="BodyText"/>
        <w:rPr>
          <w:spacing w:val="-4"/>
        </w:rPr>
      </w:pPr>
      <w:r w:rsidRPr="00083C7D">
        <w:rPr>
          <w:spacing w:val="-4"/>
        </w:rPr>
        <w:t xml:space="preserve">If screening is regarded as ineffective, </w:t>
      </w:r>
      <w:r w:rsidR="00477BB1" w:rsidRPr="00083C7D">
        <w:rPr>
          <w:spacing w:val="-4"/>
        </w:rPr>
        <w:t>one</w:t>
      </w:r>
      <w:r w:rsidRPr="00083C7D">
        <w:rPr>
          <w:spacing w:val="-4"/>
        </w:rPr>
        <w:t xml:space="preserve"> implication is that some very good </w:t>
      </w:r>
      <w:r w:rsidR="00965545" w:rsidRPr="00083C7D">
        <w:rPr>
          <w:spacing w:val="-4"/>
        </w:rPr>
        <w:t xml:space="preserve">potential teachers are not permitted to commence a course. </w:t>
      </w:r>
      <w:r w:rsidR="00D9486F" w:rsidRPr="00083C7D">
        <w:rPr>
          <w:spacing w:val="-4"/>
        </w:rPr>
        <w:t xml:space="preserve">This could be particularly problematic </w:t>
      </w:r>
      <w:r w:rsidR="00D2623F" w:rsidRPr="00083C7D">
        <w:rPr>
          <w:spacing w:val="-4"/>
        </w:rPr>
        <w:t>if</w:t>
      </w:r>
      <w:r w:rsidR="00965545" w:rsidRPr="00083C7D">
        <w:rPr>
          <w:spacing w:val="-4"/>
        </w:rPr>
        <w:t xml:space="preserve"> screening </w:t>
      </w:r>
      <w:r w:rsidR="008E09C2" w:rsidRPr="00083C7D">
        <w:rPr>
          <w:spacing w:val="-4"/>
        </w:rPr>
        <w:t xml:space="preserve">closes off options for </w:t>
      </w:r>
      <w:r w:rsidR="00377E73" w:rsidRPr="00083C7D">
        <w:rPr>
          <w:spacing w:val="-4"/>
        </w:rPr>
        <w:t xml:space="preserve">inherently very capable </w:t>
      </w:r>
      <w:r w:rsidR="005579A8" w:rsidRPr="00083C7D">
        <w:rPr>
          <w:spacing w:val="-4"/>
        </w:rPr>
        <w:t>people from diverse cultural backgrounds</w:t>
      </w:r>
      <w:r w:rsidR="00377E73" w:rsidRPr="00083C7D">
        <w:rPr>
          <w:spacing w:val="-4"/>
        </w:rPr>
        <w:t>.</w:t>
      </w:r>
      <w:r w:rsidR="00965545" w:rsidRPr="00083C7D">
        <w:rPr>
          <w:spacing w:val="-4"/>
        </w:rPr>
        <w:t xml:space="preserve"> </w:t>
      </w:r>
    </w:p>
    <w:p w14:paraId="33BF008A" w14:textId="7E74916A" w:rsidR="009C4075" w:rsidRPr="00083C7D" w:rsidRDefault="00CC057F" w:rsidP="009C4075">
      <w:pPr>
        <w:pStyle w:val="BodyText"/>
        <w:rPr>
          <w:spacing w:val="-4"/>
        </w:rPr>
      </w:pPr>
      <w:r w:rsidRPr="00083C7D">
        <w:rPr>
          <w:spacing w:val="-4"/>
        </w:rPr>
        <w:t xml:space="preserve">Equally, a </w:t>
      </w:r>
      <w:r w:rsidR="00760296" w:rsidRPr="00083C7D">
        <w:rPr>
          <w:spacing w:val="-4"/>
        </w:rPr>
        <w:t>simple measure, like ATAR, may identify people with strong academic capabilit</w:t>
      </w:r>
      <w:r w:rsidR="00F40432" w:rsidRPr="00083C7D">
        <w:rPr>
          <w:spacing w:val="-4"/>
        </w:rPr>
        <w:t>ies</w:t>
      </w:r>
      <w:r w:rsidR="00760296" w:rsidRPr="00083C7D">
        <w:rPr>
          <w:spacing w:val="-4"/>
        </w:rPr>
        <w:t>, but weak interpersonal skills.</w:t>
      </w:r>
      <w:r w:rsidR="00AC747E" w:rsidRPr="00083C7D">
        <w:rPr>
          <w:spacing w:val="-4"/>
        </w:rPr>
        <w:t xml:space="preserve"> </w:t>
      </w:r>
      <w:r w:rsidR="009C4075" w:rsidRPr="00083C7D">
        <w:rPr>
          <w:spacing w:val="-4"/>
        </w:rPr>
        <w:t>The need for ITE students to have high</w:t>
      </w:r>
      <w:r w:rsidR="00F76369" w:rsidRPr="00083C7D">
        <w:rPr>
          <w:spacing w:val="-4"/>
        </w:rPr>
        <w:noBreakHyphen/>
      </w:r>
      <w:r w:rsidR="009C4075" w:rsidRPr="00083C7D">
        <w:rPr>
          <w:spacing w:val="-4"/>
        </w:rPr>
        <w:t>level academic skills may also partly depend on the level of schooling they teach. Although university</w:t>
      </w:r>
      <w:r w:rsidR="009C4075" w:rsidRPr="00083C7D">
        <w:rPr>
          <w:spacing w:val="-4"/>
        </w:rPr>
        <w:noBreakHyphen/>
        <w:t>level knowledge in specific course content may be highly beneficial for senior secondary schooling, primary school teaching may need a greater emphasis on strong interpersonal skills or other non</w:t>
      </w:r>
      <w:r w:rsidR="00F76369" w:rsidRPr="00083C7D">
        <w:rPr>
          <w:spacing w:val="-4"/>
        </w:rPr>
        <w:noBreakHyphen/>
      </w:r>
      <w:r w:rsidR="009C4075" w:rsidRPr="00083C7D">
        <w:rPr>
          <w:spacing w:val="-4"/>
        </w:rPr>
        <w:t xml:space="preserve">academic attributes that are more beneficial to younger students. </w:t>
      </w:r>
    </w:p>
    <w:p w14:paraId="5309A36D" w14:textId="5E03BC06" w:rsidR="002C0AE5" w:rsidRPr="00083C7D" w:rsidRDefault="00391331" w:rsidP="000D0D4B">
      <w:pPr>
        <w:pStyle w:val="BodyText"/>
        <w:rPr>
          <w:spacing w:val="-4"/>
        </w:rPr>
      </w:pPr>
      <w:r w:rsidRPr="00083C7D">
        <w:rPr>
          <w:spacing w:val="-4"/>
        </w:rPr>
        <w:t xml:space="preserve">There are, accordingly, significant potential gains from developing high quality screening tools. </w:t>
      </w:r>
      <w:r w:rsidR="003B6B7A" w:rsidRPr="00083C7D">
        <w:rPr>
          <w:spacing w:val="-4"/>
        </w:rPr>
        <w:t xml:space="preserve">Given the previous analysis of the Commission, a sensible approach should probably entail a cascading set of filters — from initial screens for suitability for </w:t>
      </w:r>
      <w:r w:rsidR="00666A8A" w:rsidRPr="00083C7D">
        <w:rPr>
          <w:spacing w:val="-4"/>
        </w:rPr>
        <w:t>undertaking</w:t>
      </w:r>
      <w:r w:rsidR="003B6B7A" w:rsidRPr="00083C7D">
        <w:rPr>
          <w:spacing w:val="-4"/>
        </w:rPr>
        <w:t xml:space="preserve"> ITE</w:t>
      </w:r>
      <w:r w:rsidR="00AE6655" w:rsidRPr="00083C7D">
        <w:rPr>
          <w:spacing w:val="-4"/>
        </w:rPr>
        <w:t xml:space="preserve">, to </w:t>
      </w:r>
      <w:r w:rsidR="0055156A" w:rsidRPr="00083C7D">
        <w:rPr>
          <w:spacing w:val="-4"/>
        </w:rPr>
        <w:t>high levels of early scrutiny of performance and stringent tests of competence at course completion.</w:t>
      </w:r>
      <w:r w:rsidR="00666A8A" w:rsidRPr="00083C7D">
        <w:rPr>
          <w:spacing w:val="-4"/>
        </w:rPr>
        <w:t xml:space="preserve"> </w:t>
      </w:r>
    </w:p>
    <w:p w14:paraId="037E1ADC" w14:textId="77777777" w:rsidR="007F6713" w:rsidRDefault="000D0D4B" w:rsidP="00D46667">
      <w:pPr>
        <w:pStyle w:val="BodyText"/>
      </w:pPr>
      <w:r>
        <w:t>Currently, ITE students are required to meet minimum entry</w:t>
      </w:r>
      <w:r w:rsidR="00F76369">
        <w:noBreakHyphen/>
      </w:r>
      <w:r>
        <w:t xml:space="preserve">level literacy and numeracy requirements. The Commission has previously supported the use of these requirements, to the extent that they ‘raise the bar for entry’ into ITE programs, and therefore improve the quality of teaching </w:t>
      </w:r>
      <w:r w:rsidRPr="000B6910">
        <w:t>(PC 2012, pp.</w:t>
      </w:r>
      <w:r>
        <w:t> </w:t>
      </w:r>
      <w:r w:rsidRPr="000B6910">
        <w:t>13</w:t>
      </w:r>
      <w:r>
        <w:t>8</w:t>
      </w:r>
      <w:r w:rsidR="00F76369">
        <w:t>–</w:t>
      </w:r>
      <w:r w:rsidRPr="000B6910">
        <w:t>140</w:t>
      </w:r>
      <w:r>
        <w:t xml:space="preserve">). However, as the QITE </w:t>
      </w:r>
      <w:r w:rsidR="00B42327">
        <w:t>Review</w:t>
      </w:r>
      <w:r>
        <w:t xml:space="preserve"> discussion paper </w:t>
      </w:r>
      <w:r w:rsidR="00704666">
        <w:t>(pp.</w:t>
      </w:r>
      <w:r w:rsidR="00F76369">
        <w:t> </w:t>
      </w:r>
      <w:r w:rsidR="00704666">
        <w:t>8</w:t>
      </w:r>
      <w:r w:rsidR="00F76369">
        <w:t>–</w:t>
      </w:r>
      <w:r w:rsidR="00704666">
        <w:t xml:space="preserve">9) </w:t>
      </w:r>
      <w:r>
        <w:t>note</w:t>
      </w:r>
      <w:r w:rsidR="00AA120A">
        <w:t>d</w:t>
      </w:r>
      <w:r>
        <w:t>, there is more to teaching quality than an ITE student’s literacy and numeracy skills, including</w:t>
      </w:r>
      <w:r w:rsidDel="006B4F44">
        <w:t xml:space="preserve"> </w:t>
      </w:r>
      <w:r>
        <w:t xml:space="preserve">their motivation to teach, interpersonal and communication skills, and resilience. </w:t>
      </w:r>
    </w:p>
    <w:p w14:paraId="395FE83B" w14:textId="6DA58F7A" w:rsidR="00D46667" w:rsidRDefault="00D46667" w:rsidP="00D46667">
      <w:pPr>
        <w:pStyle w:val="BodyText"/>
      </w:pPr>
      <w:r>
        <w:t>Previous work by the Commission has supported higher education providers using more sophisticated entry assessments for all prospective students (not just in ITE), including the use of aptitude tests, considering extra</w:t>
      </w:r>
      <w:r w:rsidR="00F76369">
        <w:noBreakHyphen/>
      </w:r>
      <w:r>
        <w:t xml:space="preserve">curricular activities, conducting interviews, and assessing motivation to study. For example, the University of Notre Dame’s requirement for a personal statement and interview during application may be one factor that explains its relatively low rate of attrition (PC 2017b, </w:t>
      </w:r>
      <w:r w:rsidR="00F76369">
        <w:t>p</w:t>
      </w:r>
      <w:r>
        <w:t>p.</w:t>
      </w:r>
      <w:r w:rsidR="00F76369">
        <w:t> </w:t>
      </w:r>
      <w:r>
        <w:t>25</w:t>
      </w:r>
      <w:r w:rsidR="00F76369">
        <w:t>–</w:t>
      </w:r>
      <w:r>
        <w:t>26).</w:t>
      </w:r>
      <w:r w:rsidR="0053474F">
        <w:t xml:space="preserve"> And in 2020</w:t>
      </w:r>
      <w:r w:rsidR="004372F4">
        <w:t>,</w:t>
      </w:r>
      <w:r w:rsidR="0053474F">
        <w:t xml:space="preserve"> the Commission recommended </w:t>
      </w:r>
      <w:r w:rsidR="00E4595F">
        <w:t xml:space="preserve">the </w:t>
      </w:r>
      <w:r w:rsidR="0053474F">
        <w:t>screening of apprentices</w:t>
      </w:r>
      <w:r w:rsidR="004372F4">
        <w:t>,</w:t>
      </w:r>
      <w:r w:rsidR="0053474F">
        <w:t xml:space="preserve"> </w:t>
      </w:r>
      <w:r w:rsidR="00E0464B">
        <w:t>to</w:t>
      </w:r>
      <w:r w:rsidR="00ED680A">
        <w:t xml:space="preserve"> better match </w:t>
      </w:r>
      <w:r w:rsidR="005F57F9">
        <w:t xml:space="preserve">prospective students to courses and </w:t>
      </w:r>
      <w:r w:rsidR="00386DDC">
        <w:t xml:space="preserve">to identify any need for </w:t>
      </w:r>
      <w:r w:rsidR="00E0464B">
        <w:t xml:space="preserve">support </w:t>
      </w:r>
      <w:r w:rsidR="003F14D8">
        <w:t>services</w:t>
      </w:r>
      <w:r w:rsidR="005F57F9">
        <w:t xml:space="preserve"> (</w:t>
      </w:r>
      <w:r w:rsidR="009048B9">
        <w:t>PC 2020, p. </w:t>
      </w:r>
      <w:r w:rsidR="008540A0">
        <w:t>346</w:t>
      </w:r>
      <w:r w:rsidR="00E468BB">
        <w:t xml:space="preserve">). </w:t>
      </w:r>
    </w:p>
    <w:p w14:paraId="4FD89681" w14:textId="45AA40FD" w:rsidR="000D0D4B" w:rsidRDefault="00EB555A" w:rsidP="0068532F">
      <w:pPr>
        <w:pStyle w:val="BodyText"/>
      </w:pPr>
      <w:r>
        <w:t xml:space="preserve">As noted in the QITE Review discussion paper (p. 9), ITE programs are required to assess </w:t>
      </w:r>
      <w:r w:rsidR="00E33832">
        <w:t xml:space="preserve">applicants’ </w:t>
      </w:r>
      <w:r>
        <w:t>non</w:t>
      </w:r>
      <w:r>
        <w:noBreakHyphen/>
        <w:t>academic characteristics</w:t>
      </w:r>
      <w:r w:rsidR="001C0DD6">
        <w:t xml:space="preserve"> (including through </w:t>
      </w:r>
      <w:r w:rsidR="00724B18">
        <w:t>use of the CASPer test and Teaching Personal Statements)</w:t>
      </w:r>
      <w:r w:rsidR="008D287A">
        <w:t>.</w:t>
      </w:r>
      <w:r w:rsidR="006F1B4B">
        <w:t xml:space="preserve"> However, t</w:t>
      </w:r>
      <w:r w:rsidR="00467B64">
        <w:t xml:space="preserve">he Commission is unsure about the specificity </w:t>
      </w:r>
      <w:r w:rsidR="00467B64">
        <w:lastRenderedPageBreak/>
        <w:t xml:space="preserve">and sensitivity of </w:t>
      </w:r>
      <w:r w:rsidR="006F1B4B">
        <w:t xml:space="preserve">these </w:t>
      </w:r>
      <w:r w:rsidR="00E405DB">
        <w:t>assessment tools</w:t>
      </w:r>
      <w:r w:rsidR="00232770">
        <w:t xml:space="preserve">. The quality of </w:t>
      </w:r>
      <w:r w:rsidR="00BF041C">
        <w:t xml:space="preserve">such </w:t>
      </w:r>
      <w:r w:rsidR="00232770">
        <w:t xml:space="preserve">screens should be </w:t>
      </w:r>
      <w:r w:rsidR="00BF041C">
        <w:t xml:space="preserve">continually </w:t>
      </w:r>
      <w:r w:rsidR="00232770">
        <w:t>improved through ongoing tests of their prediction accuracy. As the discussion paper note</w:t>
      </w:r>
      <w:r w:rsidR="00AA120A">
        <w:t>d</w:t>
      </w:r>
      <w:r w:rsidR="00232770">
        <w:t xml:space="preserve">, the longitudinal empirical evidence underpinning the effectiveness of </w:t>
      </w:r>
      <w:r w:rsidR="00E31C47">
        <w:t xml:space="preserve">ITE </w:t>
      </w:r>
      <w:r w:rsidR="00232770">
        <w:t xml:space="preserve">screening tools </w:t>
      </w:r>
      <w:r w:rsidR="00E86DEA">
        <w:t>still remains</w:t>
      </w:r>
      <w:r w:rsidR="00232770">
        <w:t xml:space="preserve"> incomplete.</w:t>
      </w:r>
      <w:r w:rsidR="00247AAD">
        <w:t xml:space="preserve"> </w:t>
      </w:r>
    </w:p>
    <w:p w14:paraId="034DBE93" w14:textId="62CCE078" w:rsidR="00232770" w:rsidRDefault="00232770" w:rsidP="00232770">
      <w:pPr>
        <w:pStyle w:val="BodyText"/>
      </w:pPr>
      <w:r>
        <w:t>The</w:t>
      </w:r>
      <w:r w:rsidDel="006D0BB7">
        <w:t xml:space="preserve"> </w:t>
      </w:r>
      <w:r>
        <w:t xml:space="preserve">‘fail fast and fail cheap’ dictum </w:t>
      </w:r>
      <w:r w:rsidR="007418F8">
        <w:t xml:space="preserve">also </w:t>
      </w:r>
      <w:r>
        <w:t>provides an important form of screening for a student who has already commenced their studies. As the Commission noted</w:t>
      </w:r>
      <w:r w:rsidR="0082604A">
        <w:t xml:space="preserve"> in its examination of the demand driven higher education system</w:t>
      </w:r>
      <w:r>
        <w:t xml:space="preserve">: </w:t>
      </w:r>
    </w:p>
    <w:p w14:paraId="5894AEAB" w14:textId="3E87EE82" w:rsidR="00232770" w:rsidRDefault="00232770" w:rsidP="00BC267A">
      <w:pPr>
        <w:pStyle w:val="Quote"/>
        <w:spacing w:before="240"/>
      </w:pPr>
      <w:r>
        <w:t>An efficient system should also assist those students … to exit swiftly, mitigating the costs associated with university fees, forgone earnings … and delayed options to acquire skills through other, more suitable forms of education and training. (PC 2019, p.</w:t>
      </w:r>
      <w:r w:rsidR="00F76369">
        <w:t> </w:t>
      </w:r>
      <w:r>
        <w:t>47)</w:t>
      </w:r>
    </w:p>
    <w:p w14:paraId="550EAE1B" w14:textId="169A898E" w:rsidR="00232770" w:rsidRPr="00ED71C1" w:rsidRDefault="00232770" w:rsidP="00232770">
      <w:pPr>
        <w:pStyle w:val="BodyText"/>
      </w:pPr>
      <w:r>
        <w:t xml:space="preserve">In line with this, there are also some </w:t>
      </w:r>
      <w:r w:rsidR="004B4BC7">
        <w:t>pragmatic</w:t>
      </w:r>
      <w:r w:rsidR="004B4BC7" w:rsidDel="004B4BC7">
        <w:t xml:space="preserve"> </w:t>
      </w:r>
      <w:r>
        <w:t>interventions that governments could consider</w:t>
      </w:r>
      <w:r w:rsidR="008F127B">
        <w:t xml:space="preserve"> that</w:t>
      </w:r>
      <w:r w:rsidR="00B66D49">
        <w:t xml:space="preserve"> would</w:t>
      </w:r>
      <w:r>
        <w:t xml:space="preserve"> help current ITE students obtain a better understanding of their own aptitude for teaching sooner, rather than later. For one, practicums can play a key role in an ITE student’s decision to commit to or pull out of their studies (Dewhurst et al</w:t>
      </w:r>
      <w:r w:rsidR="00A276A7">
        <w:t>.</w:t>
      </w:r>
      <w:r>
        <w:t xml:space="preserve"> 2020, p. 17). And there is some tentative evidence of a higher drop</w:t>
      </w:r>
      <w:r w:rsidR="00F76369">
        <w:noBreakHyphen/>
      </w:r>
      <w:r>
        <w:t>out rate for ITE students just after their practicum placements (Williamson et al</w:t>
      </w:r>
      <w:r w:rsidR="00A276A7">
        <w:t>.</w:t>
      </w:r>
      <w:r>
        <w:t xml:space="preserve"> 2017, p. 40). This suggests that placing students into their first practicum as early as possible in their ITE courses may assist them to better understand their own aptitude for teaching sooner. </w:t>
      </w:r>
    </w:p>
    <w:p w14:paraId="38690EC7" w14:textId="3317D036" w:rsidR="000D0D4B" w:rsidRDefault="00FD3B5E" w:rsidP="000D0D4B">
      <w:pPr>
        <w:pStyle w:val="BodyText"/>
      </w:pPr>
      <w:r>
        <w:t xml:space="preserve">While </w:t>
      </w:r>
      <w:r w:rsidR="00317B35">
        <w:t>pre</w:t>
      </w:r>
      <w:r w:rsidR="00317B35">
        <w:noBreakHyphen/>
        <w:t xml:space="preserve">entry </w:t>
      </w:r>
      <w:r>
        <w:t xml:space="preserve">assessment of capability and ongoing assurance is </w:t>
      </w:r>
      <w:r w:rsidR="00317B35">
        <w:t>key to quality ITE</w:t>
      </w:r>
      <w:r w:rsidR="00642AED">
        <w:t xml:space="preserve">, </w:t>
      </w:r>
      <w:r w:rsidR="000D0D4B">
        <w:t xml:space="preserve">it is also important to </w:t>
      </w:r>
      <w:r w:rsidR="004115BB">
        <w:t xml:space="preserve">model </w:t>
      </w:r>
      <w:r w:rsidR="000D0D4B">
        <w:t xml:space="preserve">the consequences of </w:t>
      </w:r>
      <w:r w:rsidR="00A949A3">
        <w:t xml:space="preserve">excessively </w:t>
      </w:r>
      <w:r w:rsidR="000D0D4B">
        <w:t>tight requirements</w:t>
      </w:r>
      <w:r w:rsidR="00DB66C2">
        <w:t>,</w:t>
      </w:r>
      <w:r w:rsidR="000D0D4B">
        <w:t xml:space="preserve"> </w:t>
      </w:r>
      <w:r w:rsidR="00CE1921">
        <w:t>as there will be some trade</w:t>
      </w:r>
      <w:r w:rsidR="0095595B">
        <w:noBreakHyphen/>
      </w:r>
      <w:r w:rsidR="00CE1921">
        <w:t xml:space="preserve">off between attracting high quality </w:t>
      </w:r>
      <w:r w:rsidR="001E386C">
        <w:t>candidates</w:t>
      </w:r>
      <w:r w:rsidR="00CE1921">
        <w:t xml:space="preserve"> and </w:t>
      </w:r>
      <w:r w:rsidR="00DB66C2">
        <w:t xml:space="preserve">filling </w:t>
      </w:r>
      <w:r w:rsidR="00CE1921">
        <w:t>workforce needs.</w:t>
      </w:r>
    </w:p>
    <w:p w14:paraId="3168BCD0" w14:textId="77777777" w:rsidR="000D0D4B" w:rsidRDefault="000D0D4B" w:rsidP="000D0D4B">
      <w:pPr>
        <w:pStyle w:val="Heading3"/>
      </w:pPr>
      <w:r>
        <w:t>Teacher shortages</w:t>
      </w:r>
    </w:p>
    <w:p w14:paraId="1A204D35" w14:textId="6DD92EE1" w:rsidR="000D0D4B" w:rsidRDefault="000D0D4B" w:rsidP="000D0D4B">
      <w:pPr>
        <w:pStyle w:val="BodyText"/>
      </w:pPr>
      <w:r>
        <w:t>Disparities between the supply of and demand for some types of teachers can lead to shortages of adequately trained teaching staff in particular areas, as well as an excess of suitably</w:t>
      </w:r>
      <w:r w:rsidR="00F76369">
        <w:noBreakHyphen/>
      </w:r>
      <w:r>
        <w:t xml:space="preserve">qualified teachers in other areas. </w:t>
      </w:r>
    </w:p>
    <w:p w14:paraId="643EB555" w14:textId="747CF6FC" w:rsidR="000D0D4B" w:rsidRDefault="000D0D4B" w:rsidP="000D0D4B">
      <w:pPr>
        <w:pStyle w:val="BodyText"/>
      </w:pPr>
      <w:r>
        <w:t xml:space="preserve">The QITE Review discussion paper (p. 13) raised reports of a number of longstanding shortages in particular subject areas (such as </w:t>
      </w:r>
      <w:r w:rsidR="00364FD8" w:rsidRPr="00364FD8">
        <w:t>science, technology, engineering and math</w:t>
      </w:r>
      <w:r w:rsidR="00207227">
        <w:t xml:space="preserve"> (</w:t>
      </w:r>
      <w:r>
        <w:t>STEM</w:t>
      </w:r>
      <w:r w:rsidR="00207227">
        <w:t>)</w:t>
      </w:r>
      <w:r>
        <w:t>, languages and VET) and geographic areas (regional, rural and remote schools), as well as in disadvantaged schools. Previous work from the Commission in 2012 highlighted many of the same shortages,</w:t>
      </w:r>
      <w:r w:rsidDel="00A21B68">
        <w:t xml:space="preserve"> </w:t>
      </w:r>
      <w:r>
        <w:t>including for secondary mathematics and science; students with disabilities; urban schools with low</w:t>
      </w:r>
      <w:r>
        <w:noBreakHyphen/>
      </w:r>
      <w:r w:rsidR="00E1749B" w:rsidRPr="00E1749B">
        <w:t>socioeconomic status</w:t>
      </w:r>
      <w:r>
        <w:t xml:space="preserve"> students; and schools in rural and remote areas and Indigenous communities (PC 2012, pp. 10–11). This</w:t>
      </w:r>
      <w:r w:rsidRPr="00DC007D" w:rsidDel="00A21B68">
        <w:t xml:space="preserve"> </w:t>
      </w:r>
      <w:r>
        <w:t xml:space="preserve">suggests that such shortages are enduring and have been resistant to policy intervention. </w:t>
      </w:r>
    </w:p>
    <w:p w14:paraId="54BF57DE" w14:textId="40C3C500" w:rsidR="000D0D4B" w:rsidRDefault="000D0D4B" w:rsidP="006C3414">
      <w:pPr>
        <w:pStyle w:val="BodyText"/>
        <w:keepNext/>
        <w:keepLines/>
      </w:pPr>
      <w:r>
        <w:lastRenderedPageBreak/>
        <w:t xml:space="preserve">Teacher shortages can impose </w:t>
      </w:r>
      <w:r w:rsidRPr="00B15CF4">
        <w:t>considerable costs to students’ learning outcomes</w:t>
      </w:r>
      <w:r>
        <w:t xml:space="preserve"> and teacher job satisfaction. For example, when facing shortages of teachers in particular subjects,</w:t>
      </w:r>
      <w:r w:rsidRPr="00B15CF4">
        <w:t xml:space="preserve"> </w:t>
      </w:r>
      <w:r>
        <w:t xml:space="preserve">some </w:t>
      </w:r>
      <w:r w:rsidRPr="00B15CF4">
        <w:t>school</w:t>
      </w:r>
      <w:r>
        <w:t>s</w:t>
      </w:r>
      <w:r w:rsidRPr="00B15CF4">
        <w:t xml:space="preserve"> may </w:t>
      </w:r>
      <w:r>
        <w:t>respond by increasing class sizes</w:t>
      </w:r>
      <w:r>
        <w:rPr>
          <w:rStyle w:val="FootnoteReference"/>
        </w:rPr>
        <w:footnoteReference w:id="4"/>
      </w:r>
      <w:r>
        <w:t xml:space="preserve"> or </w:t>
      </w:r>
      <w:r w:rsidRPr="00B15CF4">
        <w:t>reduc</w:t>
      </w:r>
      <w:r>
        <w:t>ing</w:t>
      </w:r>
      <w:r w:rsidRPr="00B15CF4">
        <w:t xml:space="preserve"> the number of subjects available</w:t>
      </w:r>
      <w:r>
        <w:t>,</w:t>
      </w:r>
      <w:r w:rsidRPr="00B15CF4">
        <w:t xml:space="preserve"> </w:t>
      </w:r>
      <w:r>
        <w:t>limiting opportunities for students. Other schools</w:t>
      </w:r>
      <w:r w:rsidRPr="00B15CF4">
        <w:t xml:space="preserve"> </w:t>
      </w:r>
      <w:r>
        <w:t>may</w:t>
      </w:r>
      <w:r w:rsidRPr="00B15CF4">
        <w:t xml:space="preserve"> </w:t>
      </w:r>
      <w:r>
        <w:t>respond</w:t>
      </w:r>
      <w:r w:rsidRPr="00B15CF4">
        <w:t xml:space="preserve"> </w:t>
      </w:r>
      <w:r>
        <w:t>to shortages by asking teachers to teach a subject outside of their qualifications or professional experience</w:t>
      </w:r>
      <w:r w:rsidR="00D555F8">
        <w:t xml:space="preserve"> </w:t>
      </w:r>
      <w:r w:rsidR="008339C6">
        <w:t>—</w:t>
      </w:r>
      <w:r>
        <w:t xml:space="preserve"> ‘</w:t>
      </w:r>
      <w:r w:rsidRPr="00B15CF4">
        <w:t>teaching out</w:t>
      </w:r>
      <w:r w:rsidR="00F76369">
        <w:noBreakHyphen/>
      </w:r>
      <w:r w:rsidRPr="00B15CF4">
        <w:t>of</w:t>
      </w:r>
      <w:r w:rsidR="00F76369">
        <w:noBreakHyphen/>
      </w:r>
      <w:r w:rsidRPr="00B15CF4">
        <w:t>field</w:t>
      </w:r>
      <w:r>
        <w:t>’. The Commission has previously raised concerns about the prevalence and consequences associated with teaching out</w:t>
      </w:r>
      <w:r w:rsidR="00F76369">
        <w:noBreakHyphen/>
      </w:r>
      <w:r>
        <w:t>of</w:t>
      </w:r>
      <w:r w:rsidR="00F76369">
        <w:noBreakHyphen/>
      </w:r>
      <w:r>
        <w:t xml:space="preserve">field (box 1), and recommended in the 2017 </w:t>
      </w:r>
      <w:r w:rsidRPr="00355346">
        <w:rPr>
          <w:i/>
        </w:rPr>
        <w:t xml:space="preserve">Shifting the Dial: 5 </w:t>
      </w:r>
      <w:r w:rsidR="004912CB">
        <w:rPr>
          <w:i/>
        </w:rPr>
        <w:t>Y</w:t>
      </w:r>
      <w:r w:rsidRPr="00355346">
        <w:rPr>
          <w:i/>
        </w:rPr>
        <w:t xml:space="preserve">ear </w:t>
      </w:r>
      <w:r>
        <w:rPr>
          <w:i/>
          <w:iCs/>
        </w:rPr>
        <w:t>P</w:t>
      </w:r>
      <w:r w:rsidRPr="00355346">
        <w:rPr>
          <w:i/>
        </w:rPr>
        <w:t xml:space="preserve">roductivity </w:t>
      </w:r>
      <w:r>
        <w:rPr>
          <w:i/>
          <w:iCs/>
        </w:rPr>
        <w:t>R</w:t>
      </w:r>
      <w:r w:rsidRPr="00355346">
        <w:rPr>
          <w:i/>
        </w:rPr>
        <w:t>eview</w:t>
      </w:r>
      <w:r>
        <w:t xml:space="preserve"> that teaching out</w:t>
      </w:r>
      <w:r w:rsidR="00F76369">
        <w:noBreakHyphen/>
      </w:r>
      <w:r>
        <w:t>of</w:t>
      </w:r>
      <w:r w:rsidR="00F76369">
        <w:noBreakHyphen/>
      </w:r>
      <w:r>
        <w:t>field be addressed ‘within a tight time</w:t>
      </w:r>
      <w:r w:rsidR="00F76369">
        <w:noBreakHyphen/>
      </w:r>
      <w:r>
        <w:t>frame’ (PC 2017a, p.</w:t>
      </w:r>
      <w:r w:rsidR="00A175B5">
        <w:t> </w:t>
      </w:r>
      <w:r>
        <w:t>91).</w:t>
      </w:r>
    </w:p>
    <w:p w14:paraId="0AA81821" w14:textId="3D70EBE4" w:rsidR="000D0D4B" w:rsidRDefault="000D0D4B" w:rsidP="000D0D4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0D4B" w14:paraId="6D17A2A7" w14:textId="77777777" w:rsidTr="00DE2ADB">
        <w:trPr>
          <w:tblHeader/>
        </w:trPr>
        <w:tc>
          <w:tcPr>
            <w:tcW w:w="5000" w:type="pct"/>
            <w:tcBorders>
              <w:top w:val="single" w:sz="6" w:space="0" w:color="78A22F"/>
              <w:left w:val="nil"/>
              <w:bottom w:val="nil"/>
              <w:right w:val="nil"/>
            </w:tcBorders>
            <w:shd w:val="clear" w:color="auto" w:fill="F2F2F2"/>
          </w:tcPr>
          <w:p w14:paraId="6DB25299" w14:textId="3D29D8D7" w:rsidR="000D0D4B" w:rsidRDefault="000D0D4B" w:rsidP="00DE2ADB">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AB5436">
              <w:rPr>
                <w:b w:val="0"/>
                <w:noProof/>
              </w:rPr>
              <w:t>1</w:t>
            </w:r>
            <w:r>
              <w:rPr>
                <w:b w:val="0"/>
              </w:rPr>
              <w:fldChar w:fldCharType="end"/>
            </w:r>
            <w:r>
              <w:tab/>
              <w:t>Costs and prevalence of teaching out</w:t>
            </w:r>
            <w:r w:rsidR="0090169F">
              <w:noBreakHyphen/>
            </w:r>
            <w:r>
              <w:t>of</w:t>
            </w:r>
            <w:r w:rsidR="0090169F">
              <w:noBreakHyphen/>
            </w:r>
            <w:r>
              <w:t xml:space="preserve">field </w:t>
            </w:r>
          </w:p>
        </w:tc>
      </w:tr>
      <w:tr w:rsidR="000D0D4B" w14:paraId="6882BE79" w14:textId="77777777" w:rsidTr="00DE2ADB">
        <w:tc>
          <w:tcPr>
            <w:tcW w:w="5000" w:type="pct"/>
            <w:tcBorders>
              <w:top w:val="nil"/>
              <w:left w:val="nil"/>
              <w:bottom w:val="nil"/>
              <w:right w:val="nil"/>
            </w:tcBorders>
            <w:shd w:val="clear" w:color="auto" w:fill="F2F2F2"/>
          </w:tcPr>
          <w:p w14:paraId="3EC7D03D" w14:textId="77777777" w:rsidR="000D0D4B" w:rsidRDefault="000D0D4B" w:rsidP="00DE2ADB">
            <w:pPr>
              <w:pStyle w:val="BoxHeading1"/>
            </w:pPr>
            <w:r>
              <w:t>Costs</w:t>
            </w:r>
          </w:p>
          <w:p w14:paraId="128C7979" w14:textId="5CCF6C42" w:rsidR="000D0D4B" w:rsidRDefault="000D0D4B" w:rsidP="00DE2ADB">
            <w:pPr>
              <w:pStyle w:val="Box"/>
            </w:pPr>
            <w:r>
              <w:t>Teaching out</w:t>
            </w:r>
            <w:r w:rsidR="00F76369">
              <w:noBreakHyphen/>
            </w:r>
            <w:r>
              <w:t>of</w:t>
            </w:r>
            <w:r w:rsidR="00F76369">
              <w:noBreakHyphen/>
            </w:r>
            <w:r>
              <w:t xml:space="preserve">field is </w:t>
            </w:r>
            <w:r w:rsidR="00A035B0">
              <w:t xml:space="preserve">generally </w:t>
            </w:r>
            <w:r>
              <w:t>considered to have a negative influence on students, especially for students from a disadvantage background (McConney et al</w:t>
            </w:r>
            <w:r w:rsidR="00E62508">
              <w:t>.</w:t>
            </w:r>
            <w:r>
              <w:t xml:space="preserve"> 2009; PC 2012, p.</w:t>
            </w:r>
            <w:r w:rsidR="00F76369">
              <w:t> </w:t>
            </w:r>
            <w:r>
              <w:t xml:space="preserve">95). </w:t>
            </w:r>
            <w:r w:rsidR="00B837BE">
              <w:t>T</w:t>
            </w:r>
            <w:r>
              <w:t>eachers teaching out</w:t>
            </w:r>
            <w:r w:rsidR="00F76369">
              <w:noBreakHyphen/>
            </w:r>
            <w:r>
              <w:t>of</w:t>
            </w:r>
            <w:r w:rsidR="00F76369">
              <w:noBreakHyphen/>
            </w:r>
            <w:r>
              <w:t xml:space="preserve">field can </w:t>
            </w:r>
            <w:r w:rsidR="00B837BE">
              <w:t xml:space="preserve">also </w:t>
            </w:r>
            <w:r>
              <w:t xml:space="preserve">experience additional stresses, which may </w:t>
            </w:r>
            <w:r w:rsidR="001B161A">
              <w:t xml:space="preserve">be a </w:t>
            </w:r>
            <w:r>
              <w:t>contribut</w:t>
            </w:r>
            <w:r w:rsidR="001B161A">
              <w:t>ing factor for</w:t>
            </w:r>
            <w:r>
              <w:t xml:space="preserve"> early career resignations</w:t>
            </w:r>
            <w:r w:rsidR="00AD3393">
              <w:t>, exacerbating shortages</w:t>
            </w:r>
            <w:r>
              <w:t xml:space="preserve"> (PC 2012, p. 95). </w:t>
            </w:r>
          </w:p>
          <w:p w14:paraId="321CCB1C" w14:textId="38139CD5" w:rsidR="000D0D4B" w:rsidRDefault="00322513" w:rsidP="00DE2ADB">
            <w:pPr>
              <w:pStyle w:val="Box"/>
            </w:pPr>
            <w:r>
              <w:t>The costs of out</w:t>
            </w:r>
            <w:r w:rsidR="00F76369">
              <w:noBreakHyphen/>
            </w:r>
            <w:r>
              <w:t>of</w:t>
            </w:r>
            <w:r w:rsidR="00F76369">
              <w:noBreakHyphen/>
            </w:r>
            <w:r>
              <w:t xml:space="preserve">field are likely to be minimised when teachers have </w:t>
            </w:r>
            <w:r w:rsidR="000D0D4B" w:rsidRPr="00763328">
              <w:t>a genuine interest in the subject or considerable relevant subject knowledge</w:t>
            </w:r>
            <w:r w:rsidR="008C0BCE">
              <w:t>,</w:t>
            </w:r>
            <w:r w:rsidR="000D0D4B">
              <w:t xml:space="preserve"> </w:t>
            </w:r>
            <w:r>
              <w:t xml:space="preserve">which can </w:t>
            </w:r>
            <w:r w:rsidR="008C0BCE">
              <w:t xml:space="preserve">also </w:t>
            </w:r>
            <w:r>
              <w:t xml:space="preserve">be </w:t>
            </w:r>
            <w:r w:rsidR="00887038">
              <w:t xml:space="preserve">further </w:t>
            </w:r>
            <w:r>
              <w:t xml:space="preserve">developed </w:t>
            </w:r>
            <w:r w:rsidR="000D0D4B" w:rsidRPr="00763328">
              <w:t>through on</w:t>
            </w:r>
            <w:r w:rsidR="00F76369">
              <w:noBreakHyphen/>
            </w:r>
            <w:r w:rsidR="000D0D4B" w:rsidRPr="00763328">
              <w:t>the</w:t>
            </w:r>
            <w:r w:rsidR="00F76369">
              <w:noBreakHyphen/>
            </w:r>
            <w:r w:rsidR="000D0D4B" w:rsidRPr="00763328">
              <w:t>job experience or professional development (PC 2012, p.</w:t>
            </w:r>
            <w:r w:rsidR="00F76369">
              <w:t> </w:t>
            </w:r>
            <w:r w:rsidR="000D0D4B" w:rsidRPr="00763328">
              <w:t>95).</w:t>
            </w:r>
            <w:r w:rsidR="0090169F">
              <w:t xml:space="preserve"> </w:t>
            </w:r>
          </w:p>
          <w:p w14:paraId="15A8B4D6" w14:textId="77777777" w:rsidR="000D0D4B" w:rsidRDefault="000D0D4B" w:rsidP="00DE2ADB">
            <w:pPr>
              <w:pStyle w:val="BoxHeading1"/>
            </w:pPr>
            <w:r>
              <w:t>Prevalence</w:t>
            </w:r>
          </w:p>
          <w:p w14:paraId="042E2A0C" w14:textId="1613B341" w:rsidR="000D0D4B" w:rsidRDefault="000D0D4B" w:rsidP="00DE2ADB">
            <w:pPr>
              <w:pStyle w:val="Box"/>
            </w:pPr>
            <w:r>
              <w:t xml:space="preserve">The 2013 </w:t>
            </w:r>
            <w:r w:rsidRPr="003F18D3">
              <w:rPr>
                <w:i/>
              </w:rPr>
              <w:t>Staff in Australia’s School</w:t>
            </w:r>
            <w:r>
              <w:t xml:space="preserve"> survey found 12</w:t>
            </w:r>
            <w:r w:rsidRPr="00BF6D34">
              <w:t xml:space="preserve"> per cent of primary and </w:t>
            </w:r>
            <w:r>
              <w:t>33</w:t>
            </w:r>
            <w:r w:rsidRPr="00BF6D34">
              <w:t xml:space="preserve"> per cent of secondary schools had </w:t>
            </w:r>
            <w:r>
              <w:t>teachers teaching out</w:t>
            </w:r>
            <w:r w:rsidR="00F76369">
              <w:noBreakHyphen/>
            </w:r>
            <w:r>
              <w:t>of</w:t>
            </w:r>
            <w:r w:rsidR="00F76369">
              <w:noBreakHyphen/>
            </w:r>
            <w:r>
              <w:t xml:space="preserve">field </w:t>
            </w:r>
            <w:r w:rsidRPr="00BF6D34">
              <w:t>(</w:t>
            </w:r>
            <w:r w:rsidR="00DD07FE">
              <w:t>McKenzie et al</w:t>
            </w:r>
            <w:r w:rsidR="00E62508">
              <w:t>.</w:t>
            </w:r>
            <w:r w:rsidR="00DD07FE" w:rsidRPr="00BF6D34">
              <w:t xml:space="preserve"> </w:t>
            </w:r>
            <w:r w:rsidRPr="00BF6D34">
              <w:t>201</w:t>
            </w:r>
            <w:r w:rsidR="00F55363">
              <w:t>4</w:t>
            </w:r>
            <w:r w:rsidRPr="00BF6D34">
              <w:t>, p.</w:t>
            </w:r>
            <w:r w:rsidR="00F76369">
              <w:t> </w:t>
            </w:r>
            <w:r w:rsidRPr="00BF6D34">
              <w:t>129).</w:t>
            </w:r>
            <w:r>
              <w:t xml:space="preserve"> Further:</w:t>
            </w:r>
          </w:p>
          <w:p w14:paraId="7A0FB997" w14:textId="49971176" w:rsidR="000D0D4B" w:rsidRDefault="000D0D4B" w:rsidP="00DE2ADB">
            <w:pPr>
              <w:pStyle w:val="BoxListBullet"/>
            </w:pPr>
            <w:r>
              <w:t>more Year 7</w:t>
            </w:r>
            <w:r>
              <w:noBreakHyphen/>
              <w:t>10 teachers taught out</w:t>
            </w:r>
            <w:r w:rsidR="00F76369">
              <w:noBreakHyphen/>
            </w:r>
            <w:r>
              <w:t>of</w:t>
            </w:r>
            <w:r w:rsidR="00F76369">
              <w:noBreakHyphen/>
            </w:r>
            <w:r>
              <w:t>field than Year 11</w:t>
            </w:r>
            <w:r w:rsidR="00F76369">
              <w:noBreakHyphen/>
            </w:r>
            <w:r>
              <w:t>12 teachers (26 per cent and 15</w:t>
            </w:r>
            <w:r w:rsidR="00E221C2">
              <w:t> </w:t>
            </w:r>
            <w:r>
              <w:t>per</w:t>
            </w:r>
            <w:r w:rsidR="00E221C2">
              <w:t> </w:t>
            </w:r>
            <w:r>
              <w:t>cent</w:t>
            </w:r>
            <w:r w:rsidR="00E64035">
              <w:t>,</w:t>
            </w:r>
            <w:r>
              <w:t xml:space="preserve"> respectively)</w:t>
            </w:r>
          </w:p>
          <w:p w14:paraId="484FCEA4" w14:textId="71230102" w:rsidR="000D0D4B" w:rsidRDefault="000D0D4B" w:rsidP="00DE2ADB">
            <w:pPr>
              <w:pStyle w:val="BoxListBullet"/>
            </w:pPr>
            <w:r>
              <w:t>teachers early in their career were more likely to be teaching out of field (37 per cent of teachers with 1</w:t>
            </w:r>
            <w:r w:rsidR="00F76369">
              <w:noBreakHyphen/>
            </w:r>
            <w:r>
              <w:t>2 years experience, compared to 25 per cent of teachers with more than 5</w:t>
            </w:r>
            <w:r w:rsidR="008C0BCE">
              <w:t> </w:t>
            </w:r>
            <w:r>
              <w:t>years of experience)</w:t>
            </w:r>
          </w:p>
          <w:p w14:paraId="38B73BED" w14:textId="0CD07ACA" w:rsidR="000D0D4B" w:rsidRDefault="000D0D4B" w:rsidP="00DE2ADB">
            <w:pPr>
              <w:pStyle w:val="BoxListBullet"/>
            </w:pPr>
            <w:r>
              <w:t>more government schools (13 per cent primary and 39 per cent secondary) filled teacher shortages with teachers teaching out</w:t>
            </w:r>
            <w:r w:rsidR="00F76369">
              <w:noBreakHyphen/>
            </w:r>
            <w:r>
              <w:t>of</w:t>
            </w:r>
            <w:r w:rsidR="00F76369">
              <w:noBreakHyphen/>
            </w:r>
            <w:r>
              <w:t>field than Catholic (11 per cent and 36 per cent) or independent schools (9 per cent and 15 per cent) (</w:t>
            </w:r>
            <w:r w:rsidR="00DD07FE">
              <w:t>McKenzie et al</w:t>
            </w:r>
            <w:r w:rsidR="00E62508">
              <w:t>.</w:t>
            </w:r>
            <w:r w:rsidR="00DD07FE" w:rsidRPr="00BF6D34">
              <w:t xml:space="preserve"> </w:t>
            </w:r>
            <w:r>
              <w:t>201</w:t>
            </w:r>
            <w:r w:rsidR="00F55363">
              <w:t>4</w:t>
            </w:r>
            <w:r w:rsidR="008F7D65">
              <w:t>, p. 129</w:t>
            </w:r>
            <w:r>
              <w:t xml:space="preserve">). </w:t>
            </w:r>
          </w:p>
        </w:tc>
      </w:tr>
      <w:tr w:rsidR="000D0D4B" w14:paraId="69CED069" w14:textId="77777777" w:rsidTr="00DE2ADB">
        <w:tc>
          <w:tcPr>
            <w:tcW w:w="5000" w:type="pct"/>
            <w:tcBorders>
              <w:top w:val="nil"/>
              <w:left w:val="nil"/>
              <w:bottom w:val="single" w:sz="6" w:space="0" w:color="78A22F"/>
              <w:right w:val="nil"/>
            </w:tcBorders>
            <w:shd w:val="clear" w:color="auto" w:fill="F2F2F2"/>
          </w:tcPr>
          <w:p w14:paraId="7AD21DD1" w14:textId="77777777" w:rsidR="000D0D4B" w:rsidRDefault="000D0D4B" w:rsidP="00DE2ADB">
            <w:pPr>
              <w:pStyle w:val="Box"/>
              <w:spacing w:before="0" w:line="120" w:lineRule="exact"/>
            </w:pPr>
          </w:p>
        </w:tc>
      </w:tr>
      <w:tr w:rsidR="000D0D4B" w:rsidRPr="000863A5" w14:paraId="2A4FD06C" w14:textId="77777777" w:rsidTr="00DE2ADB">
        <w:tc>
          <w:tcPr>
            <w:tcW w:w="5000" w:type="pct"/>
            <w:tcBorders>
              <w:top w:val="single" w:sz="6" w:space="0" w:color="78A22F"/>
              <w:left w:val="nil"/>
              <w:bottom w:val="nil"/>
              <w:right w:val="nil"/>
            </w:tcBorders>
          </w:tcPr>
          <w:p w14:paraId="3E1E4527" w14:textId="30166C49" w:rsidR="000D0D4B" w:rsidRPr="00626D32" w:rsidRDefault="000D0D4B" w:rsidP="00DE2ADB">
            <w:pPr>
              <w:pStyle w:val="BoxSpaceBelow"/>
            </w:pPr>
          </w:p>
        </w:tc>
      </w:tr>
    </w:tbl>
    <w:p w14:paraId="2DA585E8" w14:textId="012BD0EE" w:rsidR="00361353" w:rsidRPr="00674B42" w:rsidRDefault="00361353" w:rsidP="00361353">
      <w:pPr>
        <w:pStyle w:val="BodyText"/>
      </w:pPr>
      <w:r>
        <w:t xml:space="preserve">At the broadest level, the Commission’s past work has focused on two primary drivers of teacher shortages — regulatory barriers to increasing the supply of teachers, and a lack of responsive pay incentives, both discussed below. However, a number of additional drivers, such as cultural factors, may also impact teacher shortages. For example, there is evidence of negative views towards the teaching profession in Australian society and media (Shine 2015), which may contribute to a downward spiral in the expectations for prospective </w:t>
      </w:r>
      <w:r>
        <w:lastRenderedPageBreak/>
        <w:t xml:space="preserve">ITE students and the attraction of the teaching profession. In 2018, </w:t>
      </w:r>
      <w:r w:rsidR="00007D6E">
        <w:t xml:space="preserve">only </w:t>
      </w:r>
      <w:r>
        <w:t>about 45 per cent of Australian teachers considered that their profession was valued in society (OECD 2020 pp. 55</w:t>
      </w:r>
      <w:r w:rsidR="0090169F">
        <w:t>–</w:t>
      </w:r>
      <w:r>
        <w:t>56). While this is higher than the OECD average, it is far lower than countries like Finland, Singapore and South Korea, where teachers are highly valued.</w:t>
      </w:r>
    </w:p>
    <w:p w14:paraId="59D30E44" w14:textId="77777777" w:rsidR="00A035B0" w:rsidRDefault="00A035B0" w:rsidP="00A035B0">
      <w:pPr>
        <w:pStyle w:val="Heading4"/>
      </w:pPr>
      <w:r>
        <w:t>Regulatory barriers</w:t>
      </w:r>
    </w:p>
    <w:p w14:paraId="10D72604" w14:textId="00FA512B" w:rsidR="00A035B0" w:rsidRDefault="00A035B0" w:rsidP="00A035B0">
      <w:pPr>
        <w:pStyle w:val="BodyText"/>
      </w:pPr>
      <w:r>
        <w:t>A number of government regulations in the accreditation and hiring of teachers can act as barriers to expanding the supply of teachers, by increasing costs or limiting opportunities for ITE students.</w:t>
      </w:r>
      <w:r w:rsidRPr="00A643A3">
        <w:t xml:space="preserve"> </w:t>
      </w:r>
      <w:r>
        <w:t>Indirectly, these regulatory barriers can also limit the growth of a</w:t>
      </w:r>
      <w:r w:rsidRPr="009E0762">
        <w:t>lternative path</w:t>
      </w:r>
      <w:r>
        <w:t>wa</w:t>
      </w:r>
      <w:r w:rsidRPr="009E0762">
        <w:t xml:space="preserve">ys </w:t>
      </w:r>
      <w:r>
        <w:t>in</w:t>
      </w:r>
      <w:r w:rsidRPr="009E0762">
        <w:t xml:space="preserve">to the teaching profession </w:t>
      </w:r>
      <w:r>
        <w:t>(such as programs like</w:t>
      </w:r>
      <w:r w:rsidRPr="009E0762">
        <w:t xml:space="preserve"> Teach for Australia)</w:t>
      </w:r>
      <w:r>
        <w:t>, which encourage high</w:t>
      </w:r>
      <w:r w:rsidR="00F76369">
        <w:noBreakHyphen/>
      </w:r>
      <w:r>
        <w:t>quality working professionals into a teaching career</w:t>
      </w:r>
      <w:r w:rsidRPr="009E0762">
        <w:t>.</w:t>
      </w:r>
    </w:p>
    <w:p w14:paraId="28DA1CBB" w14:textId="16196A47" w:rsidR="00A035B0" w:rsidRDefault="00A035B0" w:rsidP="00A035B0">
      <w:pPr>
        <w:pStyle w:val="BodyText"/>
      </w:pPr>
      <w:r>
        <w:t>One such example is the two</w:t>
      </w:r>
      <w:r w:rsidR="00F76369">
        <w:noBreakHyphen/>
      </w:r>
      <w:r>
        <w:t>year minimum length requirement</w:t>
      </w:r>
      <w:r w:rsidDel="00D1612E">
        <w:t xml:space="preserve"> </w:t>
      </w:r>
      <w:r>
        <w:t xml:space="preserve">(under the </w:t>
      </w:r>
      <w:r w:rsidR="00F05590" w:rsidRPr="00F05590">
        <w:t>Australian Institute for Teaching and School Leadership</w:t>
      </w:r>
      <w:r>
        <w:t xml:space="preserve"> accreditation standards) for postgraduate entry teacher training</w:t>
      </w:r>
      <w:r w:rsidRPr="00160305">
        <w:t xml:space="preserve"> </w:t>
      </w:r>
      <w:r>
        <w:t xml:space="preserve">courses, </w:t>
      </w:r>
      <w:r w:rsidR="0035757F">
        <w:t xml:space="preserve">which </w:t>
      </w:r>
      <w:r>
        <w:t>increased from a one</w:t>
      </w:r>
      <w:r>
        <w:noBreakHyphen/>
        <w:t xml:space="preserve">year requirement in 2011. In the 2012 </w:t>
      </w:r>
      <w:r w:rsidRPr="0065624A">
        <w:rPr>
          <w:i/>
        </w:rPr>
        <w:t>School Workforce</w:t>
      </w:r>
      <w:r>
        <w:t xml:space="preserve"> report, the Commission found that although there are likely to be benefits from additional training (such as increased skill and knowledge),</w:t>
      </w:r>
      <w:r w:rsidDel="00802857">
        <w:t xml:space="preserve"> </w:t>
      </w:r>
      <w:r>
        <w:t xml:space="preserve">there was little evidence on the magnitude and persistence of these benefits. By comparison, the costs of additional training time for </w:t>
      </w:r>
      <w:r w:rsidR="001C73E4">
        <w:t xml:space="preserve">ITE </w:t>
      </w:r>
      <w:r>
        <w:t>students (</w:t>
      </w:r>
      <w:r w:rsidR="00BF79DF">
        <w:t>through</w:t>
      </w:r>
      <w:r>
        <w:t xml:space="preserve"> additional tuition fees and forgone earnings) and for government (through course subsidies), are substantial, and</w:t>
      </w:r>
      <w:r w:rsidRPr="00A53C83">
        <w:t xml:space="preserve"> </w:t>
      </w:r>
      <w:r>
        <w:t xml:space="preserve">potentially large enough </w:t>
      </w:r>
      <w:r w:rsidR="00894D59">
        <w:t xml:space="preserve">to </w:t>
      </w:r>
      <w:r>
        <w:t>dissuade high</w:t>
      </w:r>
      <w:r w:rsidR="00F76369">
        <w:noBreakHyphen/>
      </w:r>
      <w:r>
        <w:t>quality students with alternat</w:t>
      </w:r>
      <w:r w:rsidR="00E315C9">
        <w:t>ive</w:t>
      </w:r>
      <w:r>
        <w:t xml:space="preserve"> career options from participating in ITE programs (PC 2012, </w:t>
      </w:r>
      <w:r w:rsidR="00F76369">
        <w:t>p</w:t>
      </w:r>
      <w:r>
        <w:t>p. 147</w:t>
      </w:r>
      <w:r w:rsidR="00F76369">
        <w:t>–</w:t>
      </w:r>
      <w:r>
        <w:t>153).</w:t>
      </w:r>
      <w:r>
        <w:rPr>
          <w:rStyle w:val="FootnoteReference"/>
        </w:rPr>
        <w:footnoteReference w:id="5"/>
      </w:r>
      <w:r>
        <w:t xml:space="preserve"> While the extended length of postgraduate ITE courses may not be the sole driver, the QITE Review discussion paper </w:t>
      </w:r>
      <w:r w:rsidR="005B696D">
        <w:t>(pp. 6</w:t>
      </w:r>
      <w:r w:rsidR="00F76369">
        <w:t>–</w:t>
      </w:r>
      <w:r w:rsidR="005B696D">
        <w:t xml:space="preserve">7) </w:t>
      </w:r>
      <w:r>
        <w:t>also noted that completion</w:t>
      </w:r>
      <w:r w:rsidR="009F2632">
        <w:t xml:space="preserve"> rate</w:t>
      </w:r>
      <w:r>
        <w:t xml:space="preserve">s </w:t>
      </w:r>
      <w:r w:rsidR="009F2632">
        <w:t>for</w:t>
      </w:r>
      <w:r>
        <w:t xml:space="preserve"> ITE postgraduate programs </w:t>
      </w:r>
      <w:r w:rsidR="00472A2B">
        <w:t xml:space="preserve">began </w:t>
      </w:r>
      <w:r>
        <w:t xml:space="preserve">falling shortly after the requirement was introduced, and that this trend was not reflected in other fields. </w:t>
      </w:r>
    </w:p>
    <w:p w14:paraId="769EE861" w14:textId="1BD78792" w:rsidR="000D0D4B" w:rsidRDefault="000D0D4B" w:rsidP="000D0D4B">
      <w:pPr>
        <w:pStyle w:val="BodyText"/>
      </w:pPr>
      <w:r>
        <w:t>The Commission also previously highlighted other problematic constraints within entry standards for postgraduate teaching courses, such as ITE program accreditation standards that prevent those with strong subject skills obtained from highly</w:t>
      </w:r>
      <w:r w:rsidR="00F76369">
        <w:noBreakHyphen/>
      </w:r>
      <w:r>
        <w:t xml:space="preserve">related degrees or professional experience (particularly in STEM) from enrolling in postgraduate teacher education courses. One example raised in 2012 was the difficulty faced by some engineering graduates and professionals wishing to teach secondary school mathematics, despite strong familiarity with complex mathematical concepts (PC 2012, </w:t>
      </w:r>
      <w:r w:rsidR="00F76369">
        <w:t>p</w:t>
      </w:r>
      <w:r>
        <w:t>p.</w:t>
      </w:r>
      <w:r w:rsidR="00F76369">
        <w:t> </w:t>
      </w:r>
      <w:r>
        <w:t>105</w:t>
      </w:r>
      <w:r w:rsidR="00F76369">
        <w:t>–</w:t>
      </w:r>
      <w:r>
        <w:t>108).</w:t>
      </w:r>
    </w:p>
    <w:p w14:paraId="4945BE1C" w14:textId="163FDD73" w:rsidR="000D0D4B" w:rsidRDefault="000D0D4B" w:rsidP="000D0D4B">
      <w:pPr>
        <w:pStyle w:val="BodyText"/>
      </w:pPr>
      <w:r>
        <w:t>Similarly, regulations on hiring teachers to fill vacant teacher positions may also exacerbate shortages</w:t>
      </w:r>
      <w:r w:rsidR="00DB5F39">
        <w:t xml:space="preserve"> (PC 2012, p. </w:t>
      </w:r>
      <w:r w:rsidR="004663CD">
        <w:t>122)</w:t>
      </w:r>
      <w:r>
        <w:t xml:space="preserve">. In particular, </w:t>
      </w:r>
      <w:r w:rsidRPr="00867C64">
        <w:t xml:space="preserve">some states </w:t>
      </w:r>
      <w:r w:rsidR="008263A8">
        <w:t>(such as</w:t>
      </w:r>
      <w:r w:rsidR="001B5E95">
        <w:t xml:space="preserve"> Queensland or Western Australia)</w:t>
      </w:r>
      <w:r w:rsidR="008263A8">
        <w:t xml:space="preserve"> </w:t>
      </w:r>
      <w:r w:rsidR="00660EB4">
        <w:t xml:space="preserve">appear </w:t>
      </w:r>
      <w:r w:rsidR="003737C5">
        <w:t xml:space="preserve">to </w:t>
      </w:r>
      <w:r>
        <w:t>only permit</w:t>
      </w:r>
      <w:r w:rsidRPr="00867C64">
        <w:t xml:space="preserve"> teachers </w:t>
      </w:r>
      <w:r>
        <w:t xml:space="preserve">to </w:t>
      </w:r>
      <w:r w:rsidRPr="00867C64">
        <w:t xml:space="preserve">be employed while they are still completing their teaching qualification if the school can demonstrate that no registered teacher is available to fill the position. </w:t>
      </w:r>
      <w:r>
        <w:t>By contrast, other states and territories</w:t>
      </w:r>
      <w:r w:rsidRPr="00867C64">
        <w:t xml:space="preserve"> </w:t>
      </w:r>
      <w:r>
        <w:t>(including</w:t>
      </w:r>
      <w:r w:rsidRPr="00867C64">
        <w:t xml:space="preserve"> Vic</w:t>
      </w:r>
      <w:r w:rsidR="0015169C">
        <w:t>toria</w:t>
      </w:r>
      <w:r w:rsidRPr="00867C64">
        <w:t xml:space="preserve"> and</w:t>
      </w:r>
      <w:r w:rsidR="00F96937">
        <w:t xml:space="preserve"> the</w:t>
      </w:r>
      <w:r w:rsidRPr="00867C64">
        <w:t xml:space="preserve"> ACT</w:t>
      </w:r>
      <w:r>
        <w:t>)</w:t>
      </w:r>
      <w:r w:rsidRPr="00867C64">
        <w:t xml:space="preserve"> </w:t>
      </w:r>
      <w:r w:rsidR="00EF2F35">
        <w:lastRenderedPageBreak/>
        <w:t xml:space="preserve">tend to </w:t>
      </w:r>
      <w:r>
        <w:t xml:space="preserve">permit the use of </w:t>
      </w:r>
      <w:r w:rsidRPr="00867C64">
        <w:t>employment</w:t>
      </w:r>
      <w:r w:rsidR="00F76369">
        <w:noBreakHyphen/>
      </w:r>
      <w:r w:rsidRPr="00867C64">
        <w:t>based programs to fill teacher vacancies</w:t>
      </w:r>
      <w:r>
        <w:t>,</w:t>
      </w:r>
      <w:r w:rsidRPr="00867C64">
        <w:t xml:space="preserve"> without </w:t>
      </w:r>
      <w:r w:rsidR="00FE6EF2">
        <w:t>a</w:t>
      </w:r>
      <w:r w:rsidR="00FE6EF2" w:rsidRPr="00867C64">
        <w:t xml:space="preserve"> </w:t>
      </w:r>
      <w:r w:rsidRPr="00867C64">
        <w:t>requirement to demonstrate that a registered teacher is unavailable</w:t>
      </w:r>
      <w:r>
        <w:t>, help</w:t>
      </w:r>
      <w:r w:rsidR="00060A6D">
        <w:t>ing</w:t>
      </w:r>
      <w:r>
        <w:t xml:space="preserve"> to reduce the foregone earnings from ITE study. </w:t>
      </w:r>
    </w:p>
    <w:p w14:paraId="39F1998F" w14:textId="3269C729" w:rsidR="002E5B8C" w:rsidRDefault="00F951A1" w:rsidP="002E5B8C">
      <w:pPr>
        <w:pStyle w:val="BodyText"/>
      </w:pPr>
      <w:r>
        <w:t>Although there is no national model of teacher supply and demand</w:t>
      </w:r>
      <w:r w:rsidRPr="00F951A1">
        <w:t xml:space="preserve"> </w:t>
      </w:r>
      <w:r>
        <w:t>(as the QITE Review discussion paper note</w:t>
      </w:r>
      <w:r w:rsidR="00AA120A">
        <w:t>d</w:t>
      </w:r>
      <w:r w:rsidR="004C11C3">
        <w:t>, p.</w:t>
      </w:r>
      <w:r w:rsidR="00F76369">
        <w:t> </w:t>
      </w:r>
      <w:r w:rsidR="008E2037">
        <w:t>13</w:t>
      </w:r>
      <w:r>
        <w:t>),</w:t>
      </w:r>
      <w:r w:rsidR="00A60ADE">
        <w:t xml:space="preserve"> </w:t>
      </w:r>
      <w:r w:rsidR="008A0B38" w:rsidRPr="008A0B38">
        <w:t>predict</w:t>
      </w:r>
      <w:r w:rsidR="008A0B38">
        <w:t xml:space="preserve">ing </w:t>
      </w:r>
      <w:r w:rsidR="00F418E5">
        <w:t>the</w:t>
      </w:r>
      <w:r w:rsidR="008A0B38" w:rsidRPr="008A0B38">
        <w:t xml:space="preserve"> supply </w:t>
      </w:r>
      <w:r w:rsidR="00857893">
        <w:t xml:space="preserve">of </w:t>
      </w:r>
      <w:r w:rsidR="008A0B38" w:rsidRPr="008A0B38">
        <w:t>and demand for teachers</w:t>
      </w:r>
      <w:r w:rsidR="008A0B38" w:rsidRPr="008A0B38" w:rsidDel="002378E0">
        <w:t xml:space="preserve"> </w:t>
      </w:r>
      <w:r w:rsidR="00F418E5">
        <w:t>is</w:t>
      </w:r>
      <w:r w:rsidR="008A0B38" w:rsidRPr="008A0B38">
        <w:t xml:space="preserve"> </w:t>
      </w:r>
      <w:r w:rsidR="00DB7BB5">
        <w:t>inherently difficult</w:t>
      </w:r>
      <w:r w:rsidR="00F418E5">
        <w:t>.</w:t>
      </w:r>
      <w:r w:rsidR="008A0B38" w:rsidRPr="008A0B38">
        <w:t xml:space="preserve"> </w:t>
      </w:r>
      <w:r w:rsidR="00F418E5">
        <w:t>M</w:t>
      </w:r>
      <w:r w:rsidR="00A60ADE">
        <w:t>a</w:t>
      </w:r>
      <w:r w:rsidR="00524C81">
        <w:t>ny</w:t>
      </w:r>
      <w:r w:rsidR="00582EC5">
        <w:t xml:space="preserve"> factors </w:t>
      </w:r>
      <w:r w:rsidR="00857893">
        <w:t xml:space="preserve">can </w:t>
      </w:r>
      <w:r w:rsidR="00582EC5">
        <w:t xml:space="preserve">affect </w:t>
      </w:r>
      <w:r w:rsidR="00857893">
        <w:t>the outcome</w:t>
      </w:r>
      <w:r w:rsidR="00F418E5">
        <w:t xml:space="preserve">, </w:t>
      </w:r>
      <w:r w:rsidR="008566BC">
        <w:t>such as</w:t>
      </w:r>
      <w:r w:rsidR="00F418E5">
        <w:t xml:space="preserve"> </w:t>
      </w:r>
      <w:r w:rsidR="008035CE">
        <w:t xml:space="preserve">the preferences of </w:t>
      </w:r>
      <w:r w:rsidR="008538F5">
        <w:t>prospective ITE student</w:t>
      </w:r>
      <w:r w:rsidR="008035CE">
        <w:t>s</w:t>
      </w:r>
      <w:r w:rsidR="008538F5">
        <w:t xml:space="preserve"> in </w:t>
      </w:r>
      <w:r w:rsidR="00380B84">
        <w:t>the higher education</w:t>
      </w:r>
      <w:r w:rsidR="008538F5">
        <w:t xml:space="preserve"> system, as well as </w:t>
      </w:r>
      <w:r w:rsidR="00105602">
        <w:t xml:space="preserve">teacher retirement </w:t>
      </w:r>
      <w:r w:rsidR="008B30CA">
        <w:t>rates</w:t>
      </w:r>
      <w:r w:rsidR="00105602">
        <w:t>,</w:t>
      </w:r>
      <w:r w:rsidR="00582EC5">
        <w:t xml:space="preserve"> </w:t>
      </w:r>
      <w:r w:rsidR="0058408F">
        <w:t xml:space="preserve">attrition rates </w:t>
      </w:r>
      <w:r w:rsidR="009649CD">
        <w:t xml:space="preserve">not </w:t>
      </w:r>
      <w:r w:rsidR="0058408F">
        <w:t xml:space="preserve">associated with retirement, </w:t>
      </w:r>
      <w:r w:rsidR="009649CD">
        <w:t>re</w:t>
      </w:r>
      <w:r w:rsidR="00F76369">
        <w:noBreakHyphen/>
      </w:r>
      <w:r w:rsidR="001536B3">
        <w:t xml:space="preserve">entry </w:t>
      </w:r>
      <w:r w:rsidR="00CD71F4">
        <w:t>by ex</w:t>
      </w:r>
      <w:r w:rsidR="00CD71F4">
        <w:noBreakHyphen/>
        <w:t xml:space="preserve">teachers (an important latent workforce), </w:t>
      </w:r>
      <w:r w:rsidR="00267F98">
        <w:t>birth and immigration rates, student</w:t>
      </w:r>
      <w:r w:rsidR="00F76369">
        <w:noBreakHyphen/>
      </w:r>
      <w:r w:rsidR="00267F98">
        <w:t xml:space="preserve">teacher ratios, </w:t>
      </w:r>
      <w:r w:rsidR="00105602">
        <w:t xml:space="preserve">and </w:t>
      </w:r>
      <w:r w:rsidR="00267F98">
        <w:t xml:space="preserve">demand for </w:t>
      </w:r>
      <w:r w:rsidR="00D95F3C">
        <w:t xml:space="preserve">some </w:t>
      </w:r>
      <w:r w:rsidR="00BF2B26">
        <w:t xml:space="preserve">teachers to work in preschools or childcare </w:t>
      </w:r>
      <w:r w:rsidR="00DD71F3">
        <w:t>centres</w:t>
      </w:r>
      <w:r w:rsidR="00214878" w:rsidRPr="00214878">
        <w:t xml:space="preserve"> </w:t>
      </w:r>
      <w:r w:rsidR="00214878">
        <w:t>(PC 2012, pp. 93–94)</w:t>
      </w:r>
      <w:r w:rsidR="008D08BB">
        <w:t xml:space="preserve">. </w:t>
      </w:r>
      <w:r w:rsidR="00AE0122">
        <w:t xml:space="preserve">This suggests that highly granular </w:t>
      </w:r>
      <w:r w:rsidR="00D038CF">
        <w:t>projections</w:t>
      </w:r>
      <w:r w:rsidR="00443019">
        <w:t xml:space="preserve"> of shortages (by discipline</w:t>
      </w:r>
      <w:r w:rsidR="00D038CF">
        <w:t>, school level</w:t>
      </w:r>
      <w:r w:rsidR="00443019">
        <w:t xml:space="preserve"> and location) are unlikely to be sufficiently reliable to be useful (though less granular models may still </w:t>
      </w:r>
      <w:r w:rsidR="00526774">
        <w:t>have some</w:t>
      </w:r>
      <w:r w:rsidR="00443019">
        <w:t xml:space="preserve"> </w:t>
      </w:r>
      <w:r w:rsidR="00E756DB">
        <w:t>value</w:t>
      </w:r>
      <w:r w:rsidR="00443019">
        <w:t xml:space="preserve">). </w:t>
      </w:r>
    </w:p>
    <w:p w14:paraId="3EA193AD" w14:textId="77777777" w:rsidR="000D0D4B" w:rsidRDefault="000D0D4B" w:rsidP="000D0D4B">
      <w:pPr>
        <w:pStyle w:val="Heading4"/>
      </w:pPr>
      <w:r>
        <w:t xml:space="preserve">Pay incentives </w:t>
      </w:r>
    </w:p>
    <w:p w14:paraId="57AB3062" w14:textId="03DA866C" w:rsidR="000D0D4B" w:rsidRDefault="000D0D4B" w:rsidP="000D0D4B">
      <w:pPr>
        <w:pStyle w:val="BodyText"/>
      </w:pPr>
      <w:r>
        <w:t xml:space="preserve">For most types of employment, an excess in demand for workers would result in wage increases, </w:t>
      </w:r>
      <w:r w:rsidR="004B5A2F">
        <w:t xml:space="preserve">encouraging </w:t>
      </w:r>
      <w:r>
        <w:t>more people to enter the profession and alleviating the initial worker shortage. However,</w:t>
      </w:r>
      <w:r w:rsidDel="00805FAB">
        <w:t xml:space="preserve"> </w:t>
      </w:r>
      <w:r w:rsidR="00805FAB">
        <w:t xml:space="preserve">teacher wages in </w:t>
      </w:r>
      <w:r w:rsidR="00082A52">
        <w:t xml:space="preserve">government schools in </w:t>
      </w:r>
      <w:r w:rsidR="00805FAB">
        <w:t xml:space="preserve">Australia are not determined by </w:t>
      </w:r>
      <w:r w:rsidR="000F0AED">
        <w:t>an open market</w:t>
      </w:r>
      <w:r w:rsidR="00805FAB">
        <w:t xml:space="preserve">, but </w:t>
      </w:r>
      <w:r w:rsidR="00082A52">
        <w:t xml:space="preserve">are subject to </w:t>
      </w:r>
      <w:r w:rsidR="004F67C6">
        <w:t>negotiations with</w:t>
      </w:r>
      <w:r w:rsidR="00D247D1">
        <w:t xml:space="preserve"> </w:t>
      </w:r>
      <w:r>
        <w:t>State and Territory Governments</w:t>
      </w:r>
      <w:r w:rsidR="00D247D1">
        <w:t xml:space="preserve">. While governments may </w:t>
      </w:r>
      <w:r w:rsidR="002B5FD8">
        <w:t xml:space="preserve">take into account shortages in determining wage rates, </w:t>
      </w:r>
      <w:r w:rsidR="00912C59">
        <w:t>many other considerations are also at play,</w:t>
      </w:r>
      <w:r w:rsidR="00912C59" w:rsidDel="00912C59">
        <w:t xml:space="preserve"> </w:t>
      </w:r>
      <w:r w:rsidR="000F0AED">
        <w:t>not least budget constraints</w:t>
      </w:r>
      <w:r w:rsidR="004732CB">
        <w:t>.</w:t>
      </w:r>
      <w:r>
        <w:rPr>
          <w:rStyle w:val="FootnoteReference"/>
        </w:rPr>
        <w:footnoteReference w:id="6"/>
      </w:r>
      <w:r>
        <w:t xml:space="preserve"> </w:t>
      </w:r>
      <w:r w:rsidR="00245D69">
        <w:t xml:space="preserve">This </w:t>
      </w:r>
      <w:r>
        <w:t>mak</w:t>
      </w:r>
      <w:r w:rsidR="00245D69">
        <w:t>es</w:t>
      </w:r>
      <w:r>
        <w:t xml:space="preserve"> incentives relatively unresponsive to acute or concentrated teacher shortages, allowing those shortages to persist. </w:t>
      </w:r>
    </w:p>
    <w:p w14:paraId="5D6C05F4" w14:textId="19A17A92" w:rsidR="000D0D4B" w:rsidRDefault="000D0D4B" w:rsidP="000D0D4B">
      <w:pPr>
        <w:pStyle w:val="BodyText"/>
      </w:pPr>
      <w:r>
        <w:t>One</w:t>
      </w:r>
      <w:r w:rsidDel="00F512C5">
        <w:t xml:space="preserve"> </w:t>
      </w:r>
      <w:r>
        <w:t>solution is to improve the pay and employment conditions for teaching roles, particularly where suitably</w:t>
      </w:r>
      <w:r w:rsidR="00F76369">
        <w:noBreakHyphen/>
      </w:r>
      <w:r>
        <w:t>qualified staff are difficult to find.</w:t>
      </w:r>
      <w:r w:rsidR="002F020A">
        <w:rPr>
          <w:rStyle w:val="FootnoteReference"/>
        </w:rPr>
        <w:footnoteReference w:id="7"/>
      </w:r>
      <w:r>
        <w:t xml:space="preserve"> This includes the use of pay differentials (higher wages) for specific hard</w:t>
      </w:r>
      <w:r w:rsidR="00F76369">
        <w:noBreakHyphen/>
      </w:r>
      <w:r>
        <w:t>to</w:t>
      </w:r>
      <w:r w:rsidR="00F76369">
        <w:noBreakHyphen/>
      </w:r>
      <w:r>
        <w:t xml:space="preserve">staff positions, as well as offering other incentives for teachers accepting work in ‘shortage’ roles, such as relocation allowances, providing teaching aides or other support staff, reduced teaching hours, more generous leave allowances, and the provision of additional professional development opportunities. </w:t>
      </w:r>
    </w:p>
    <w:p w14:paraId="142D4021" w14:textId="0728BC19" w:rsidR="000D0D4B" w:rsidRDefault="000D0D4B" w:rsidP="000D0D4B">
      <w:pPr>
        <w:pStyle w:val="BodyText"/>
      </w:pPr>
      <w:r>
        <w:t xml:space="preserve">The use of these types of pay and employment differentials in Australia has an inconsistent history, with mixed results. In 2012, the Commission found that although </w:t>
      </w:r>
      <w:r w:rsidRPr="0042002F">
        <w:rPr>
          <w:i/>
        </w:rPr>
        <w:t>subject</w:t>
      </w:r>
      <w:r w:rsidR="00F76369">
        <w:rPr>
          <w:i/>
        </w:rPr>
        <w:noBreakHyphen/>
      </w:r>
      <w:r w:rsidRPr="0042002F">
        <w:rPr>
          <w:i/>
        </w:rPr>
        <w:t>based</w:t>
      </w:r>
      <w:r>
        <w:t xml:space="preserve"> pay differentials are rare in Australia, teacher remuneration usually includes </w:t>
      </w:r>
      <w:r w:rsidRPr="0042002F">
        <w:rPr>
          <w:i/>
        </w:rPr>
        <w:t>location</w:t>
      </w:r>
      <w:r w:rsidR="00F76369">
        <w:rPr>
          <w:i/>
        </w:rPr>
        <w:noBreakHyphen/>
      </w:r>
      <w:r w:rsidRPr="0042002F">
        <w:rPr>
          <w:i/>
        </w:rPr>
        <w:t>based</w:t>
      </w:r>
      <w:r>
        <w:t xml:space="preserve"> allowances for work outside major city centres, and some states have periodically offered extra pay for teachers in low</w:t>
      </w:r>
      <w:r w:rsidR="00F76369">
        <w:noBreakHyphen/>
      </w:r>
      <w:r w:rsidR="00E1749B">
        <w:t>socioeconomic status</w:t>
      </w:r>
      <w:r>
        <w:t xml:space="preserve"> schools (PC 2012, p. 111). The</w:t>
      </w:r>
      <w:r w:rsidRPr="000F352C">
        <w:t xml:space="preserve"> use of </w:t>
      </w:r>
      <w:r w:rsidRPr="000F352C">
        <w:lastRenderedPageBreak/>
        <w:t xml:space="preserve">pay differentials </w:t>
      </w:r>
      <w:r>
        <w:t xml:space="preserve">in Australia has also been </w:t>
      </w:r>
      <w:r w:rsidRPr="000F352C">
        <w:t xml:space="preserve">limited by </w:t>
      </w:r>
      <w:r>
        <w:t xml:space="preserve">strong </w:t>
      </w:r>
      <w:r w:rsidRPr="000F352C">
        <w:t>workplace cultur</w:t>
      </w:r>
      <w:r>
        <w:t>al norms. F</w:t>
      </w:r>
      <w:r w:rsidRPr="000F352C">
        <w:t xml:space="preserve">or example, there have been </w:t>
      </w:r>
      <w:r>
        <w:t xml:space="preserve">ongoing </w:t>
      </w:r>
      <w:r w:rsidRPr="000F352C">
        <w:t xml:space="preserve">concerns that </w:t>
      </w:r>
      <w:r>
        <w:t xml:space="preserve">expanding </w:t>
      </w:r>
      <w:r w:rsidRPr="000F352C">
        <w:t xml:space="preserve">pay differentials would undermine teacher </w:t>
      </w:r>
      <w:r w:rsidR="006602AC">
        <w:t>‘</w:t>
      </w:r>
      <w:r w:rsidRPr="000F352C">
        <w:t>cohesiveness</w:t>
      </w:r>
      <w:r w:rsidR="006602AC">
        <w:t>’</w:t>
      </w:r>
      <w:r w:rsidRPr="000F352C">
        <w:t xml:space="preserve"> and </w:t>
      </w:r>
      <w:r w:rsidR="006602AC">
        <w:t>‘</w:t>
      </w:r>
      <w:r w:rsidRPr="000F352C">
        <w:t>collegiality</w:t>
      </w:r>
      <w:r w:rsidR="006602AC">
        <w:t>’</w:t>
      </w:r>
      <w:r>
        <w:t>, both across subject areas and between new and experienced teachers</w:t>
      </w:r>
      <w:r w:rsidRPr="000F352C">
        <w:t>.</w:t>
      </w:r>
      <w:r>
        <w:t xml:space="preserve"> </w:t>
      </w:r>
    </w:p>
    <w:p w14:paraId="29DE077F" w14:textId="64706E62" w:rsidR="00CC1D2B" w:rsidRDefault="000D0D4B" w:rsidP="000D0D4B">
      <w:pPr>
        <w:pStyle w:val="BodyText"/>
      </w:pPr>
      <w:r>
        <w:t>For teacher shortages in specific subject areas, greater use of pay incentives would help to make teacher wages more comparable with salaries elsewhere in the economy (for similarly qualified professionals) encouraging more prospective graduates or working professionals into the teaching profession. For example,</w:t>
      </w:r>
      <w:r w:rsidDel="007948CC">
        <w:t xml:space="preserve"> </w:t>
      </w:r>
      <w:r>
        <w:t>the Commission</w:t>
      </w:r>
      <w:r w:rsidR="007948CC">
        <w:t xml:space="preserve"> previously</w:t>
      </w:r>
      <w:r>
        <w:t xml:space="preserve"> found that shortages of STEM teachers may be partly explained by evidence that </w:t>
      </w:r>
      <w:r w:rsidRPr="00DE30EE">
        <w:t>only 6</w:t>
      </w:r>
      <w:r w:rsidR="00D36C92">
        <w:t> </w:t>
      </w:r>
      <w:r w:rsidRPr="00DE30EE">
        <w:t xml:space="preserve">per cent of individuals with a teacher education degree reported gross weekly </w:t>
      </w:r>
      <w:r>
        <w:t>e</w:t>
      </w:r>
      <w:r w:rsidRPr="00DE30EE">
        <w:t>arning above $1600</w:t>
      </w:r>
      <w:r w:rsidR="00CB3F91" w:rsidRPr="00CB3F91">
        <w:t xml:space="preserve"> </w:t>
      </w:r>
      <w:r w:rsidR="00CB3F91">
        <w:t>in 2006</w:t>
      </w:r>
      <w:r w:rsidRPr="00DE30EE">
        <w:t>, compared to 19</w:t>
      </w:r>
      <w:r w:rsidR="00927AB7">
        <w:t> </w:t>
      </w:r>
      <w:r w:rsidRPr="00DE30EE">
        <w:t>per cent of those with a degree in natural and physical sciences and 34</w:t>
      </w:r>
      <w:r w:rsidR="00336AAF">
        <w:t> </w:t>
      </w:r>
      <w:r w:rsidRPr="00DE30EE">
        <w:t>per cent with a degree in mathematical science</w:t>
      </w:r>
      <w:r>
        <w:t xml:space="preserve"> (PC 2012, p. 12). Little appears to have changed since</w:t>
      </w:r>
      <w:r w:rsidR="00EB61C6">
        <w:t>. D</w:t>
      </w:r>
      <w:r w:rsidRPr="00982F69">
        <w:t>ata from 2016</w:t>
      </w:r>
      <w:r w:rsidRPr="00982F69" w:rsidDel="00C34061">
        <w:t xml:space="preserve"> </w:t>
      </w:r>
      <w:r w:rsidRPr="00982F69">
        <w:t>showed that just over 9</w:t>
      </w:r>
      <w:r w:rsidR="00D36C92">
        <w:t> </w:t>
      </w:r>
      <w:r w:rsidRPr="00982F69">
        <w:t>per cent of workers with an education degree earned more than $2000 per week, compared to 19</w:t>
      </w:r>
      <w:r w:rsidR="00D36C92">
        <w:t> </w:t>
      </w:r>
      <w:r w:rsidRPr="00982F69">
        <w:t>per cent of natural and physical sciences degrees and 25</w:t>
      </w:r>
      <w:r w:rsidR="00865126">
        <w:t> </w:t>
      </w:r>
      <w:r w:rsidRPr="00982F69">
        <w:t>per cent of IT degrees (Commission analysis</w:t>
      </w:r>
      <w:r w:rsidR="00C87759" w:rsidRPr="00C87759">
        <w:t xml:space="preserve"> of 2016 Australian Census data</w:t>
      </w:r>
      <w:r w:rsidRPr="00982F69">
        <w:t>).</w:t>
      </w:r>
      <w:r>
        <w:t xml:space="preserve"> </w:t>
      </w:r>
      <w:r w:rsidR="00D20A75">
        <w:t xml:space="preserve">There is </w:t>
      </w:r>
      <w:r w:rsidR="00CB3F91">
        <w:t>also</w:t>
      </w:r>
      <w:r w:rsidR="00D20A75">
        <w:t xml:space="preserve"> some evidence from </w:t>
      </w:r>
      <w:r w:rsidR="00684AE2">
        <w:t xml:space="preserve">the US that pay differentials can increase retention </w:t>
      </w:r>
      <w:r w:rsidR="006936BD">
        <w:t xml:space="preserve">rates </w:t>
      </w:r>
      <w:r w:rsidR="00684AE2">
        <w:t xml:space="preserve">of secondary </w:t>
      </w:r>
      <w:r w:rsidR="00B01CD9">
        <w:t>school math and science teachers (</w:t>
      </w:r>
      <w:r w:rsidR="00FE056B">
        <w:t xml:space="preserve">Beuno and Sass 2018). </w:t>
      </w:r>
    </w:p>
    <w:p w14:paraId="0F14B4AC" w14:textId="54C131BE" w:rsidR="000D0D4B" w:rsidRDefault="000D0D4B" w:rsidP="000D0D4B">
      <w:pPr>
        <w:pStyle w:val="BodyText"/>
      </w:pPr>
      <w:r>
        <w:t>However, regional and remote schools still face ongoing difficulties in both attracting and retaining suitable staff, suggesting that existing pay differentials have had limited effectiveness in reducing shortages. This may be partly due to the inadequacy of existing differentials to overcome the loss of amenities from living and working in regional and remote communities (PC 2012, p.</w:t>
      </w:r>
      <w:r w:rsidR="00F76369">
        <w:t> </w:t>
      </w:r>
      <w:r>
        <w:t>112). Other research also suggests that better preparation for the reality of teaching in rural and remote schools could improve the longevity of regional and remote teachers (Roberts and Downes 2020, p.</w:t>
      </w:r>
      <w:r w:rsidR="00F76369">
        <w:t> </w:t>
      </w:r>
      <w:r>
        <w:t xml:space="preserve">4). </w:t>
      </w:r>
    </w:p>
    <w:p w14:paraId="6F854DD3" w14:textId="24BC8CDB" w:rsidR="007F7FB4" w:rsidRDefault="007F7FB4" w:rsidP="009135FF">
      <w:pPr>
        <w:pStyle w:val="BodyText"/>
      </w:pPr>
      <w:r>
        <w:t xml:space="preserve">More broadly, </w:t>
      </w:r>
      <w:r w:rsidR="00BB4123">
        <w:t xml:space="preserve">teacher </w:t>
      </w:r>
      <w:r w:rsidR="004473A9">
        <w:t xml:space="preserve">wages </w:t>
      </w:r>
      <w:r w:rsidR="005E2D29">
        <w:t>show</w:t>
      </w:r>
      <w:r w:rsidR="004473A9">
        <w:t xml:space="preserve"> </w:t>
      </w:r>
      <w:r w:rsidR="00BB4123">
        <w:t xml:space="preserve">little </w:t>
      </w:r>
      <w:r w:rsidR="004C66E9">
        <w:t>opportunity for growth</w:t>
      </w:r>
      <w:r w:rsidR="00BE39AF">
        <w:t xml:space="preserve"> over </w:t>
      </w:r>
      <w:r w:rsidR="00716DD8">
        <w:t>the course of their careers</w:t>
      </w:r>
      <w:r w:rsidR="004473A9">
        <w:t xml:space="preserve">. </w:t>
      </w:r>
      <w:r w:rsidR="0027021D">
        <w:t>A</w:t>
      </w:r>
      <w:r w:rsidR="00F107CB">
        <w:t xml:space="preserve">lthough </w:t>
      </w:r>
      <w:r w:rsidR="001D3FF4">
        <w:t xml:space="preserve">Australian </w:t>
      </w:r>
      <w:r w:rsidR="00F107CB">
        <w:t>t</w:t>
      </w:r>
      <w:r w:rsidR="006E5BA2">
        <w:t xml:space="preserve">eachers </w:t>
      </w:r>
      <w:r w:rsidR="001D3FF4">
        <w:t xml:space="preserve">receive </w:t>
      </w:r>
      <w:r w:rsidR="00584B4C">
        <w:t xml:space="preserve">a relatively high starting salary </w:t>
      </w:r>
      <w:r w:rsidR="00F107CB">
        <w:t>(</w:t>
      </w:r>
      <w:r w:rsidR="006761A6">
        <w:t>5</w:t>
      </w:r>
      <w:r w:rsidR="00F107CB">
        <w:t xml:space="preserve">th of </w:t>
      </w:r>
      <w:r w:rsidR="00255098">
        <w:t>3</w:t>
      </w:r>
      <w:r w:rsidR="009A441D">
        <w:t>7</w:t>
      </w:r>
      <w:r w:rsidR="00F107CB">
        <w:t xml:space="preserve"> countries among the OECD)</w:t>
      </w:r>
      <w:r w:rsidR="00584B4C">
        <w:t>,</w:t>
      </w:r>
      <w:r w:rsidR="001D3FF4">
        <w:t xml:space="preserve"> </w:t>
      </w:r>
      <w:r w:rsidR="00F107CB">
        <w:t>they</w:t>
      </w:r>
      <w:r w:rsidR="00D52CF6">
        <w:t xml:space="preserve"> tend to </w:t>
      </w:r>
      <w:r w:rsidR="00A032CE">
        <w:t>r</w:t>
      </w:r>
      <w:r w:rsidR="00D52CF6">
        <w:t>each the top of the pay scale quickly</w:t>
      </w:r>
      <w:r w:rsidR="00CB169A">
        <w:t xml:space="preserve">, in part because </w:t>
      </w:r>
      <w:r w:rsidR="009135FF">
        <w:t>the ratio of</w:t>
      </w:r>
      <w:r w:rsidR="00546316">
        <w:t xml:space="preserve"> </w:t>
      </w:r>
      <w:r w:rsidR="009135FF">
        <w:t xml:space="preserve">salaries at the top of </w:t>
      </w:r>
      <w:r w:rsidR="00715DD5">
        <w:t xml:space="preserve">the </w:t>
      </w:r>
      <w:r w:rsidR="009135FF">
        <w:t xml:space="preserve">pay scale </w:t>
      </w:r>
      <w:r w:rsidR="00715DD5">
        <w:t>compared</w:t>
      </w:r>
      <w:r w:rsidR="009135FF">
        <w:t xml:space="preserve"> to starting salaries is </w:t>
      </w:r>
      <w:r w:rsidR="00860F6B">
        <w:t xml:space="preserve">relatively </w:t>
      </w:r>
      <w:r w:rsidR="008A36EB">
        <w:t>low (</w:t>
      </w:r>
      <w:r w:rsidR="005E6C64">
        <w:t xml:space="preserve">below the OECD average, ranked </w:t>
      </w:r>
      <w:r w:rsidR="00B71AEE">
        <w:t>25</w:t>
      </w:r>
      <w:r w:rsidR="008A36EB">
        <w:t xml:space="preserve">th of </w:t>
      </w:r>
      <w:r w:rsidR="00B71AEE">
        <w:t>3</w:t>
      </w:r>
      <w:r w:rsidR="009A441D">
        <w:t>7</w:t>
      </w:r>
      <w:r w:rsidR="008A36EB">
        <w:t xml:space="preserve"> countries</w:t>
      </w:r>
      <w:r w:rsidR="00426B70">
        <w:t>)</w:t>
      </w:r>
      <w:r w:rsidR="00CE5918">
        <w:t xml:space="preserve"> (Commission analysis of OECD 2021; measured in $US </w:t>
      </w:r>
      <w:r w:rsidR="00CA095B">
        <w:t>PPP)</w:t>
      </w:r>
      <w:r w:rsidR="00426B70">
        <w:t>.</w:t>
      </w:r>
      <w:r w:rsidR="00032C1F" w:rsidRPr="00032C1F">
        <w:t xml:space="preserve"> </w:t>
      </w:r>
      <w:r w:rsidR="0027021D">
        <w:t xml:space="preserve">The Commission has </w:t>
      </w:r>
      <w:r w:rsidR="002910C3">
        <w:t>also</w:t>
      </w:r>
      <w:r w:rsidR="0027021D">
        <w:t xml:space="preserve"> previously noted that m</w:t>
      </w:r>
      <w:r w:rsidR="0027021D" w:rsidRPr="00032C1F">
        <w:t xml:space="preserve">ovement through the salary scales </w:t>
      </w:r>
      <w:r w:rsidR="0027021D">
        <w:t>is often</w:t>
      </w:r>
      <w:r w:rsidR="0027021D" w:rsidRPr="00032C1F">
        <w:t xml:space="preserve"> based on length of service</w:t>
      </w:r>
      <w:r w:rsidR="0027021D">
        <w:t>,</w:t>
      </w:r>
      <w:r w:rsidR="0027021D" w:rsidRPr="00032C1F">
        <w:t xml:space="preserve"> </w:t>
      </w:r>
      <w:r w:rsidR="0027021D">
        <w:t>with limited opportunities for additional pay for excellent performance (PC 2012, p. 111).</w:t>
      </w:r>
      <w:r w:rsidR="00D567C4">
        <w:rPr>
          <w:rStyle w:val="FootnoteReference"/>
        </w:rPr>
        <w:footnoteReference w:id="8"/>
      </w:r>
      <w:r w:rsidR="009160E2">
        <w:t xml:space="preserve"> </w:t>
      </w:r>
    </w:p>
    <w:p w14:paraId="2863E993" w14:textId="029FA4F2" w:rsidR="000D0D4B" w:rsidRDefault="000D0D4B" w:rsidP="000D0D4B">
      <w:pPr>
        <w:pStyle w:val="Heading2"/>
      </w:pPr>
      <w:r>
        <w:t>Preparing ITE students to be teachers</w:t>
      </w:r>
    </w:p>
    <w:p w14:paraId="2D9F5B93" w14:textId="40229EA9" w:rsidR="000E19EB" w:rsidRDefault="006603FF" w:rsidP="000D0D4B">
      <w:pPr>
        <w:pStyle w:val="BodyText"/>
      </w:pPr>
      <w:r>
        <w:t xml:space="preserve">In most instances, </w:t>
      </w:r>
      <w:r w:rsidR="00811B65">
        <w:t>creating</w:t>
      </w:r>
      <w:r w:rsidR="00287855">
        <w:t xml:space="preserve"> </w:t>
      </w:r>
      <w:r w:rsidR="00A528B1">
        <w:t>high</w:t>
      </w:r>
      <w:r w:rsidR="00F76369">
        <w:noBreakHyphen/>
      </w:r>
      <w:r w:rsidR="00287855">
        <w:t>quality teach</w:t>
      </w:r>
      <w:r w:rsidR="00811B65">
        <w:t>ers</w:t>
      </w:r>
      <w:r w:rsidR="00287855">
        <w:t xml:space="preserve"> </w:t>
      </w:r>
      <w:r>
        <w:t>will be</w:t>
      </w:r>
      <w:r w:rsidR="00287855">
        <w:t xml:space="preserve"> </w:t>
      </w:r>
      <w:r w:rsidR="00C40366">
        <w:t xml:space="preserve">as much about the </w:t>
      </w:r>
      <w:r w:rsidR="005E254C">
        <w:t>nature of the</w:t>
      </w:r>
      <w:r w:rsidR="003B0A03">
        <w:t xml:space="preserve"> </w:t>
      </w:r>
      <w:r w:rsidR="00741E5D">
        <w:t>ITE training</w:t>
      </w:r>
      <w:r w:rsidR="00264281">
        <w:t xml:space="preserve"> itself</w:t>
      </w:r>
      <w:r w:rsidR="00811B65">
        <w:t xml:space="preserve">, </w:t>
      </w:r>
      <w:r w:rsidR="009237E4">
        <w:t xml:space="preserve">as </w:t>
      </w:r>
      <w:r w:rsidR="00536017">
        <w:t>i</w:t>
      </w:r>
      <w:r w:rsidR="00F56EB4">
        <w:t xml:space="preserve">t is about </w:t>
      </w:r>
      <w:r w:rsidR="00536017">
        <w:t>the</w:t>
      </w:r>
      <w:r w:rsidR="009237E4">
        <w:t xml:space="preserve"> inherent capabilities</w:t>
      </w:r>
      <w:r w:rsidR="00536017">
        <w:t xml:space="preserve"> of ITE students</w:t>
      </w:r>
      <w:r w:rsidR="009237E4">
        <w:t xml:space="preserve">. </w:t>
      </w:r>
      <w:r w:rsidR="00C72866">
        <w:t xml:space="preserve">For this reason, it is important that the </w:t>
      </w:r>
      <w:r w:rsidR="00B32595">
        <w:t>pre</w:t>
      </w:r>
      <w:r w:rsidR="00F76369">
        <w:noBreakHyphen/>
      </w:r>
      <w:r w:rsidR="00B32595">
        <w:t xml:space="preserve">service training and practical experience that ITE students </w:t>
      </w:r>
      <w:r w:rsidR="007344C2">
        <w:t>undertake</w:t>
      </w:r>
      <w:r w:rsidR="00B32595">
        <w:t xml:space="preserve"> </w:t>
      </w:r>
      <w:r w:rsidR="00FB30E8">
        <w:lastRenderedPageBreak/>
        <w:t>during their</w:t>
      </w:r>
      <w:r w:rsidR="00B32595">
        <w:t xml:space="preserve"> </w:t>
      </w:r>
      <w:r w:rsidR="0085359D">
        <w:t xml:space="preserve">course </w:t>
      </w:r>
      <w:r w:rsidR="00D2013D">
        <w:t xml:space="preserve">is based on </w:t>
      </w:r>
      <w:r w:rsidR="00254996">
        <w:t xml:space="preserve">the </w:t>
      </w:r>
      <w:r w:rsidR="00D32FB6">
        <w:t>latest</w:t>
      </w:r>
      <w:r w:rsidR="00254996">
        <w:t xml:space="preserve"> evidence of </w:t>
      </w:r>
      <w:r w:rsidR="000A51C9">
        <w:t>‘</w:t>
      </w:r>
      <w:r w:rsidR="00254996">
        <w:t>what works</w:t>
      </w:r>
      <w:r w:rsidR="000A51C9">
        <w:t xml:space="preserve"> best’ (</w:t>
      </w:r>
      <w:r w:rsidR="00264281">
        <w:t>including for whom</w:t>
      </w:r>
      <w:r w:rsidR="0092168C">
        <w:t xml:space="preserve"> and in what circumstances)</w:t>
      </w:r>
      <w:r w:rsidR="00254996">
        <w:t xml:space="preserve">, and how </w:t>
      </w:r>
      <w:r w:rsidR="00D04DC3">
        <w:t>teachers can</w:t>
      </w:r>
      <w:r w:rsidR="00254996">
        <w:t xml:space="preserve"> </w:t>
      </w:r>
      <w:r w:rsidR="00172038">
        <w:t>implement that within classrooms.</w:t>
      </w:r>
    </w:p>
    <w:p w14:paraId="5386E62B" w14:textId="6F258E94" w:rsidR="004662F8" w:rsidRPr="004662F8" w:rsidRDefault="000D0D4B" w:rsidP="004662F8">
      <w:pPr>
        <w:pStyle w:val="BodyText"/>
      </w:pPr>
      <w:r>
        <w:t xml:space="preserve">Previous work </w:t>
      </w:r>
      <w:r w:rsidR="00962C05">
        <w:t xml:space="preserve">by </w:t>
      </w:r>
      <w:r>
        <w:t xml:space="preserve">the Commission </w:t>
      </w:r>
      <w:r w:rsidR="00D857FF">
        <w:t>has</w:t>
      </w:r>
      <w:r w:rsidDel="00A00EFF">
        <w:t xml:space="preserve"> </w:t>
      </w:r>
      <w:r w:rsidR="00EE271A">
        <w:t xml:space="preserve">identified significant gaps </w:t>
      </w:r>
      <w:r w:rsidR="00E006BA">
        <w:t>in th</w:t>
      </w:r>
      <w:r w:rsidR="00ED72B5">
        <w:t>is</w:t>
      </w:r>
      <w:r w:rsidR="006D3187">
        <w:t xml:space="preserve"> education</w:t>
      </w:r>
      <w:r w:rsidR="00E006BA">
        <w:t xml:space="preserve"> evidence base, particularly </w:t>
      </w:r>
      <w:r w:rsidR="00962C05">
        <w:t>on</w:t>
      </w:r>
      <w:r w:rsidR="00A00EFF">
        <w:t xml:space="preserve"> </w:t>
      </w:r>
      <w:r w:rsidR="00E006BA">
        <w:t>the impact of policies, programs and education practices in Australian schools</w:t>
      </w:r>
      <w:r w:rsidR="00A00EFF">
        <w:t>, and</w:t>
      </w:r>
      <w:r w:rsidR="00E006BA">
        <w:t xml:space="preserve"> the most effective implementation strategies for turning </w:t>
      </w:r>
      <w:r w:rsidR="00A00EFF">
        <w:t>‘</w:t>
      </w:r>
      <w:r w:rsidR="00E006BA">
        <w:t>best practice</w:t>
      </w:r>
      <w:r w:rsidR="00A00EFF">
        <w:t>’</w:t>
      </w:r>
      <w:r w:rsidR="00E006BA">
        <w:t xml:space="preserve"> into </w:t>
      </w:r>
      <w:r w:rsidR="00A00EFF">
        <w:t>‘</w:t>
      </w:r>
      <w:r w:rsidR="00E006BA">
        <w:t>common practice</w:t>
      </w:r>
      <w:r w:rsidR="00A00EFF">
        <w:t>’ (PC 2016, p.</w:t>
      </w:r>
      <w:r w:rsidR="00F76369">
        <w:t> </w:t>
      </w:r>
      <w:r w:rsidR="006B58AF">
        <w:t>113)</w:t>
      </w:r>
      <w:r w:rsidR="00E006BA">
        <w:t>.</w:t>
      </w:r>
      <w:r w:rsidR="00FD55AC">
        <w:t xml:space="preserve"> As part of this work, the Commission</w:t>
      </w:r>
      <w:r>
        <w:t xml:space="preserve"> established principles for developing a national education evidence base to inform policy development and improve education outcomes in school education. It </w:t>
      </w:r>
      <w:r w:rsidR="00541BB7">
        <w:t xml:space="preserve">also recommended that the Australia, </w:t>
      </w:r>
      <w:r w:rsidR="00C320EC">
        <w:t xml:space="preserve">State and Territory governments should </w:t>
      </w:r>
      <w:r w:rsidR="00215532">
        <w:t>‘pursue a national policy effort to develop a high</w:t>
      </w:r>
      <w:r w:rsidR="00F76369">
        <w:noBreakHyphen/>
      </w:r>
      <w:r w:rsidR="00215532">
        <w:t xml:space="preserve">quality and relevant Australian evidence base about what works best’ </w:t>
      </w:r>
      <w:r w:rsidR="007D391E">
        <w:t>(PC 2016, p.</w:t>
      </w:r>
      <w:r w:rsidR="008D60AC">
        <w:t> </w:t>
      </w:r>
      <w:r w:rsidR="00DB62C6">
        <w:t xml:space="preserve">228). </w:t>
      </w:r>
      <w:r>
        <w:t xml:space="preserve">Further development of this national evidence base </w:t>
      </w:r>
      <w:r w:rsidR="00CE28FA">
        <w:t xml:space="preserve">(including by </w:t>
      </w:r>
      <w:r w:rsidR="00CE28FA" w:rsidRPr="00CE28FA">
        <w:t>commissioning high</w:t>
      </w:r>
      <w:r w:rsidR="00CE28FA">
        <w:noBreakHyphen/>
      </w:r>
      <w:r w:rsidR="00CE28FA" w:rsidRPr="00CE28FA">
        <w:t>quality education research</w:t>
      </w:r>
      <w:r w:rsidR="00CE28FA">
        <w:t xml:space="preserve">) </w:t>
      </w:r>
      <w:r>
        <w:t xml:space="preserve">could </w:t>
      </w:r>
      <w:r w:rsidR="00926FC9">
        <w:t>better</w:t>
      </w:r>
      <w:r>
        <w:t xml:space="preserve"> prepar</w:t>
      </w:r>
      <w:r w:rsidR="00926FC9">
        <w:t>e</w:t>
      </w:r>
      <w:r>
        <w:t xml:space="preserve"> ITE students to be teachers</w:t>
      </w:r>
      <w:r w:rsidR="001A435B">
        <w:t>,</w:t>
      </w:r>
      <w:r>
        <w:t xml:space="preserve"> </w:t>
      </w:r>
      <w:r w:rsidR="00D63571">
        <w:t>through</w:t>
      </w:r>
      <w:r>
        <w:t xml:space="preserve"> establishing the teaching practi</w:t>
      </w:r>
      <w:r w:rsidR="008445D5">
        <w:t>c</w:t>
      </w:r>
      <w:r>
        <w:t xml:space="preserve">es that work best for </w:t>
      </w:r>
      <w:r w:rsidR="001A435B">
        <w:t xml:space="preserve">different cohorts of </w:t>
      </w:r>
      <w:r>
        <w:t xml:space="preserve">students and educating ITE students on how to apply them. </w:t>
      </w:r>
    </w:p>
    <w:p w14:paraId="3D09714B" w14:textId="7013033F" w:rsidR="006E5F07" w:rsidRPr="006E5F07" w:rsidRDefault="0029065D" w:rsidP="006E5F07">
      <w:pPr>
        <w:pStyle w:val="BodyText"/>
      </w:pPr>
      <w:r>
        <w:t>R</w:t>
      </w:r>
      <w:r w:rsidR="00E354E6">
        <w:t>esearch</w:t>
      </w:r>
      <w:r w:rsidR="00E33EBD">
        <w:t xml:space="preserve"> also </w:t>
      </w:r>
      <w:r w:rsidR="00E354E6">
        <w:t>suggest</w:t>
      </w:r>
      <w:r>
        <w:t>s</w:t>
      </w:r>
      <w:r w:rsidR="00E354E6">
        <w:t xml:space="preserve"> that</w:t>
      </w:r>
      <w:r>
        <w:t xml:space="preserve"> </w:t>
      </w:r>
      <w:r w:rsidR="00FD02C3">
        <w:t xml:space="preserve">there </w:t>
      </w:r>
      <w:r w:rsidR="00B44C02">
        <w:t xml:space="preserve">are </w:t>
      </w:r>
      <w:r>
        <w:t>some</w:t>
      </w:r>
      <w:r w:rsidR="00E354E6">
        <w:t xml:space="preserve"> </w:t>
      </w:r>
      <w:r w:rsidR="00331465">
        <w:t xml:space="preserve">specific </w:t>
      </w:r>
      <w:r w:rsidR="007E40E4">
        <w:t xml:space="preserve">practices </w:t>
      </w:r>
      <w:r w:rsidR="00FD02C3">
        <w:t>that</w:t>
      </w:r>
      <w:r w:rsidR="007E40E4">
        <w:t xml:space="preserve"> can lead to </w:t>
      </w:r>
      <w:r w:rsidR="009305B9">
        <w:t>improvements</w:t>
      </w:r>
      <w:r w:rsidR="0009479B">
        <w:t xml:space="preserve"> in </w:t>
      </w:r>
      <w:r w:rsidR="00CB580A">
        <w:t xml:space="preserve">the quality of ITE </w:t>
      </w:r>
      <w:r w:rsidR="00945A30">
        <w:t>training</w:t>
      </w:r>
      <w:r w:rsidR="000A373A">
        <w:t>.</w:t>
      </w:r>
      <w:r w:rsidR="0009479B">
        <w:t xml:space="preserve"> </w:t>
      </w:r>
      <w:r w:rsidR="0077009D">
        <w:t>For instance:</w:t>
      </w:r>
    </w:p>
    <w:p w14:paraId="0C8C0E91" w14:textId="773E2141" w:rsidR="004E0946" w:rsidRDefault="004E0946" w:rsidP="00677A2D">
      <w:pPr>
        <w:pStyle w:val="ListBullet"/>
      </w:pPr>
      <w:r>
        <w:t>improv</w:t>
      </w:r>
      <w:r w:rsidR="00477110">
        <w:t>ing</w:t>
      </w:r>
      <w:r>
        <w:t xml:space="preserve"> the practical element</w:t>
      </w:r>
      <w:r w:rsidR="005C7590">
        <w:t xml:space="preserve"> of ITE training</w:t>
      </w:r>
      <w:r w:rsidR="00477110" w:rsidRPr="00477110">
        <w:t xml:space="preserve"> </w:t>
      </w:r>
      <w:r w:rsidR="00477110" w:rsidRPr="00E3183A">
        <w:t>to reduce the ‘knowledge/doing gap’</w:t>
      </w:r>
      <w:r w:rsidR="005C7590">
        <w:t>, such as</w:t>
      </w:r>
      <w:r>
        <w:t xml:space="preserve"> extending the length of practicum experience, providing practicum experience earlier in their training</w:t>
      </w:r>
      <w:r w:rsidR="005C7590">
        <w:t xml:space="preserve"> (discussed above)</w:t>
      </w:r>
      <w:r>
        <w:t>,</w:t>
      </w:r>
      <w:r w:rsidR="005C7590" w:rsidRPr="005C7590">
        <w:t xml:space="preserve"> </w:t>
      </w:r>
      <w:r w:rsidR="005C7590">
        <w:t xml:space="preserve">and a greater use of internships (or extended and less supervised placements at the end of </w:t>
      </w:r>
      <w:r w:rsidR="00387C30">
        <w:t>ITE</w:t>
      </w:r>
      <w:r w:rsidR="005C7590">
        <w:t xml:space="preserve"> training)</w:t>
      </w:r>
      <w:r w:rsidR="00387C30">
        <w:t xml:space="preserve"> (PC 2012, p. 133)</w:t>
      </w:r>
    </w:p>
    <w:p w14:paraId="0AC9B69A" w14:textId="32C7535A" w:rsidR="00DD74A0" w:rsidRDefault="008357AC" w:rsidP="007B38EF">
      <w:pPr>
        <w:pStyle w:val="ListBullet"/>
      </w:pPr>
      <w:r>
        <w:t xml:space="preserve">developing </w:t>
      </w:r>
      <w:r w:rsidR="00D314B7">
        <w:t>stronger</w:t>
      </w:r>
      <w:r w:rsidR="00DD74A0">
        <w:t xml:space="preserve"> </w:t>
      </w:r>
      <w:r w:rsidR="00DD74A0" w:rsidRPr="00E3183A">
        <w:t>university</w:t>
      </w:r>
      <w:r w:rsidR="00F76369">
        <w:noBreakHyphen/>
      </w:r>
      <w:r w:rsidR="00DD74A0" w:rsidRPr="00E3183A">
        <w:t>school partnerships (PC 2012</w:t>
      </w:r>
      <w:r w:rsidR="003C6D66">
        <w:t>, p. 28</w:t>
      </w:r>
      <w:r w:rsidR="00DD74A0" w:rsidRPr="00E3183A">
        <w:t>)</w:t>
      </w:r>
      <w:r w:rsidR="00DD74A0">
        <w:t xml:space="preserve"> to increase </w:t>
      </w:r>
      <w:r w:rsidR="00477110">
        <w:t xml:space="preserve">opportunities for </w:t>
      </w:r>
      <w:r w:rsidR="00DD74A0">
        <w:t>ITE student engagement</w:t>
      </w:r>
      <w:r w:rsidR="00477110">
        <w:t xml:space="preserve"> and </w:t>
      </w:r>
      <w:r w:rsidR="00DD74A0">
        <w:t>time spent in schools</w:t>
      </w:r>
      <w:r w:rsidR="00DD74A0" w:rsidRPr="00E3183A">
        <w:t xml:space="preserve"> (Yeigh and Lynch</w:t>
      </w:r>
      <w:r w:rsidR="00CF0546">
        <w:t> </w:t>
      </w:r>
      <w:r w:rsidR="00DD74A0" w:rsidRPr="00E3183A">
        <w:t>2017, p.</w:t>
      </w:r>
      <w:r w:rsidR="00F76369">
        <w:t> </w:t>
      </w:r>
      <w:r w:rsidR="00DD74A0" w:rsidRPr="00E3183A">
        <w:t>115)</w:t>
      </w:r>
      <w:r w:rsidR="00FA0256">
        <w:rPr>
          <w:rStyle w:val="FootnoteReference"/>
        </w:rPr>
        <w:footnoteReference w:id="9"/>
      </w:r>
      <w:r w:rsidR="00D26A57" w:rsidRPr="00D26A57">
        <w:t xml:space="preserve"> </w:t>
      </w:r>
    </w:p>
    <w:p w14:paraId="40B2C5E8" w14:textId="68AC8E36" w:rsidR="00D63877" w:rsidRPr="00AF37C1" w:rsidRDefault="00D63877" w:rsidP="00D63877">
      <w:pPr>
        <w:pStyle w:val="ListBullet"/>
      </w:pPr>
      <w:r w:rsidRPr="00DB5611">
        <w:t xml:space="preserve">improving the quality </w:t>
      </w:r>
      <w:r w:rsidR="00044920">
        <w:t xml:space="preserve">and consistency </w:t>
      </w:r>
      <w:r w:rsidRPr="00DB5611">
        <w:t>of the induction and mentoring processes that early career teachers receive</w:t>
      </w:r>
      <w:r>
        <w:t xml:space="preserve"> (PC 2012, p. 133)</w:t>
      </w:r>
    </w:p>
    <w:p w14:paraId="2E433762" w14:textId="7F1AA85F" w:rsidR="00DD74A0" w:rsidRDefault="00DD74A0" w:rsidP="00DD74A0">
      <w:pPr>
        <w:pStyle w:val="ListBullet"/>
      </w:pPr>
      <w:r>
        <w:t>use of virtual reality</w:t>
      </w:r>
      <w:r w:rsidR="00F76369">
        <w:noBreakHyphen/>
      </w:r>
      <w:r>
        <w:t xml:space="preserve">based programs to prepare </w:t>
      </w:r>
      <w:r w:rsidR="00044920">
        <w:t>ITE students</w:t>
      </w:r>
      <w:r>
        <w:t xml:space="preserve"> for practicums or as an alternative to attending practicum in person</w:t>
      </w:r>
      <w:r w:rsidR="00044920">
        <w:t>, as</w:t>
      </w:r>
      <w:r>
        <w:t xml:space="preserve"> </w:t>
      </w:r>
      <w:r w:rsidR="009814D4">
        <w:t>trialled</w:t>
      </w:r>
      <w:r w:rsidR="00D13043">
        <w:t xml:space="preserve"> on a small scale</w:t>
      </w:r>
      <w:r>
        <w:t xml:space="preserve"> during </w:t>
      </w:r>
      <w:r w:rsidR="00044920">
        <w:t>the</w:t>
      </w:r>
      <w:r>
        <w:t xml:space="preserve"> COVID</w:t>
      </w:r>
      <w:r w:rsidR="00F76369">
        <w:noBreakHyphen/>
      </w:r>
      <w:r>
        <w:t>19 pandemic (Sasaki et al. 2020)</w:t>
      </w:r>
      <w:r w:rsidR="00D63877">
        <w:t>.</w:t>
      </w:r>
    </w:p>
    <w:p w14:paraId="21D8C54D" w14:textId="0D7B79E5" w:rsidR="001014CE" w:rsidRDefault="000409E5" w:rsidP="004044AC">
      <w:pPr>
        <w:pStyle w:val="BodyText"/>
      </w:pPr>
      <w:r>
        <w:t xml:space="preserve">The Commission’s </w:t>
      </w:r>
      <w:r w:rsidR="004C594D">
        <w:t xml:space="preserve">research in the </w:t>
      </w:r>
      <w:r w:rsidR="00722F6A" w:rsidRPr="00722F6A">
        <w:rPr>
          <w:i/>
          <w:iCs/>
        </w:rPr>
        <w:t xml:space="preserve">Shifting the Dial: </w:t>
      </w:r>
      <w:r w:rsidR="004C594D" w:rsidRPr="00722F6A">
        <w:rPr>
          <w:i/>
        </w:rPr>
        <w:t xml:space="preserve">5 </w:t>
      </w:r>
      <w:r w:rsidR="00722F6A" w:rsidRPr="00722F6A">
        <w:rPr>
          <w:i/>
          <w:iCs/>
        </w:rPr>
        <w:t>Year Productivity Review</w:t>
      </w:r>
      <w:r w:rsidR="004C594D">
        <w:t xml:space="preserve"> also highlighted the </w:t>
      </w:r>
      <w:r w:rsidR="00ED3DB8">
        <w:t xml:space="preserve">opportunities and </w:t>
      </w:r>
      <w:r w:rsidR="004C594D">
        <w:t xml:space="preserve">advantages of </w:t>
      </w:r>
      <w:r w:rsidR="00400705">
        <w:t xml:space="preserve">exploiting massive open online courses </w:t>
      </w:r>
      <w:r w:rsidR="00E8238D">
        <w:t>(MOOCs)</w:t>
      </w:r>
      <w:r w:rsidR="00400705">
        <w:t xml:space="preserve"> as a low</w:t>
      </w:r>
      <w:r w:rsidR="00400705">
        <w:noBreakHyphen/>
        <w:t xml:space="preserve">cost approach to diffusing high quality training material to </w:t>
      </w:r>
      <w:r w:rsidR="0010151F">
        <w:t>large audiences</w:t>
      </w:r>
      <w:r w:rsidR="00AB05FE">
        <w:t xml:space="preserve"> (PC 2017a, p. 97)</w:t>
      </w:r>
      <w:r w:rsidR="0010151F">
        <w:t xml:space="preserve">. </w:t>
      </w:r>
      <w:r w:rsidR="00E31D67">
        <w:t xml:space="preserve">MOOCs can </w:t>
      </w:r>
      <w:r w:rsidR="00EC2FDC">
        <w:t>cost</w:t>
      </w:r>
      <w:r w:rsidR="00EC2FDC">
        <w:noBreakHyphen/>
        <w:t>effectively</w:t>
      </w:r>
      <w:r w:rsidR="004044AC">
        <w:t xml:space="preserve"> </w:t>
      </w:r>
      <w:r w:rsidR="00BD7689">
        <w:t>provide</w:t>
      </w:r>
      <w:r w:rsidR="00E31D67">
        <w:t xml:space="preserve"> access to the </w:t>
      </w:r>
      <w:r w:rsidR="00CA5279">
        <w:t xml:space="preserve">most recent research, practical advice and </w:t>
      </w:r>
      <w:r w:rsidR="00C45279">
        <w:t xml:space="preserve">best </w:t>
      </w:r>
      <w:r w:rsidR="00FA44FA">
        <w:t>educators</w:t>
      </w:r>
      <w:r w:rsidR="00CA5279">
        <w:t xml:space="preserve"> globally, while </w:t>
      </w:r>
      <w:r w:rsidR="00B70B64">
        <w:t xml:space="preserve">being convenient for learners. </w:t>
      </w:r>
      <w:r w:rsidR="00D77E46">
        <w:t xml:space="preserve">Greater uptake within </w:t>
      </w:r>
      <w:r w:rsidR="00910A3F">
        <w:t xml:space="preserve">ITE courses </w:t>
      </w:r>
      <w:r w:rsidR="001F16EC">
        <w:t>would not displace some of the essential features of teacher training</w:t>
      </w:r>
      <w:r w:rsidR="004044AC">
        <w:t xml:space="preserve">, but </w:t>
      </w:r>
      <w:r w:rsidR="00910A3F">
        <w:t xml:space="preserve">could </w:t>
      </w:r>
      <w:r w:rsidR="004044AC">
        <w:t xml:space="preserve">be integrated </w:t>
      </w:r>
      <w:r w:rsidR="003035E1">
        <w:t>into teacher training programs</w:t>
      </w:r>
      <w:r w:rsidR="001F16EC">
        <w:t xml:space="preserve">. They </w:t>
      </w:r>
      <w:r w:rsidR="0022756C">
        <w:t>could also</w:t>
      </w:r>
      <w:r w:rsidR="001F16EC">
        <w:t xml:space="preserve"> readily</w:t>
      </w:r>
      <w:r w:rsidR="00B70B64" w:rsidDel="00C60710">
        <w:t xml:space="preserve"> </w:t>
      </w:r>
      <w:r w:rsidR="0022756C">
        <w:t>be used as a feature of teacher professional development (Misra 2018)</w:t>
      </w:r>
      <w:r w:rsidR="003710DA">
        <w:t>.</w:t>
      </w:r>
      <w:r w:rsidR="00E31D67" w:rsidDel="00B571A9">
        <w:t xml:space="preserve"> </w:t>
      </w:r>
    </w:p>
    <w:p w14:paraId="7E9A22E2" w14:textId="63AA9310" w:rsidR="00AD08EE" w:rsidRDefault="004655DC" w:rsidP="00406EC8">
      <w:pPr>
        <w:pStyle w:val="Heading3"/>
      </w:pPr>
      <w:r>
        <w:lastRenderedPageBreak/>
        <w:t>The importance of c</w:t>
      </w:r>
      <w:r w:rsidR="00AD08EE">
        <w:t xml:space="preserve">ontinuing teacher education </w:t>
      </w:r>
    </w:p>
    <w:p w14:paraId="62FFD3AF" w14:textId="1246CDCB" w:rsidR="00306715" w:rsidRDefault="00A86389" w:rsidP="00306715">
      <w:pPr>
        <w:pStyle w:val="BodyText"/>
      </w:pPr>
      <w:r>
        <w:t xml:space="preserve">Preparing </w:t>
      </w:r>
      <w:r w:rsidR="002534AF">
        <w:t xml:space="preserve">ITE students to be </w:t>
      </w:r>
      <w:r w:rsidR="000867C9">
        <w:t>high</w:t>
      </w:r>
      <w:r w:rsidR="00F76369">
        <w:noBreakHyphen/>
      </w:r>
      <w:r w:rsidR="000867C9">
        <w:t xml:space="preserve">quality </w:t>
      </w:r>
      <w:r w:rsidR="002534AF">
        <w:t xml:space="preserve">teachers </w:t>
      </w:r>
      <w:r w:rsidR="000867C9">
        <w:t>does</w:t>
      </w:r>
      <w:r w:rsidR="002534AF">
        <w:t xml:space="preserve"> not </w:t>
      </w:r>
      <w:r w:rsidR="000867C9">
        <w:t xml:space="preserve">end with their </w:t>
      </w:r>
      <w:r w:rsidR="00745189">
        <w:t>pre</w:t>
      </w:r>
      <w:r w:rsidR="00F76369">
        <w:noBreakHyphen/>
      </w:r>
      <w:r w:rsidR="00745189">
        <w:t>service training</w:t>
      </w:r>
      <w:r w:rsidR="002534AF">
        <w:t>.</w:t>
      </w:r>
      <w:r>
        <w:t xml:space="preserve"> </w:t>
      </w:r>
      <w:r w:rsidR="00306715">
        <w:t>Meta</w:t>
      </w:r>
      <w:r w:rsidR="00306715">
        <w:noBreakHyphen/>
        <w:t>analysis suggests robust beneficial effects of ongoing professional development on the quality of teaching (Fletcher</w:t>
      </w:r>
      <w:r w:rsidR="00F76369">
        <w:noBreakHyphen/>
      </w:r>
      <w:r w:rsidR="00306715">
        <w:t xml:space="preserve">Wood and Zuccollo 2020). </w:t>
      </w:r>
    </w:p>
    <w:p w14:paraId="4D931615" w14:textId="16DDAEEE" w:rsidR="00B505C6" w:rsidRDefault="00015910" w:rsidP="000D0D4B">
      <w:pPr>
        <w:pStyle w:val="BodyText"/>
      </w:pPr>
      <w:r>
        <w:t xml:space="preserve">While some forms of knowledge and skills </w:t>
      </w:r>
      <w:r w:rsidR="00582CBB">
        <w:t xml:space="preserve">improve through </w:t>
      </w:r>
      <w:r w:rsidR="00D14D52">
        <w:t>experience</w:t>
      </w:r>
      <w:r w:rsidR="00582CBB">
        <w:t xml:space="preserve">, others may </w:t>
      </w:r>
      <w:r w:rsidR="00E53214">
        <w:t>decline</w:t>
      </w:r>
      <w:r w:rsidR="00111E3B">
        <w:t xml:space="preserve"> over time</w:t>
      </w:r>
      <w:r w:rsidR="00582CBB">
        <w:t xml:space="preserve">, </w:t>
      </w:r>
      <w:r w:rsidR="00CB41F5">
        <w:t xml:space="preserve">or become outdated </w:t>
      </w:r>
      <w:r w:rsidR="0023612E">
        <w:t xml:space="preserve">as </w:t>
      </w:r>
      <w:r w:rsidR="00737ABE">
        <w:t xml:space="preserve">learning content, expectations and </w:t>
      </w:r>
      <w:r w:rsidR="00A267F7">
        <w:t>pedag</w:t>
      </w:r>
      <w:r w:rsidR="00737ABE">
        <w:t>ogies develop.</w:t>
      </w:r>
      <w:r w:rsidR="00582CBB">
        <w:t xml:space="preserve"> </w:t>
      </w:r>
      <w:r w:rsidR="00FA4FA6">
        <w:t>As a result, t</w:t>
      </w:r>
      <w:r w:rsidR="000D0D4B" w:rsidRPr="005F21D7">
        <w:t xml:space="preserve">eachers will </w:t>
      </w:r>
      <w:r w:rsidR="005E3254">
        <w:t xml:space="preserve">also </w:t>
      </w:r>
      <w:r w:rsidR="000D0D4B" w:rsidRPr="005F21D7">
        <w:t xml:space="preserve">need </w:t>
      </w:r>
      <w:r w:rsidR="00FA4FA6">
        <w:t>to update their</w:t>
      </w:r>
      <w:r w:rsidR="000D0D4B" w:rsidRPr="005F21D7">
        <w:t xml:space="preserve"> knowledge and skills over their working life</w:t>
      </w:r>
      <w:r w:rsidR="00481862">
        <w:t>, making</w:t>
      </w:r>
      <w:r w:rsidR="00707134">
        <w:t xml:space="preserve"> </w:t>
      </w:r>
      <w:r w:rsidR="00707134" w:rsidRPr="00406EC8">
        <w:rPr>
          <w:i/>
        </w:rPr>
        <w:t>continuing</w:t>
      </w:r>
      <w:r w:rsidR="00707134">
        <w:t xml:space="preserve"> teach</w:t>
      </w:r>
      <w:r w:rsidR="00E53214">
        <w:t>er</w:t>
      </w:r>
      <w:r w:rsidR="00707134">
        <w:t xml:space="preserve"> education</w:t>
      </w:r>
      <w:r w:rsidR="00B505C6">
        <w:t xml:space="preserve"> </w:t>
      </w:r>
      <w:r w:rsidR="00C0016F">
        <w:t xml:space="preserve">via ongoing professional development </w:t>
      </w:r>
      <w:r w:rsidR="00B505C6">
        <w:t>arguably</w:t>
      </w:r>
      <w:r w:rsidR="00707134">
        <w:t xml:space="preserve"> just as important as </w:t>
      </w:r>
      <w:r w:rsidR="00707134">
        <w:rPr>
          <w:i/>
          <w:iCs/>
        </w:rPr>
        <w:t xml:space="preserve">initial </w:t>
      </w:r>
      <w:r w:rsidR="00707134">
        <w:t>teacher education</w:t>
      </w:r>
      <w:r w:rsidR="000D0D4B">
        <w:t xml:space="preserve">. </w:t>
      </w:r>
      <w:r w:rsidR="00C0016F">
        <w:t>As noted earlier, the two are complementary.</w:t>
      </w:r>
    </w:p>
    <w:p w14:paraId="056B2ED8" w14:textId="76010992" w:rsidR="00557F1D" w:rsidRDefault="00C0016F" w:rsidP="00E85956">
      <w:pPr>
        <w:pStyle w:val="BodyText"/>
      </w:pPr>
      <w:r>
        <w:t>O</w:t>
      </w:r>
      <w:r w:rsidR="002F0826">
        <w:t>ngoing p</w:t>
      </w:r>
      <w:r w:rsidR="000D0D4B">
        <w:t xml:space="preserve">rofessional development </w:t>
      </w:r>
      <w:r w:rsidR="00032631">
        <w:t xml:space="preserve">includes </w:t>
      </w:r>
      <w:r w:rsidR="000F1F84">
        <w:t>both formal and unstructured</w:t>
      </w:r>
      <w:r w:rsidR="00032631">
        <w:t xml:space="preserve"> </w:t>
      </w:r>
      <w:r w:rsidR="00B04BFA">
        <w:t>prof</w:t>
      </w:r>
      <w:r w:rsidR="00AC1461">
        <w:t>essional development</w:t>
      </w:r>
      <w:r w:rsidR="00F712E7">
        <w:t>,</w:t>
      </w:r>
      <w:r w:rsidR="007B362A">
        <w:t xml:space="preserve"> delivered in</w:t>
      </w:r>
      <w:r w:rsidR="00F76369">
        <w:noBreakHyphen/>
      </w:r>
      <w:r w:rsidR="007B362A">
        <w:t xml:space="preserve">school </w:t>
      </w:r>
      <w:r w:rsidR="00F712E7">
        <w:t>or</w:t>
      </w:r>
      <w:r w:rsidR="007B362A">
        <w:t xml:space="preserve"> offsite, by external providers</w:t>
      </w:r>
      <w:r w:rsidR="00F7000B">
        <w:t xml:space="preserve"> </w:t>
      </w:r>
      <w:r w:rsidR="007B362A">
        <w:t xml:space="preserve">— </w:t>
      </w:r>
      <w:r w:rsidR="00F7000B">
        <w:t>such as</w:t>
      </w:r>
      <w:r w:rsidR="007B362A">
        <w:t xml:space="preserve"> private operators, professional associations and system administrators — </w:t>
      </w:r>
      <w:r w:rsidR="00F712E7">
        <w:t>or</w:t>
      </w:r>
      <w:r w:rsidR="007B362A">
        <w:t xml:space="preserve"> internally</w:t>
      </w:r>
      <w:r w:rsidR="00F7000B">
        <w:t>.</w:t>
      </w:r>
      <w:r w:rsidR="00AC1461">
        <w:t xml:space="preserve"> </w:t>
      </w:r>
      <w:r w:rsidR="00557F1D">
        <w:t xml:space="preserve">Such professional development could be informed by innovations in the delivery and content of courses for new students. Equally, mentoring of new teachers may have broader application, and indeed, developments such as certification of </w:t>
      </w:r>
      <w:r w:rsidR="00557F1D" w:rsidRPr="00534843">
        <w:t>Highly Accomplished and Lead Teachers</w:t>
      </w:r>
      <w:r w:rsidR="00557F1D">
        <w:t>, are intended to diffuse best practice and skills among the whole school community and not just to new teachers.</w:t>
      </w:r>
    </w:p>
    <w:p w14:paraId="5A426787" w14:textId="2A3D1C16" w:rsidR="00760C21" w:rsidRDefault="000D0D4B" w:rsidP="00E85956">
      <w:pPr>
        <w:pStyle w:val="BodyText"/>
      </w:pPr>
      <w:r>
        <w:t xml:space="preserve">In 2012, the Commission found that </w:t>
      </w:r>
      <w:r w:rsidR="00F712E7">
        <w:t xml:space="preserve">the effectiveness of </w:t>
      </w:r>
      <w:r>
        <w:t xml:space="preserve">professional development </w:t>
      </w:r>
      <w:r w:rsidR="00860D9D">
        <w:t xml:space="preserve">for teachers </w:t>
      </w:r>
      <w:r>
        <w:t xml:space="preserve">could be </w:t>
      </w:r>
      <w:r w:rsidR="00793C21">
        <w:t xml:space="preserve">improved </w:t>
      </w:r>
      <w:r>
        <w:t>through</w:t>
      </w:r>
      <w:r w:rsidR="00760C21">
        <w:t>:</w:t>
      </w:r>
      <w:r>
        <w:t xml:space="preserve"> </w:t>
      </w:r>
    </w:p>
    <w:p w14:paraId="7AC3335A" w14:textId="10CDCC82" w:rsidR="00760C21" w:rsidRDefault="00E85956" w:rsidP="00406EC8">
      <w:pPr>
        <w:pStyle w:val="ListBullet"/>
      </w:pPr>
      <w:r>
        <w:t xml:space="preserve">better matching training content to the development needs of teachers, </w:t>
      </w:r>
      <w:r w:rsidR="00760C21">
        <w:t>such as by using teachers’ performance appraisals to outline and then action their development needs</w:t>
      </w:r>
    </w:p>
    <w:p w14:paraId="7938D663" w14:textId="346351BC" w:rsidR="000D0D4B" w:rsidRDefault="00E85956" w:rsidP="00406EC8">
      <w:pPr>
        <w:pStyle w:val="ListBullet"/>
      </w:pPr>
      <w:r>
        <w:t>improving the delivery of professional</w:t>
      </w:r>
      <w:r w:rsidR="00760C21">
        <w:t xml:space="preserve"> </w:t>
      </w:r>
      <w:r>
        <w:t>development so that it is more likely to lead to gains in teacher knowledge and</w:t>
      </w:r>
      <w:r w:rsidR="00760C21">
        <w:t xml:space="preserve"> </w:t>
      </w:r>
      <w:r>
        <w:t>practice</w:t>
      </w:r>
      <w:r w:rsidR="000D0D4B">
        <w:t xml:space="preserve"> (PC 2012, p</w:t>
      </w:r>
      <w:r w:rsidR="00344CD4">
        <w:t>p</w:t>
      </w:r>
      <w:r w:rsidR="000D0D4B">
        <w:t>. 157</w:t>
      </w:r>
      <w:r w:rsidR="00F76369">
        <w:t>–</w:t>
      </w:r>
      <w:r w:rsidR="00344CD4">
        <w:t>158</w:t>
      </w:r>
      <w:r w:rsidR="000D0D4B">
        <w:t xml:space="preserve">). </w:t>
      </w:r>
    </w:p>
    <w:p w14:paraId="5B39B276" w14:textId="70F2F66C" w:rsidR="000D0D4B" w:rsidRDefault="000D0D4B" w:rsidP="000D0D4B">
      <w:pPr>
        <w:pStyle w:val="BodyText"/>
      </w:pPr>
      <w:r>
        <w:t xml:space="preserve">Stronger links between professional development and teacher performance appraisal could </w:t>
      </w:r>
      <w:r w:rsidR="00C25DB3">
        <w:t xml:space="preserve">also </w:t>
      </w:r>
      <w:r>
        <w:t>be achieved if principals had additional autonomy over their teachers’ performance appraisals. As well as improving professional development</w:t>
      </w:r>
      <w:r w:rsidRPr="00751604">
        <w:t xml:space="preserve"> </w:t>
      </w:r>
      <w:r>
        <w:t xml:space="preserve">quality, </w:t>
      </w:r>
      <w:r w:rsidR="00406AAC">
        <w:t>additional autonomy for principals would also</w:t>
      </w:r>
      <w:r>
        <w:t xml:space="preserve"> allow </w:t>
      </w:r>
      <w:r w:rsidR="00406AAC">
        <w:t>better management of</w:t>
      </w:r>
      <w:r>
        <w:t xml:space="preserve"> underperforming teachers</w:t>
      </w:r>
      <w:r w:rsidR="00406AAC">
        <w:t>, helping to improve broader teacher quality</w:t>
      </w:r>
      <w:r w:rsidR="008F2036">
        <w:t>. However,</w:t>
      </w:r>
      <w:r w:rsidR="00980DA0">
        <w:t xml:space="preserve"> this may need to be paired with changes to underperformance procedures in education departments, to assist schools with managing underperforming teachers </w:t>
      </w:r>
      <w:r w:rsidRPr="00D720AE">
        <w:t>(PC 2012, pp.</w:t>
      </w:r>
      <w:r w:rsidR="00F76369">
        <w:t> </w:t>
      </w:r>
      <w:r w:rsidRPr="00D720AE">
        <w:t>179</w:t>
      </w:r>
      <w:r w:rsidR="00F76369">
        <w:t>–</w:t>
      </w:r>
      <w:r w:rsidRPr="00D720AE">
        <w:t>181).</w:t>
      </w:r>
      <w:r>
        <w:t xml:space="preserve"> </w:t>
      </w:r>
    </w:p>
    <w:p w14:paraId="6C8CA67B" w14:textId="77777777" w:rsidR="00213A8B" w:rsidRDefault="00213A8B">
      <w:pPr>
        <w:rPr>
          <w:szCs w:val="20"/>
        </w:rPr>
      </w:pPr>
      <w:bookmarkStart w:id="3" w:name="begin"/>
      <w:bookmarkEnd w:id="3"/>
      <w:r>
        <w:br w:type="page"/>
      </w:r>
    </w:p>
    <w:p w14:paraId="4A827958" w14:textId="5FAADC3C" w:rsidR="00D434A0" w:rsidRDefault="00BA24F6" w:rsidP="00D81D50">
      <w:pPr>
        <w:pStyle w:val="Heading2"/>
      </w:pPr>
      <w:r>
        <w:lastRenderedPageBreak/>
        <w:t>References</w:t>
      </w:r>
    </w:p>
    <w:p w14:paraId="1384B7E6" w14:textId="20410D28" w:rsidR="007B5C28" w:rsidRDefault="007B5C28" w:rsidP="00BC267A">
      <w:pPr>
        <w:pStyle w:val="Reference"/>
        <w:spacing w:before="100"/>
        <w:rPr>
          <w:sz w:val="20"/>
        </w:rPr>
      </w:pPr>
      <w:r w:rsidRPr="004D1466">
        <w:rPr>
          <w:sz w:val="20"/>
        </w:rPr>
        <w:t xml:space="preserve">ABS </w:t>
      </w:r>
      <w:r w:rsidR="00B61FEB">
        <w:rPr>
          <w:sz w:val="20"/>
        </w:rPr>
        <w:t xml:space="preserve">(Australian Bureau of Statistics) </w:t>
      </w:r>
      <w:r w:rsidRPr="004D1466">
        <w:rPr>
          <w:sz w:val="20"/>
        </w:rPr>
        <w:t>202</w:t>
      </w:r>
      <w:r w:rsidR="004978CE" w:rsidRPr="004D1466">
        <w:rPr>
          <w:sz w:val="20"/>
        </w:rPr>
        <w:t xml:space="preserve">1, </w:t>
      </w:r>
      <w:r w:rsidR="004978CE" w:rsidRPr="004D1466">
        <w:rPr>
          <w:i/>
          <w:sz w:val="20"/>
        </w:rPr>
        <w:t>Schools</w:t>
      </w:r>
      <w:r w:rsidR="00B7524A" w:rsidRPr="004D1466">
        <w:rPr>
          <w:i/>
          <w:sz w:val="20"/>
        </w:rPr>
        <w:t xml:space="preserve"> Australia 2020</w:t>
      </w:r>
      <w:r w:rsidR="00093371" w:rsidRPr="004D1466">
        <w:rPr>
          <w:sz w:val="20"/>
        </w:rPr>
        <w:t xml:space="preserve">, </w:t>
      </w:r>
      <w:r w:rsidR="007D78E2">
        <w:rPr>
          <w:sz w:val="20"/>
        </w:rPr>
        <w:t xml:space="preserve">February, </w:t>
      </w:r>
      <w:r w:rsidR="00093371" w:rsidRPr="004D1466">
        <w:rPr>
          <w:sz w:val="20"/>
        </w:rPr>
        <w:t>Canberra.</w:t>
      </w:r>
      <w:r w:rsidRPr="00E21388">
        <w:rPr>
          <w:sz w:val="20"/>
        </w:rPr>
        <w:t xml:space="preserve"> </w:t>
      </w:r>
    </w:p>
    <w:p w14:paraId="7D55DC93" w14:textId="7C0C3872" w:rsidR="00EB3D7B" w:rsidRPr="00E21388" w:rsidRDefault="00EB3D7B" w:rsidP="00BC267A">
      <w:pPr>
        <w:pStyle w:val="Reference"/>
        <w:spacing w:before="100"/>
        <w:rPr>
          <w:sz w:val="20"/>
        </w:rPr>
      </w:pPr>
      <w:r w:rsidRPr="004D1466">
        <w:rPr>
          <w:sz w:val="20"/>
        </w:rPr>
        <w:t>——</w:t>
      </w:r>
      <w:r w:rsidR="004676E5">
        <w:rPr>
          <w:sz w:val="20"/>
        </w:rPr>
        <w:t xml:space="preserve"> </w:t>
      </w:r>
      <w:r w:rsidR="00087ED5" w:rsidRPr="00087ED5">
        <w:rPr>
          <w:sz w:val="20"/>
        </w:rPr>
        <w:t xml:space="preserve">2017, </w:t>
      </w:r>
      <w:r w:rsidR="00087ED5" w:rsidRPr="00EA3EDE">
        <w:rPr>
          <w:i/>
          <w:iCs/>
          <w:sz w:val="20"/>
        </w:rPr>
        <w:t>Census of Population and Housing 2016</w:t>
      </w:r>
      <w:r w:rsidR="00087ED5" w:rsidRPr="00087ED5">
        <w:rPr>
          <w:sz w:val="20"/>
        </w:rPr>
        <w:t>, Table Builder, July, Canberra</w:t>
      </w:r>
      <w:r w:rsidR="00B02757">
        <w:rPr>
          <w:sz w:val="20"/>
        </w:rPr>
        <w:t>.</w:t>
      </w:r>
    </w:p>
    <w:p w14:paraId="75031DF4" w14:textId="18C2A2DA" w:rsidR="004B669B" w:rsidRPr="004D1466" w:rsidRDefault="007A2EA1" w:rsidP="00BC267A">
      <w:pPr>
        <w:pStyle w:val="Reference"/>
        <w:spacing w:before="100"/>
        <w:rPr>
          <w:sz w:val="20"/>
        </w:rPr>
      </w:pPr>
      <w:r w:rsidRPr="004D1466">
        <w:rPr>
          <w:sz w:val="20"/>
        </w:rPr>
        <w:t>Bueno, C.</w:t>
      </w:r>
      <w:r w:rsidR="00FE11DE">
        <w:rPr>
          <w:sz w:val="20"/>
        </w:rPr>
        <w:t xml:space="preserve"> and</w:t>
      </w:r>
      <w:r w:rsidRPr="004D1466">
        <w:rPr>
          <w:sz w:val="20"/>
        </w:rPr>
        <w:t xml:space="preserve"> </w:t>
      </w:r>
      <w:r w:rsidR="004B669B" w:rsidRPr="004D1466">
        <w:rPr>
          <w:sz w:val="20"/>
        </w:rPr>
        <w:t>Sass</w:t>
      </w:r>
      <w:r w:rsidRPr="004D1466">
        <w:rPr>
          <w:sz w:val="20"/>
        </w:rPr>
        <w:t>, T. R.</w:t>
      </w:r>
      <w:r w:rsidR="004B669B" w:rsidRPr="004D1466">
        <w:rPr>
          <w:sz w:val="20"/>
        </w:rPr>
        <w:t xml:space="preserve"> 2018</w:t>
      </w:r>
      <w:r w:rsidR="009F6A49" w:rsidRPr="004D1466">
        <w:rPr>
          <w:sz w:val="20"/>
        </w:rPr>
        <w:t>,</w:t>
      </w:r>
      <w:r w:rsidRPr="004D1466">
        <w:rPr>
          <w:sz w:val="20"/>
        </w:rPr>
        <w:t xml:space="preserve"> </w:t>
      </w:r>
      <w:r w:rsidR="00AC4226" w:rsidRPr="004D1466">
        <w:rPr>
          <w:sz w:val="20"/>
        </w:rPr>
        <w:t>‘</w:t>
      </w:r>
      <w:r w:rsidRPr="004D1466">
        <w:rPr>
          <w:sz w:val="20"/>
        </w:rPr>
        <w:t>The Effects of Differential Pay on Teacher Recruitment and Retention</w:t>
      </w:r>
      <w:r w:rsidR="009F6A49" w:rsidRPr="004D1466">
        <w:rPr>
          <w:sz w:val="20"/>
        </w:rPr>
        <w:t xml:space="preserve">’, </w:t>
      </w:r>
      <w:r w:rsidRPr="008574D3">
        <w:rPr>
          <w:i/>
          <w:iCs/>
          <w:sz w:val="20"/>
        </w:rPr>
        <w:t>UWRG Working Papers</w:t>
      </w:r>
      <w:r w:rsidR="00AF243B">
        <w:rPr>
          <w:sz w:val="20"/>
        </w:rPr>
        <w:t xml:space="preserve">, </w:t>
      </w:r>
      <w:r w:rsidR="00B9161D">
        <w:rPr>
          <w:sz w:val="20"/>
        </w:rPr>
        <w:t>no. </w:t>
      </w:r>
      <w:r w:rsidRPr="004D1466">
        <w:rPr>
          <w:sz w:val="20"/>
        </w:rPr>
        <w:t xml:space="preserve">121. </w:t>
      </w:r>
    </w:p>
    <w:p w14:paraId="34711D52" w14:textId="32A751A5" w:rsidR="00334DC1" w:rsidRPr="004D1466" w:rsidRDefault="00D45FEA" w:rsidP="00BC267A">
      <w:pPr>
        <w:pStyle w:val="Reference"/>
        <w:spacing w:before="100"/>
        <w:rPr>
          <w:sz w:val="20"/>
        </w:rPr>
      </w:pPr>
      <w:r w:rsidRPr="004D1466">
        <w:rPr>
          <w:sz w:val="20"/>
        </w:rPr>
        <w:t>Dewhurst, Y., Ronksley</w:t>
      </w:r>
      <w:r w:rsidR="00F76369" w:rsidRPr="004D1466">
        <w:rPr>
          <w:sz w:val="20"/>
        </w:rPr>
        <w:noBreakHyphen/>
      </w:r>
      <w:r w:rsidRPr="004D1466">
        <w:rPr>
          <w:sz w:val="20"/>
        </w:rPr>
        <w:t xml:space="preserve">Pavia, M. </w:t>
      </w:r>
      <w:r w:rsidR="00FE11DE">
        <w:rPr>
          <w:sz w:val="20"/>
        </w:rPr>
        <w:t>and</w:t>
      </w:r>
      <w:r w:rsidRPr="004D1466">
        <w:rPr>
          <w:sz w:val="20"/>
        </w:rPr>
        <w:t xml:space="preserve"> Pendergast, D. 2020</w:t>
      </w:r>
      <w:r w:rsidR="00950BE8">
        <w:rPr>
          <w:sz w:val="20"/>
        </w:rPr>
        <w:t>,</w:t>
      </w:r>
      <w:r w:rsidRPr="004D1466">
        <w:rPr>
          <w:sz w:val="20"/>
        </w:rPr>
        <w:t xml:space="preserve"> </w:t>
      </w:r>
      <w:r w:rsidR="00C536CB">
        <w:rPr>
          <w:sz w:val="20"/>
        </w:rPr>
        <w:t>‘</w:t>
      </w:r>
      <w:r w:rsidRPr="004D1466">
        <w:rPr>
          <w:sz w:val="20"/>
        </w:rPr>
        <w:t xml:space="preserve">Preservice </w:t>
      </w:r>
      <w:r w:rsidR="00C536CB">
        <w:rPr>
          <w:sz w:val="20"/>
        </w:rPr>
        <w:t>t</w:t>
      </w:r>
      <w:r w:rsidRPr="004D1466">
        <w:rPr>
          <w:sz w:val="20"/>
        </w:rPr>
        <w:t xml:space="preserve">eachers’ </w:t>
      </w:r>
      <w:r w:rsidR="00C536CB">
        <w:rPr>
          <w:sz w:val="20"/>
        </w:rPr>
        <w:t>s</w:t>
      </w:r>
      <w:r w:rsidRPr="004D1466">
        <w:rPr>
          <w:sz w:val="20"/>
        </w:rPr>
        <w:t xml:space="preserve">ense of </w:t>
      </w:r>
      <w:r w:rsidR="00C536CB">
        <w:rPr>
          <w:sz w:val="20"/>
        </w:rPr>
        <w:t>b</w:t>
      </w:r>
      <w:r w:rsidRPr="004D1466">
        <w:rPr>
          <w:sz w:val="20"/>
        </w:rPr>
        <w:t xml:space="preserve">elonging </w:t>
      </w:r>
      <w:r w:rsidR="00C536CB">
        <w:rPr>
          <w:sz w:val="20"/>
        </w:rPr>
        <w:t>d</w:t>
      </w:r>
      <w:r w:rsidRPr="004D1466">
        <w:rPr>
          <w:sz w:val="20"/>
        </w:rPr>
        <w:t xml:space="preserve">uring </w:t>
      </w:r>
      <w:r w:rsidR="00C536CB">
        <w:rPr>
          <w:sz w:val="20"/>
        </w:rPr>
        <w:t>p</w:t>
      </w:r>
      <w:r w:rsidRPr="004D1466">
        <w:rPr>
          <w:sz w:val="20"/>
        </w:rPr>
        <w:t xml:space="preserve">racticum </w:t>
      </w:r>
      <w:r w:rsidR="00C536CB">
        <w:rPr>
          <w:sz w:val="20"/>
        </w:rPr>
        <w:t>p</w:t>
      </w:r>
      <w:r w:rsidRPr="004D1466">
        <w:rPr>
          <w:sz w:val="20"/>
        </w:rPr>
        <w:t>lacements</w:t>
      </w:r>
      <w:r w:rsidR="00C536CB">
        <w:rPr>
          <w:sz w:val="20"/>
        </w:rPr>
        <w:t>’</w:t>
      </w:r>
      <w:r w:rsidR="003F25A5">
        <w:rPr>
          <w:sz w:val="20"/>
        </w:rPr>
        <w:t>,</w:t>
      </w:r>
      <w:r w:rsidRPr="004D1466">
        <w:rPr>
          <w:sz w:val="20"/>
        </w:rPr>
        <w:t xml:space="preserve"> </w:t>
      </w:r>
      <w:r w:rsidRPr="004D1466">
        <w:rPr>
          <w:i/>
          <w:sz w:val="20"/>
        </w:rPr>
        <w:t>Australian Journal of Teacher Education</w:t>
      </w:r>
      <w:r w:rsidRPr="004D1466">
        <w:rPr>
          <w:sz w:val="20"/>
        </w:rPr>
        <w:t xml:space="preserve">, </w:t>
      </w:r>
      <w:r w:rsidR="0000758A" w:rsidRPr="004D1466">
        <w:rPr>
          <w:sz w:val="20"/>
        </w:rPr>
        <w:t>vol. </w:t>
      </w:r>
      <w:r w:rsidRPr="004D1466">
        <w:rPr>
          <w:sz w:val="20"/>
        </w:rPr>
        <w:t>45</w:t>
      </w:r>
      <w:r w:rsidR="0000758A" w:rsidRPr="004D1466">
        <w:rPr>
          <w:sz w:val="20"/>
        </w:rPr>
        <w:t>, no. </w:t>
      </w:r>
      <w:r w:rsidRPr="004D1466">
        <w:rPr>
          <w:sz w:val="20"/>
        </w:rPr>
        <w:t>11</w:t>
      </w:r>
      <w:r w:rsidR="0000758A" w:rsidRPr="004D1466">
        <w:rPr>
          <w:sz w:val="20"/>
        </w:rPr>
        <w:t xml:space="preserve">, </w:t>
      </w:r>
      <w:r w:rsidR="00511028" w:rsidRPr="004D1466">
        <w:rPr>
          <w:sz w:val="20"/>
        </w:rPr>
        <w:t xml:space="preserve">art. 2, </w:t>
      </w:r>
      <w:r w:rsidR="0000758A" w:rsidRPr="004D1466">
        <w:rPr>
          <w:sz w:val="20"/>
        </w:rPr>
        <w:t>pp.</w:t>
      </w:r>
      <w:r w:rsidR="006B5768" w:rsidRPr="004D1466">
        <w:rPr>
          <w:sz w:val="20"/>
        </w:rPr>
        <w:t> 17</w:t>
      </w:r>
      <w:r w:rsidR="00346E47" w:rsidRPr="004D1466">
        <w:rPr>
          <w:sz w:val="20"/>
        </w:rPr>
        <w:t>–</w:t>
      </w:r>
      <w:r w:rsidR="006B5768" w:rsidRPr="004D1466">
        <w:rPr>
          <w:sz w:val="20"/>
        </w:rPr>
        <w:t>33</w:t>
      </w:r>
      <w:r w:rsidRPr="004D1466">
        <w:rPr>
          <w:sz w:val="20"/>
        </w:rPr>
        <w:t xml:space="preserve">. </w:t>
      </w:r>
    </w:p>
    <w:p w14:paraId="4138AFE7" w14:textId="2D3A51B6" w:rsidR="00E76D20" w:rsidRPr="004D1466" w:rsidRDefault="00E76D20" w:rsidP="00BC267A">
      <w:pPr>
        <w:pStyle w:val="Reference"/>
        <w:spacing w:before="100"/>
        <w:rPr>
          <w:sz w:val="20"/>
        </w:rPr>
      </w:pPr>
      <w:r w:rsidRPr="004D1466">
        <w:rPr>
          <w:sz w:val="20"/>
        </w:rPr>
        <w:t>Fletcher</w:t>
      </w:r>
      <w:r w:rsidR="00F76369" w:rsidRPr="004D1466">
        <w:rPr>
          <w:sz w:val="20"/>
        </w:rPr>
        <w:noBreakHyphen/>
      </w:r>
      <w:r w:rsidRPr="004D1466">
        <w:rPr>
          <w:sz w:val="20"/>
        </w:rPr>
        <w:t xml:space="preserve">Wood, H. </w:t>
      </w:r>
      <w:r w:rsidR="00FE11DE">
        <w:rPr>
          <w:sz w:val="20"/>
        </w:rPr>
        <w:t>and</w:t>
      </w:r>
      <w:r w:rsidRPr="004D1466">
        <w:rPr>
          <w:sz w:val="20"/>
        </w:rPr>
        <w:t xml:space="preserve"> Zuccollo, J. 2020</w:t>
      </w:r>
      <w:r w:rsidR="00FD38AF" w:rsidRPr="004D1466">
        <w:rPr>
          <w:sz w:val="20"/>
        </w:rPr>
        <w:t>,</w:t>
      </w:r>
      <w:r w:rsidRPr="004D1466">
        <w:rPr>
          <w:sz w:val="20"/>
        </w:rPr>
        <w:t xml:space="preserve"> </w:t>
      </w:r>
      <w:r w:rsidRPr="004D1466">
        <w:rPr>
          <w:i/>
          <w:sz w:val="20"/>
        </w:rPr>
        <w:t xml:space="preserve">The </w:t>
      </w:r>
      <w:r w:rsidR="00FD38AF" w:rsidRPr="004D1466">
        <w:rPr>
          <w:i/>
          <w:sz w:val="20"/>
        </w:rPr>
        <w:t>Effects</w:t>
      </w:r>
      <w:r w:rsidRPr="004D1466">
        <w:rPr>
          <w:i/>
          <w:sz w:val="20"/>
        </w:rPr>
        <w:t xml:space="preserve"> of </w:t>
      </w:r>
      <w:r w:rsidR="00FD38AF" w:rsidRPr="004D1466">
        <w:rPr>
          <w:i/>
          <w:sz w:val="20"/>
        </w:rPr>
        <w:t>High</w:t>
      </w:r>
      <w:r w:rsidR="00F76369" w:rsidRPr="004D1466">
        <w:rPr>
          <w:i/>
          <w:iCs/>
          <w:sz w:val="20"/>
        </w:rPr>
        <w:noBreakHyphen/>
      </w:r>
      <w:r w:rsidR="00FD38AF" w:rsidRPr="004D1466">
        <w:rPr>
          <w:i/>
          <w:sz w:val="20"/>
        </w:rPr>
        <w:t>Quality Professional Development</w:t>
      </w:r>
      <w:r w:rsidRPr="004D1466">
        <w:rPr>
          <w:i/>
          <w:sz w:val="20"/>
        </w:rPr>
        <w:t xml:space="preserve"> on </w:t>
      </w:r>
      <w:r w:rsidR="00FD38AF" w:rsidRPr="004D1466">
        <w:rPr>
          <w:i/>
          <w:sz w:val="20"/>
        </w:rPr>
        <w:t>Teachers</w:t>
      </w:r>
      <w:r w:rsidRPr="004D1466">
        <w:rPr>
          <w:i/>
          <w:sz w:val="20"/>
        </w:rPr>
        <w:t xml:space="preserve"> and </w:t>
      </w:r>
      <w:r w:rsidR="00FD38AF" w:rsidRPr="004D1466">
        <w:rPr>
          <w:i/>
          <w:sz w:val="20"/>
        </w:rPr>
        <w:t>Students</w:t>
      </w:r>
      <w:r w:rsidRPr="004D1466">
        <w:rPr>
          <w:i/>
          <w:sz w:val="20"/>
        </w:rPr>
        <w:t xml:space="preserve">: A </w:t>
      </w:r>
      <w:r w:rsidR="00FD38AF" w:rsidRPr="004D1466">
        <w:rPr>
          <w:i/>
          <w:sz w:val="20"/>
        </w:rPr>
        <w:t>Rapid Review</w:t>
      </w:r>
      <w:r w:rsidRPr="004D1466">
        <w:rPr>
          <w:i/>
          <w:sz w:val="20"/>
        </w:rPr>
        <w:t xml:space="preserve"> and </w:t>
      </w:r>
      <w:r w:rsidR="00FD38AF" w:rsidRPr="004D1466">
        <w:rPr>
          <w:i/>
          <w:sz w:val="20"/>
        </w:rPr>
        <w:t>Meta</w:t>
      </w:r>
      <w:r w:rsidR="00F76369" w:rsidRPr="004D1466">
        <w:rPr>
          <w:i/>
          <w:iCs/>
          <w:sz w:val="20"/>
        </w:rPr>
        <w:noBreakHyphen/>
      </w:r>
      <w:r w:rsidR="00FD38AF" w:rsidRPr="004D1466">
        <w:rPr>
          <w:i/>
          <w:sz w:val="20"/>
        </w:rPr>
        <w:t>Analysis</w:t>
      </w:r>
      <w:r w:rsidR="00053E6A" w:rsidRPr="004D1466">
        <w:rPr>
          <w:sz w:val="20"/>
        </w:rPr>
        <w:t>,</w:t>
      </w:r>
      <w:r w:rsidRPr="004D1466">
        <w:rPr>
          <w:sz w:val="20"/>
        </w:rPr>
        <w:t xml:space="preserve"> Education Policy Institute.</w:t>
      </w:r>
    </w:p>
    <w:p w14:paraId="289BEC79" w14:textId="315D7BF3" w:rsidR="00D44D41" w:rsidRPr="004D1466" w:rsidRDefault="00D44D41" w:rsidP="00BC267A">
      <w:pPr>
        <w:pStyle w:val="Reference"/>
        <w:spacing w:before="100"/>
        <w:rPr>
          <w:sz w:val="20"/>
        </w:rPr>
      </w:pPr>
      <w:r w:rsidRPr="004D1466">
        <w:rPr>
          <w:sz w:val="20"/>
        </w:rPr>
        <w:t>McConney, A.</w:t>
      </w:r>
      <w:r w:rsidR="003463FA">
        <w:rPr>
          <w:sz w:val="20"/>
        </w:rPr>
        <w:t xml:space="preserve"> and</w:t>
      </w:r>
      <w:r w:rsidRPr="004D1466">
        <w:rPr>
          <w:sz w:val="20"/>
        </w:rPr>
        <w:t xml:space="preserve"> Price, A. 2010</w:t>
      </w:r>
      <w:r w:rsidR="00FD38AF" w:rsidRPr="004D1466">
        <w:rPr>
          <w:sz w:val="20"/>
        </w:rPr>
        <w:t>,</w:t>
      </w:r>
      <w:r w:rsidRPr="004D1466">
        <w:rPr>
          <w:sz w:val="20"/>
        </w:rPr>
        <w:t xml:space="preserve"> ‘Teaching Out</w:t>
      </w:r>
      <w:r w:rsidR="00F76369" w:rsidRPr="004D1466">
        <w:rPr>
          <w:sz w:val="20"/>
        </w:rPr>
        <w:noBreakHyphen/>
      </w:r>
      <w:r w:rsidRPr="004D1466">
        <w:rPr>
          <w:sz w:val="20"/>
        </w:rPr>
        <w:t>of</w:t>
      </w:r>
      <w:r w:rsidR="00F76369" w:rsidRPr="004D1466">
        <w:rPr>
          <w:sz w:val="20"/>
        </w:rPr>
        <w:noBreakHyphen/>
      </w:r>
      <w:r w:rsidRPr="004D1466">
        <w:rPr>
          <w:sz w:val="20"/>
        </w:rPr>
        <w:t xml:space="preserve">Field in Western Australia’, </w:t>
      </w:r>
      <w:r w:rsidRPr="004D1466">
        <w:rPr>
          <w:i/>
          <w:iCs/>
          <w:sz w:val="20"/>
        </w:rPr>
        <w:t>Australian Journal of Teacher Education</w:t>
      </w:r>
      <w:r w:rsidRPr="004D1466">
        <w:rPr>
          <w:sz w:val="20"/>
        </w:rPr>
        <w:t>, vol. 34, no. 6,</w:t>
      </w:r>
      <w:r w:rsidR="00511028" w:rsidRPr="004D1466">
        <w:rPr>
          <w:sz w:val="20"/>
        </w:rPr>
        <w:t xml:space="preserve"> art. </w:t>
      </w:r>
      <w:r w:rsidRPr="004D1466">
        <w:rPr>
          <w:sz w:val="20"/>
        </w:rPr>
        <w:t xml:space="preserve">6, pp. 86–100. </w:t>
      </w:r>
    </w:p>
    <w:p w14:paraId="1102DEDD" w14:textId="2064465C" w:rsidR="00D44D41" w:rsidRPr="004D1466" w:rsidRDefault="00D44D41" w:rsidP="00BC267A">
      <w:pPr>
        <w:pStyle w:val="Reference"/>
        <w:spacing w:before="100"/>
        <w:rPr>
          <w:sz w:val="20"/>
        </w:rPr>
      </w:pPr>
      <w:r w:rsidRPr="004D1466">
        <w:rPr>
          <w:sz w:val="20"/>
        </w:rPr>
        <w:t xml:space="preserve">McKenzie, P., Weldon, P., Rowley, G., Murphy, M. </w:t>
      </w:r>
      <w:r w:rsidR="00D7792E">
        <w:rPr>
          <w:sz w:val="20"/>
        </w:rPr>
        <w:t>and</w:t>
      </w:r>
      <w:r w:rsidRPr="004D1466">
        <w:rPr>
          <w:sz w:val="20"/>
        </w:rPr>
        <w:t xml:space="preserve"> McMillan, J. 2014, </w:t>
      </w:r>
      <w:r w:rsidRPr="004D1466">
        <w:rPr>
          <w:i/>
          <w:iCs/>
          <w:sz w:val="20"/>
        </w:rPr>
        <w:t>Staff in Australia’s Schools 2013: Main Report on the Survey</w:t>
      </w:r>
      <w:r w:rsidR="00C04946">
        <w:rPr>
          <w:sz w:val="20"/>
        </w:rPr>
        <w:t>,</w:t>
      </w:r>
      <w:r w:rsidR="00C04946" w:rsidRPr="004D1466">
        <w:rPr>
          <w:sz w:val="20"/>
        </w:rPr>
        <w:t xml:space="preserve"> </w:t>
      </w:r>
      <w:r w:rsidRPr="004D1466">
        <w:rPr>
          <w:sz w:val="20"/>
        </w:rPr>
        <w:t xml:space="preserve">Australian Council for Education Research. </w:t>
      </w:r>
    </w:p>
    <w:p w14:paraId="6EB54988" w14:textId="57F4008E" w:rsidR="004A024C" w:rsidRPr="004D1466" w:rsidRDefault="003468CB" w:rsidP="00BC267A">
      <w:pPr>
        <w:pStyle w:val="Reference"/>
        <w:spacing w:before="100"/>
        <w:rPr>
          <w:sz w:val="20"/>
        </w:rPr>
      </w:pPr>
      <w:r w:rsidRPr="004D1466">
        <w:rPr>
          <w:sz w:val="20"/>
        </w:rPr>
        <w:t>Misra, P. 2018</w:t>
      </w:r>
      <w:r w:rsidR="001A2CD1" w:rsidRPr="004D1466">
        <w:rPr>
          <w:sz w:val="20"/>
        </w:rPr>
        <w:t>,</w:t>
      </w:r>
      <w:r w:rsidRPr="004D1466">
        <w:rPr>
          <w:sz w:val="20"/>
        </w:rPr>
        <w:t xml:space="preserve"> </w:t>
      </w:r>
      <w:r w:rsidR="001A2CD1" w:rsidRPr="004D1466">
        <w:rPr>
          <w:sz w:val="20"/>
        </w:rPr>
        <w:t>‘</w:t>
      </w:r>
      <w:r w:rsidRPr="004D1466">
        <w:rPr>
          <w:sz w:val="20"/>
        </w:rPr>
        <w:t>MOOCs for teacher professional development: Reflections and suggested actions</w:t>
      </w:r>
      <w:r w:rsidR="001A2CD1" w:rsidRPr="004D1466">
        <w:rPr>
          <w:sz w:val="20"/>
        </w:rPr>
        <w:t>’,</w:t>
      </w:r>
      <w:r w:rsidRPr="004D1466">
        <w:rPr>
          <w:sz w:val="20"/>
        </w:rPr>
        <w:t xml:space="preserve"> </w:t>
      </w:r>
      <w:r w:rsidRPr="004D1466">
        <w:rPr>
          <w:i/>
          <w:iCs/>
          <w:sz w:val="20"/>
        </w:rPr>
        <w:t>Open Praxis</w:t>
      </w:r>
      <w:r w:rsidRPr="004D1466">
        <w:rPr>
          <w:sz w:val="20"/>
        </w:rPr>
        <w:t xml:space="preserve">, vol. 10, </w:t>
      </w:r>
      <w:r w:rsidR="004B193D">
        <w:rPr>
          <w:sz w:val="20"/>
        </w:rPr>
        <w:t>no</w:t>
      </w:r>
      <w:r w:rsidRPr="004D1466">
        <w:rPr>
          <w:sz w:val="20"/>
        </w:rPr>
        <w:t>. 1, pp. 67</w:t>
      </w:r>
      <w:r w:rsidR="00F76369" w:rsidRPr="004D1466">
        <w:rPr>
          <w:sz w:val="20"/>
        </w:rPr>
        <w:t>–</w:t>
      </w:r>
      <w:r w:rsidRPr="004D1466">
        <w:rPr>
          <w:sz w:val="20"/>
        </w:rPr>
        <w:t xml:space="preserve">77. </w:t>
      </w:r>
    </w:p>
    <w:p w14:paraId="7D57B87A" w14:textId="15540C10" w:rsidR="004A024C" w:rsidRPr="004D1466" w:rsidRDefault="004A024C" w:rsidP="00BC267A">
      <w:pPr>
        <w:pStyle w:val="Reference"/>
        <w:spacing w:before="100"/>
        <w:rPr>
          <w:sz w:val="20"/>
        </w:rPr>
      </w:pPr>
      <w:r w:rsidRPr="004D1466">
        <w:rPr>
          <w:sz w:val="20"/>
        </w:rPr>
        <w:t>OECD (Organisation for Economic Co</w:t>
      </w:r>
      <w:r w:rsidR="00F76369" w:rsidRPr="004D1466">
        <w:rPr>
          <w:sz w:val="20"/>
        </w:rPr>
        <w:noBreakHyphen/>
      </w:r>
      <w:r w:rsidRPr="004D1466">
        <w:rPr>
          <w:sz w:val="20"/>
        </w:rPr>
        <w:t xml:space="preserve">operation and Development) 2020, </w:t>
      </w:r>
      <w:r w:rsidRPr="004D1466">
        <w:rPr>
          <w:i/>
          <w:iCs/>
          <w:sz w:val="20"/>
        </w:rPr>
        <w:t>TALIS 2018 Results (Volume II): Teachers and School Leaders as Valued Professionals</w:t>
      </w:r>
      <w:r w:rsidRPr="004D1466">
        <w:rPr>
          <w:sz w:val="20"/>
        </w:rPr>
        <w:t xml:space="preserve">, Paris. </w:t>
      </w:r>
    </w:p>
    <w:p w14:paraId="294D2924" w14:textId="33FCAB16" w:rsidR="004A024C" w:rsidRPr="004D1466" w:rsidRDefault="004A024C" w:rsidP="00BC267A">
      <w:pPr>
        <w:pStyle w:val="Reference"/>
        <w:spacing w:before="100"/>
        <w:rPr>
          <w:sz w:val="20"/>
        </w:rPr>
      </w:pPr>
      <w:r w:rsidRPr="004D1466">
        <w:rPr>
          <w:sz w:val="20"/>
        </w:rPr>
        <w:t>——</w:t>
      </w:r>
      <w:r w:rsidR="00114E49">
        <w:rPr>
          <w:sz w:val="20"/>
        </w:rPr>
        <w:t> </w:t>
      </w:r>
      <w:r w:rsidRPr="004D1466">
        <w:rPr>
          <w:sz w:val="20"/>
        </w:rPr>
        <w:t xml:space="preserve">2021, </w:t>
      </w:r>
      <w:r w:rsidRPr="00EA3EDE">
        <w:rPr>
          <w:i/>
          <w:iCs/>
          <w:sz w:val="20"/>
        </w:rPr>
        <w:t>Teachers</w:t>
      </w:r>
      <w:r w:rsidR="00F76369" w:rsidRPr="00EA3EDE">
        <w:rPr>
          <w:i/>
          <w:iCs/>
          <w:sz w:val="20"/>
        </w:rPr>
        <w:t>’</w:t>
      </w:r>
      <w:r w:rsidRPr="00EA3EDE">
        <w:rPr>
          <w:i/>
          <w:iCs/>
          <w:sz w:val="20"/>
        </w:rPr>
        <w:t xml:space="preserve"> Statutory Salaries</w:t>
      </w:r>
      <w:r w:rsidRPr="004D1466">
        <w:rPr>
          <w:sz w:val="20"/>
        </w:rPr>
        <w:t>, OECD Education and Training Statistics</w:t>
      </w:r>
      <w:r w:rsidR="009D35E6">
        <w:rPr>
          <w:sz w:val="20"/>
        </w:rPr>
        <w:t>,</w:t>
      </w:r>
      <w:r w:rsidRPr="004D1466">
        <w:rPr>
          <w:sz w:val="20"/>
        </w:rPr>
        <w:t xml:space="preserve"> stats.oecd.org/Index.aspx?DataSetCode=EAG_TS_STA</w:t>
      </w:r>
      <w:r w:rsidR="009D35E6">
        <w:rPr>
          <w:sz w:val="20"/>
        </w:rPr>
        <w:t xml:space="preserve"> (accessed July 16 2021)</w:t>
      </w:r>
      <w:r w:rsidR="00F76369" w:rsidRPr="004D1466">
        <w:rPr>
          <w:sz w:val="20"/>
        </w:rPr>
        <w:t>.</w:t>
      </w:r>
      <w:r w:rsidRPr="004D1466">
        <w:rPr>
          <w:sz w:val="20"/>
        </w:rPr>
        <w:t xml:space="preserve"> </w:t>
      </w:r>
    </w:p>
    <w:p w14:paraId="5465B67F" w14:textId="699E0867" w:rsidR="00431FBD" w:rsidRPr="004D1466" w:rsidRDefault="00431FBD" w:rsidP="00BC267A">
      <w:pPr>
        <w:pStyle w:val="Reference"/>
        <w:spacing w:before="100"/>
        <w:rPr>
          <w:sz w:val="20"/>
        </w:rPr>
      </w:pPr>
      <w:r w:rsidRPr="004D1466">
        <w:rPr>
          <w:sz w:val="20"/>
        </w:rPr>
        <w:t xml:space="preserve">PC (Productivity Commission) 2012, </w:t>
      </w:r>
      <w:r w:rsidRPr="004D1466">
        <w:rPr>
          <w:i/>
          <w:sz w:val="20"/>
        </w:rPr>
        <w:t>Schools Workforce</w:t>
      </w:r>
      <w:r w:rsidRPr="004D1466">
        <w:rPr>
          <w:sz w:val="20"/>
        </w:rPr>
        <w:t>, Research report, Canberra.</w:t>
      </w:r>
    </w:p>
    <w:p w14:paraId="5D170F09" w14:textId="6255CDF1" w:rsidR="00431FBD" w:rsidRPr="004D1466" w:rsidRDefault="00431FBD" w:rsidP="00BC267A">
      <w:pPr>
        <w:pStyle w:val="Reference"/>
        <w:spacing w:before="100"/>
        <w:rPr>
          <w:sz w:val="20"/>
        </w:rPr>
      </w:pPr>
      <w:r w:rsidRPr="004D1466">
        <w:rPr>
          <w:sz w:val="20"/>
        </w:rPr>
        <w:t xml:space="preserve">—— 2016, </w:t>
      </w:r>
      <w:r w:rsidRPr="004D1466">
        <w:rPr>
          <w:i/>
          <w:sz w:val="20"/>
        </w:rPr>
        <w:t>National Education Evidence Base</w:t>
      </w:r>
      <w:r w:rsidRPr="004D1466">
        <w:rPr>
          <w:sz w:val="20"/>
        </w:rPr>
        <w:t>, Report no. 80, Canberra.</w:t>
      </w:r>
    </w:p>
    <w:p w14:paraId="58A8B17F" w14:textId="25D0E910" w:rsidR="00431FBD" w:rsidRPr="004D1466" w:rsidRDefault="00431FBD" w:rsidP="00BC267A">
      <w:pPr>
        <w:pStyle w:val="Reference"/>
        <w:spacing w:before="100"/>
        <w:rPr>
          <w:sz w:val="20"/>
        </w:rPr>
      </w:pPr>
      <w:r w:rsidRPr="004D1466">
        <w:rPr>
          <w:sz w:val="20"/>
        </w:rPr>
        <w:t>—— 2017</w:t>
      </w:r>
      <w:r w:rsidR="00D00E1E" w:rsidRPr="004D1466">
        <w:rPr>
          <w:sz w:val="20"/>
        </w:rPr>
        <w:t>a</w:t>
      </w:r>
      <w:r w:rsidRPr="004D1466">
        <w:rPr>
          <w:sz w:val="20"/>
        </w:rPr>
        <w:t xml:space="preserve">, </w:t>
      </w:r>
      <w:r w:rsidRPr="004D1466">
        <w:rPr>
          <w:i/>
          <w:sz w:val="20"/>
        </w:rPr>
        <w:t>Shifting the Dial: 5 Year Productivity Review</w:t>
      </w:r>
      <w:r w:rsidRPr="004D1466">
        <w:rPr>
          <w:sz w:val="20"/>
        </w:rPr>
        <w:t>, Report no. 84, Canberra.</w:t>
      </w:r>
    </w:p>
    <w:p w14:paraId="2FA8F987" w14:textId="68A9ED41" w:rsidR="00D00E1E" w:rsidRPr="004D1466" w:rsidRDefault="00D00E1E" w:rsidP="00BC267A">
      <w:pPr>
        <w:pStyle w:val="Reference"/>
        <w:spacing w:before="100"/>
        <w:rPr>
          <w:spacing w:val="-2"/>
          <w:sz w:val="20"/>
        </w:rPr>
      </w:pPr>
      <w:r w:rsidRPr="004D1466">
        <w:rPr>
          <w:spacing w:val="-2"/>
          <w:sz w:val="20"/>
        </w:rPr>
        <w:t xml:space="preserve">—— 2017b, </w:t>
      </w:r>
      <w:r w:rsidRPr="004D1466">
        <w:rPr>
          <w:i/>
          <w:spacing w:val="-2"/>
          <w:sz w:val="20"/>
        </w:rPr>
        <w:t>Shifting the Dial: 5 Year Productivity Review</w:t>
      </w:r>
      <w:r w:rsidR="00AF38C4" w:rsidRPr="004D1466">
        <w:rPr>
          <w:i/>
          <w:spacing w:val="-2"/>
          <w:sz w:val="20"/>
        </w:rPr>
        <w:t xml:space="preserve"> Supporting Paper 7: University Education</w:t>
      </w:r>
      <w:r w:rsidRPr="004D1466">
        <w:rPr>
          <w:spacing w:val="-2"/>
          <w:sz w:val="20"/>
        </w:rPr>
        <w:t>, Canberra.</w:t>
      </w:r>
    </w:p>
    <w:p w14:paraId="2F90A3D6" w14:textId="5AEA0BF4" w:rsidR="007E25AB" w:rsidRPr="004D1466" w:rsidRDefault="00431FBD" w:rsidP="00BC267A">
      <w:pPr>
        <w:pStyle w:val="Reference"/>
        <w:spacing w:before="100"/>
        <w:rPr>
          <w:sz w:val="20"/>
        </w:rPr>
      </w:pPr>
      <w:r w:rsidRPr="004D1466">
        <w:rPr>
          <w:sz w:val="20"/>
        </w:rPr>
        <w:t xml:space="preserve">—— 2019, </w:t>
      </w:r>
      <w:r w:rsidRPr="004D1466">
        <w:rPr>
          <w:i/>
          <w:sz w:val="20"/>
        </w:rPr>
        <w:t>The Demand Driven University System: A mixed report card</w:t>
      </w:r>
      <w:r w:rsidRPr="004D1466">
        <w:rPr>
          <w:sz w:val="20"/>
        </w:rPr>
        <w:t>, Research Paper, Canberra.</w:t>
      </w:r>
    </w:p>
    <w:p w14:paraId="2847B8F9" w14:textId="7E93666D" w:rsidR="00B05ABB" w:rsidRPr="004D1466" w:rsidRDefault="00B05ABB" w:rsidP="00BC267A">
      <w:pPr>
        <w:pStyle w:val="Reference"/>
        <w:spacing w:before="100"/>
        <w:rPr>
          <w:sz w:val="20"/>
        </w:rPr>
      </w:pPr>
      <w:r w:rsidRPr="004D1466">
        <w:rPr>
          <w:sz w:val="20"/>
        </w:rPr>
        <w:t>—— 202</w:t>
      </w:r>
      <w:r w:rsidR="00D426D0" w:rsidRPr="004D1466">
        <w:rPr>
          <w:sz w:val="20"/>
        </w:rPr>
        <w:t>0</w:t>
      </w:r>
      <w:r w:rsidRPr="004D1466">
        <w:rPr>
          <w:sz w:val="20"/>
        </w:rPr>
        <w:t xml:space="preserve">, </w:t>
      </w:r>
      <w:r w:rsidR="00D426D0" w:rsidRPr="004D1466">
        <w:rPr>
          <w:i/>
          <w:iCs/>
          <w:sz w:val="20"/>
        </w:rPr>
        <w:t>National Agreement for Skills and Workforce Development Review</w:t>
      </w:r>
      <w:r w:rsidR="00D426D0" w:rsidRPr="004D1466">
        <w:rPr>
          <w:sz w:val="20"/>
        </w:rPr>
        <w:t>, Study Report, Canberra.</w:t>
      </w:r>
    </w:p>
    <w:p w14:paraId="7FA3818A" w14:textId="7190C570" w:rsidR="00E02616" w:rsidRPr="004D1466" w:rsidRDefault="00E02616" w:rsidP="00BC267A">
      <w:pPr>
        <w:pStyle w:val="Reference"/>
        <w:spacing w:before="100"/>
        <w:rPr>
          <w:sz w:val="20"/>
        </w:rPr>
      </w:pPr>
      <w:r w:rsidRPr="004D1466">
        <w:rPr>
          <w:sz w:val="20"/>
        </w:rPr>
        <w:t>Roberts</w:t>
      </w:r>
      <w:r w:rsidR="0043569F" w:rsidRPr="004D1466">
        <w:rPr>
          <w:sz w:val="20"/>
        </w:rPr>
        <w:t xml:space="preserve">, P. </w:t>
      </w:r>
      <w:r w:rsidR="00BC7405">
        <w:rPr>
          <w:sz w:val="20"/>
        </w:rPr>
        <w:t>and</w:t>
      </w:r>
      <w:r w:rsidR="0043569F" w:rsidRPr="004D1466">
        <w:rPr>
          <w:sz w:val="20"/>
        </w:rPr>
        <w:t xml:space="preserve"> </w:t>
      </w:r>
      <w:r w:rsidRPr="004D1466">
        <w:rPr>
          <w:sz w:val="20"/>
        </w:rPr>
        <w:t>Downes</w:t>
      </w:r>
      <w:r w:rsidR="0043569F" w:rsidRPr="004D1466">
        <w:rPr>
          <w:sz w:val="20"/>
        </w:rPr>
        <w:t xml:space="preserve">, N. </w:t>
      </w:r>
      <w:r w:rsidRPr="004D1466">
        <w:rPr>
          <w:sz w:val="20"/>
        </w:rPr>
        <w:t>2020</w:t>
      </w:r>
      <w:r w:rsidR="00184613">
        <w:rPr>
          <w:sz w:val="20"/>
        </w:rPr>
        <w:t>,</w:t>
      </w:r>
      <w:r w:rsidR="0043569F" w:rsidRPr="004D1466">
        <w:rPr>
          <w:sz w:val="20"/>
        </w:rPr>
        <w:t xml:space="preserve"> </w:t>
      </w:r>
      <w:r w:rsidR="0043569F" w:rsidRPr="004D1466">
        <w:rPr>
          <w:i/>
          <w:sz w:val="20"/>
        </w:rPr>
        <w:t>Incentivising the Profession: A National Mapping of Incentives to Attract and Retain Staff in Australian Non</w:t>
      </w:r>
      <w:r w:rsidR="00F76369" w:rsidRPr="004D1466">
        <w:rPr>
          <w:i/>
          <w:iCs/>
          <w:sz w:val="20"/>
        </w:rPr>
        <w:noBreakHyphen/>
      </w:r>
      <w:r w:rsidR="0043569F" w:rsidRPr="004D1466">
        <w:rPr>
          <w:i/>
          <w:sz w:val="20"/>
        </w:rPr>
        <w:t>Metropolitan Communities</w:t>
      </w:r>
      <w:r w:rsidR="00066442">
        <w:rPr>
          <w:sz w:val="20"/>
        </w:rPr>
        <w:t>,</w:t>
      </w:r>
      <w:r w:rsidR="0043569F" w:rsidRPr="004D1466">
        <w:rPr>
          <w:sz w:val="20"/>
        </w:rPr>
        <w:t xml:space="preserve"> Rural Education and Communities </w:t>
      </w:r>
      <w:r w:rsidR="003E3554">
        <w:rPr>
          <w:sz w:val="20"/>
        </w:rPr>
        <w:t>R</w:t>
      </w:r>
      <w:r w:rsidR="0043569F" w:rsidRPr="004D1466">
        <w:rPr>
          <w:sz w:val="20"/>
        </w:rPr>
        <w:t xml:space="preserve">esearch </w:t>
      </w:r>
      <w:r w:rsidR="003E3554">
        <w:rPr>
          <w:sz w:val="20"/>
        </w:rPr>
        <w:t>G</w:t>
      </w:r>
      <w:r w:rsidR="0043569F" w:rsidRPr="004D1466">
        <w:rPr>
          <w:sz w:val="20"/>
        </w:rPr>
        <w:t>roup</w:t>
      </w:r>
      <w:r w:rsidR="00066442">
        <w:rPr>
          <w:sz w:val="20"/>
        </w:rPr>
        <w:t>,</w:t>
      </w:r>
      <w:r w:rsidR="007C3DBE">
        <w:rPr>
          <w:sz w:val="20"/>
        </w:rPr>
        <w:t xml:space="preserve"> </w:t>
      </w:r>
      <w:r w:rsidR="0043569F" w:rsidRPr="004D1466">
        <w:rPr>
          <w:sz w:val="20"/>
        </w:rPr>
        <w:t>Centre for Sustainable Communities Monograph Series</w:t>
      </w:r>
      <w:r w:rsidR="00DA00C1">
        <w:rPr>
          <w:sz w:val="20"/>
        </w:rPr>
        <w:t>,</w:t>
      </w:r>
      <w:r w:rsidR="0043569F" w:rsidRPr="004D1466">
        <w:rPr>
          <w:sz w:val="20"/>
        </w:rPr>
        <w:t xml:space="preserve"> </w:t>
      </w:r>
      <w:r w:rsidR="00DA00C1">
        <w:rPr>
          <w:sz w:val="20"/>
        </w:rPr>
        <w:t>n</w:t>
      </w:r>
      <w:r w:rsidR="0043569F" w:rsidRPr="004D1466">
        <w:rPr>
          <w:sz w:val="20"/>
        </w:rPr>
        <w:t xml:space="preserve">o. 2. </w:t>
      </w:r>
    </w:p>
    <w:p w14:paraId="5CF65A9D" w14:textId="708DE5D1" w:rsidR="00382B58" w:rsidRPr="004D1466" w:rsidRDefault="00ED5BE1" w:rsidP="00BC267A">
      <w:pPr>
        <w:pStyle w:val="Reference"/>
        <w:spacing w:before="100"/>
        <w:rPr>
          <w:spacing w:val="-2"/>
          <w:sz w:val="20"/>
        </w:rPr>
      </w:pPr>
      <w:r w:rsidRPr="004D1466">
        <w:rPr>
          <w:spacing w:val="-2"/>
          <w:sz w:val="20"/>
        </w:rPr>
        <w:t xml:space="preserve">Sasaki, R., Goff, W., Dowsett, A., Paroissien, D., Matthies, J., Di </w:t>
      </w:r>
      <w:r w:rsidR="00944A65">
        <w:rPr>
          <w:spacing w:val="-2"/>
          <w:sz w:val="20"/>
        </w:rPr>
        <w:t>I</w:t>
      </w:r>
      <w:r w:rsidRPr="004D1466">
        <w:rPr>
          <w:spacing w:val="-2"/>
          <w:sz w:val="20"/>
        </w:rPr>
        <w:t xml:space="preserve">orio, C., Montey, S., Rowe, S. </w:t>
      </w:r>
      <w:r w:rsidR="00BC7405">
        <w:rPr>
          <w:spacing w:val="-2"/>
          <w:sz w:val="20"/>
        </w:rPr>
        <w:t>and</w:t>
      </w:r>
      <w:r w:rsidRPr="004D1466">
        <w:rPr>
          <w:spacing w:val="-2"/>
          <w:sz w:val="20"/>
        </w:rPr>
        <w:t xml:space="preserve"> Puddy, G. 2020, ‘The </w:t>
      </w:r>
      <w:r w:rsidR="00503A56">
        <w:rPr>
          <w:spacing w:val="-2"/>
          <w:sz w:val="20"/>
        </w:rPr>
        <w:t>p</w:t>
      </w:r>
      <w:r w:rsidRPr="004D1466">
        <w:rPr>
          <w:spacing w:val="-2"/>
          <w:sz w:val="20"/>
        </w:rPr>
        <w:t xml:space="preserve">racticum </w:t>
      </w:r>
      <w:r w:rsidR="00503A56">
        <w:rPr>
          <w:spacing w:val="-2"/>
          <w:sz w:val="20"/>
        </w:rPr>
        <w:t>e</w:t>
      </w:r>
      <w:r w:rsidRPr="004D1466">
        <w:rPr>
          <w:spacing w:val="-2"/>
          <w:sz w:val="20"/>
        </w:rPr>
        <w:t>xperience during C</w:t>
      </w:r>
      <w:r w:rsidR="00503A56">
        <w:rPr>
          <w:spacing w:val="-2"/>
          <w:sz w:val="20"/>
        </w:rPr>
        <w:t>OVID</w:t>
      </w:r>
      <w:r w:rsidR="00F76369" w:rsidRPr="004D1466">
        <w:rPr>
          <w:spacing w:val="-2"/>
          <w:sz w:val="20"/>
        </w:rPr>
        <w:noBreakHyphen/>
      </w:r>
      <w:r w:rsidRPr="004D1466">
        <w:rPr>
          <w:spacing w:val="-2"/>
          <w:sz w:val="20"/>
        </w:rPr>
        <w:t>19</w:t>
      </w:r>
      <w:r w:rsidR="00503A56">
        <w:rPr>
          <w:spacing w:val="-2"/>
          <w:sz w:val="20"/>
        </w:rPr>
        <w:t>:</w:t>
      </w:r>
      <w:r w:rsidRPr="004D1466">
        <w:rPr>
          <w:spacing w:val="-2"/>
          <w:sz w:val="20"/>
        </w:rPr>
        <w:t xml:space="preserve"> Supporting </w:t>
      </w:r>
      <w:r w:rsidR="00503A56">
        <w:rPr>
          <w:spacing w:val="-2"/>
          <w:sz w:val="20"/>
        </w:rPr>
        <w:t>p</w:t>
      </w:r>
      <w:r w:rsidRPr="004D1466">
        <w:rPr>
          <w:spacing w:val="-2"/>
          <w:sz w:val="20"/>
        </w:rPr>
        <w:t>re</w:t>
      </w:r>
      <w:r w:rsidR="00F76369" w:rsidRPr="004D1466">
        <w:rPr>
          <w:spacing w:val="-2"/>
          <w:sz w:val="20"/>
        </w:rPr>
        <w:noBreakHyphen/>
      </w:r>
      <w:r w:rsidR="00503A56">
        <w:rPr>
          <w:spacing w:val="-2"/>
          <w:sz w:val="20"/>
        </w:rPr>
        <w:t>s</w:t>
      </w:r>
      <w:r w:rsidRPr="004D1466">
        <w:rPr>
          <w:spacing w:val="-2"/>
          <w:sz w:val="20"/>
        </w:rPr>
        <w:t xml:space="preserve">ervice </w:t>
      </w:r>
      <w:r w:rsidR="00503A56">
        <w:rPr>
          <w:spacing w:val="-2"/>
          <w:sz w:val="20"/>
        </w:rPr>
        <w:t>t</w:t>
      </w:r>
      <w:r w:rsidRPr="004D1466">
        <w:rPr>
          <w:spacing w:val="-2"/>
          <w:sz w:val="20"/>
        </w:rPr>
        <w:t xml:space="preserve">eachers </w:t>
      </w:r>
      <w:r w:rsidR="00503A56">
        <w:rPr>
          <w:spacing w:val="-2"/>
          <w:sz w:val="20"/>
        </w:rPr>
        <w:t>p</w:t>
      </w:r>
      <w:r w:rsidRPr="004D1466">
        <w:rPr>
          <w:spacing w:val="-2"/>
          <w:sz w:val="20"/>
        </w:rPr>
        <w:t xml:space="preserve">racticum </w:t>
      </w:r>
      <w:r w:rsidR="00503A56">
        <w:rPr>
          <w:spacing w:val="-2"/>
          <w:sz w:val="20"/>
        </w:rPr>
        <w:t>e</w:t>
      </w:r>
      <w:r w:rsidRPr="004D1466">
        <w:rPr>
          <w:spacing w:val="-2"/>
          <w:sz w:val="20"/>
        </w:rPr>
        <w:t xml:space="preserve">xperience through a </w:t>
      </w:r>
      <w:r w:rsidR="00503A56">
        <w:rPr>
          <w:spacing w:val="-2"/>
          <w:sz w:val="20"/>
        </w:rPr>
        <w:t>s</w:t>
      </w:r>
      <w:r w:rsidRPr="004D1466">
        <w:rPr>
          <w:spacing w:val="-2"/>
          <w:sz w:val="20"/>
        </w:rPr>
        <w:t xml:space="preserve">imulated </w:t>
      </w:r>
      <w:r w:rsidR="00503A56">
        <w:rPr>
          <w:spacing w:val="-2"/>
          <w:sz w:val="20"/>
        </w:rPr>
        <w:t>c</w:t>
      </w:r>
      <w:r w:rsidRPr="004D1466">
        <w:rPr>
          <w:spacing w:val="-2"/>
          <w:sz w:val="20"/>
        </w:rPr>
        <w:t xml:space="preserve">lassroom’, </w:t>
      </w:r>
      <w:r w:rsidRPr="004D1466">
        <w:rPr>
          <w:i/>
          <w:iCs/>
          <w:spacing w:val="-2"/>
          <w:sz w:val="20"/>
        </w:rPr>
        <w:t>Journal of Technology and Teacher Education</w:t>
      </w:r>
      <w:r w:rsidRPr="004D1466">
        <w:rPr>
          <w:spacing w:val="-2"/>
          <w:sz w:val="20"/>
        </w:rPr>
        <w:t xml:space="preserve">, vol. 28, </w:t>
      </w:r>
      <w:r w:rsidR="0021001F">
        <w:rPr>
          <w:spacing w:val="-2"/>
          <w:sz w:val="20"/>
        </w:rPr>
        <w:t>no</w:t>
      </w:r>
      <w:r w:rsidRPr="004D1466">
        <w:rPr>
          <w:spacing w:val="-2"/>
          <w:sz w:val="20"/>
        </w:rPr>
        <w:t>. 2, pp. 329</w:t>
      </w:r>
      <w:r w:rsidR="00F76369" w:rsidRPr="004D1466">
        <w:rPr>
          <w:spacing w:val="-2"/>
          <w:sz w:val="20"/>
        </w:rPr>
        <w:t>–</w:t>
      </w:r>
      <w:r w:rsidRPr="004D1466">
        <w:rPr>
          <w:spacing w:val="-2"/>
          <w:sz w:val="20"/>
        </w:rPr>
        <w:t xml:space="preserve">339. </w:t>
      </w:r>
    </w:p>
    <w:p w14:paraId="0A2AA242" w14:textId="7E1DF21A" w:rsidR="00297D6D" w:rsidRPr="004D1466" w:rsidRDefault="00297D6D" w:rsidP="00BC267A">
      <w:pPr>
        <w:pStyle w:val="Reference"/>
        <w:spacing w:before="100"/>
        <w:rPr>
          <w:sz w:val="20"/>
        </w:rPr>
      </w:pPr>
      <w:r w:rsidRPr="004D1466">
        <w:rPr>
          <w:sz w:val="20"/>
        </w:rPr>
        <w:t>Shine, K. 2015</w:t>
      </w:r>
      <w:r w:rsidR="00C376AB" w:rsidRPr="004D1466">
        <w:rPr>
          <w:sz w:val="20"/>
        </w:rPr>
        <w:t>,</w:t>
      </w:r>
      <w:r w:rsidRPr="004D1466">
        <w:rPr>
          <w:sz w:val="20"/>
        </w:rPr>
        <w:t xml:space="preserve"> </w:t>
      </w:r>
      <w:r w:rsidR="00CE462D" w:rsidRPr="004D1466">
        <w:rPr>
          <w:sz w:val="20"/>
        </w:rPr>
        <w:t>‘</w:t>
      </w:r>
      <w:r w:rsidRPr="004D1466">
        <w:rPr>
          <w:sz w:val="20"/>
        </w:rPr>
        <w:t xml:space="preserve">Reporting the </w:t>
      </w:r>
      <w:r w:rsidR="00F76369" w:rsidRPr="004D1466">
        <w:rPr>
          <w:sz w:val="20"/>
        </w:rPr>
        <w:t>‘</w:t>
      </w:r>
      <w:r w:rsidRPr="004D1466">
        <w:rPr>
          <w:sz w:val="20"/>
        </w:rPr>
        <w:t>exodus</w:t>
      </w:r>
      <w:r w:rsidR="00F76369" w:rsidRPr="004D1466">
        <w:rPr>
          <w:sz w:val="20"/>
        </w:rPr>
        <w:t>’</w:t>
      </w:r>
      <w:r w:rsidRPr="004D1466">
        <w:rPr>
          <w:sz w:val="20"/>
        </w:rPr>
        <w:t>: News coverage of teacher shortage in Australian newspapers</w:t>
      </w:r>
      <w:r w:rsidR="00390EA5" w:rsidRPr="004D1466">
        <w:rPr>
          <w:sz w:val="20"/>
        </w:rPr>
        <w:t>’</w:t>
      </w:r>
      <w:r w:rsidR="00CD6BE9" w:rsidRPr="004D1466">
        <w:rPr>
          <w:sz w:val="20"/>
        </w:rPr>
        <w:t>,</w:t>
      </w:r>
      <w:r w:rsidRPr="004D1466">
        <w:rPr>
          <w:sz w:val="20"/>
        </w:rPr>
        <w:t xml:space="preserve"> </w:t>
      </w:r>
      <w:r w:rsidRPr="004D1466">
        <w:rPr>
          <w:i/>
          <w:sz w:val="20"/>
        </w:rPr>
        <w:t>Issues in Educational Research</w:t>
      </w:r>
      <w:r w:rsidRPr="004D1466">
        <w:rPr>
          <w:sz w:val="20"/>
        </w:rPr>
        <w:t xml:space="preserve">, </w:t>
      </w:r>
      <w:r w:rsidR="00536B04" w:rsidRPr="004D1466">
        <w:rPr>
          <w:sz w:val="20"/>
        </w:rPr>
        <w:t>vol. </w:t>
      </w:r>
      <w:r w:rsidRPr="004D1466">
        <w:rPr>
          <w:sz w:val="20"/>
        </w:rPr>
        <w:t>25</w:t>
      </w:r>
      <w:r w:rsidR="00536B04" w:rsidRPr="004D1466">
        <w:rPr>
          <w:sz w:val="20"/>
        </w:rPr>
        <w:t>, no. </w:t>
      </w:r>
      <w:r w:rsidRPr="004D1466">
        <w:rPr>
          <w:sz w:val="20"/>
        </w:rPr>
        <w:t>4, pp.</w:t>
      </w:r>
      <w:r w:rsidR="00536B04" w:rsidRPr="004D1466">
        <w:rPr>
          <w:sz w:val="20"/>
        </w:rPr>
        <w:t> </w:t>
      </w:r>
      <w:r w:rsidRPr="004D1466">
        <w:rPr>
          <w:sz w:val="20"/>
        </w:rPr>
        <w:t>501</w:t>
      </w:r>
      <w:r w:rsidR="00F76369" w:rsidRPr="004D1466">
        <w:rPr>
          <w:sz w:val="20"/>
        </w:rPr>
        <w:t>–</w:t>
      </w:r>
      <w:r w:rsidRPr="004D1466">
        <w:rPr>
          <w:sz w:val="20"/>
        </w:rPr>
        <w:t>516.</w:t>
      </w:r>
      <w:r w:rsidR="002F4858" w:rsidRPr="004D1466">
        <w:rPr>
          <w:sz w:val="20"/>
        </w:rPr>
        <w:t xml:space="preserve"> </w:t>
      </w:r>
    </w:p>
    <w:p w14:paraId="53D7D97D" w14:textId="31682581" w:rsidR="00A46A72" w:rsidRPr="004D1466" w:rsidRDefault="00055C07" w:rsidP="00BC267A">
      <w:pPr>
        <w:pStyle w:val="Reference"/>
        <w:spacing w:before="100"/>
        <w:rPr>
          <w:sz w:val="20"/>
        </w:rPr>
      </w:pPr>
      <w:r w:rsidRPr="004D1466">
        <w:rPr>
          <w:sz w:val="20"/>
        </w:rPr>
        <w:t>Williamson</w:t>
      </w:r>
      <w:r w:rsidR="00881BD3" w:rsidRPr="004D1466">
        <w:rPr>
          <w:sz w:val="20"/>
        </w:rPr>
        <w:t>,</w:t>
      </w:r>
      <w:r w:rsidRPr="004D1466">
        <w:rPr>
          <w:sz w:val="20"/>
        </w:rPr>
        <w:t xml:space="preserve"> </w:t>
      </w:r>
      <w:r w:rsidR="00241C23" w:rsidRPr="004D1466">
        <w:rPr>
          <w:sz w:val="20"/>
        </w:rPr>
        <w:t xml:space="preserve">J., </w:t>
      </w:r>
      <w:r w:rsidR="00881BD3" w:rsidRPr="004D1466">
        <w:rPr>
          <w:sz w:val="20"/>
        </w:rPr>
        <w:t xml:space="preserve">Gardner, C., </w:t>
      </w:r>
      <w:r w:rsidR="00AF5460" w:rsidRPr="004D1466">
        <w:rPr>
          <w:sz w:val="20"/>
        </w:rPr>
        <w:t xml:space="preserve">Knipe, S., </w:t>
      </w:r>
      <w:r w:rsidR="00812968" w:rsidRPr="004D1466">
        <w:rPr>
          <w:sz w:val="20"/>
        </w:rPr>
        <w:t>Feh</w:t>
      </w:r>
      <w:r w:rsidR="008D26F3" w:rsidRPr="004D1466">
        <w:rPr>
          <w:sz w:val="20"/>
        </w:rPr>
        <w:t xml:space="preserve">ring, </w:t>
      </w:r>
      <w:r w:rsidR="004312D2" w:rsidRPr="004D1466">
        <w:rPr>
          <w:sz w:val="20"/>
        </w:rPr>
        <w:t xml:space="preserve">H., Szadura, A. </w:t>
      </w:r>
      <w:r w:rsidR="00601685">
        <w:rPr>
          <w:sz w:val="20"/>
        </w:rPr>
        <w:t>and</w:t>
      </w:r>
      <w:r w:rsidR="004312D2" w:rsidRPr="004D1466">
        <w:rPr>
          <w:sz w:val="20"/>
        </w:rPr>
        <w:t xml:space="preserve"> </w:t>
      </w:r>
      <w:r w:rsidR="005F7906" w:rsidRPr="004D1466">
        <w:rPr>
          <w:sz w:val="20"/>
        </w:rPr>
        <w:t>Falkiner</w:t>
      </w:r>
      <w:r w:rsidR="00F76369" w:rsidRPr="004D1466">
        <w:rPr>
          <w:sz w:val="20"/>
        </w:rPr>
        <w:noBreakHyphen/>
      </w:r>
      <w:r w:rsidR="005F7906" w:rsidRPr="004D1466">
        <w:rPr>
          <w:sz w:val="20"/>
        </w:rPr>
        <w:t>Rose, L.</w:t>
      </w:r>
      <w:r w:rsidRPr="004D1466">
        <w:rPr>
          <w:sz w:val="20"/>
        </w:rPr>
        <w:t xml:space="preserve"> 2017</w:t>
      </w:r>
      <w:r w:rsidR="005F7906" w:rsidRPr="004D1466">
        <w:rPr>
          <w:sz w:val="20"/>
        </w:rPr>
        <w:t xml:space="preserve">, </w:t>
      </w:r>
      <w:r w:rsidR="005F7906" w:rsidRPr="004D1466">
        <w:rPr>
          <w:i/>
          <w:sz w:val="20"/>
        </w:rPr>
        <w:t>C</w:t>
      </w:r>
      <w:r w:rsidR="00311C22" w:rsidRPr="004D1466">
        <w:rPr>
          <w:i/>
          <w:sz w:val="20"/>
        </w:rPr>
        <w:t>hoosing Our Best: Innovation in Teacher Education Selection</w:t>
      </w:r>
      <w:r w:rsidR="005F7906" w:rsidRPr="004D1466">
        <w:rPr>
          <w:sz w:val="20"/>
        </w:rPr>
        <w:t>, Australian Council of Deans of Education</w:t>
      </w:r>
      <w:r w:rsidR="00717232" w:rsidRPr="004D1466">
        <w:rPr>
          <w:sz w:val="20"/>
        </w:rPr>
        <w:t>.</w:t>
      </w:r>
      <w:r w:rsidR="00B86247" w:rsidRPr="004D1466">
        <w:rPr>
          <w:sz w:val="20"/>
        </w:rPr>
        <w:t xml:space="preserve"> </w:t>
      </w:r>
    </w:p>
    <w:p w14:paraId="68FEDB49" w14:textId="0147A1AB" w:rsidR="00CC68CD" w:rsidRPr="004D1466" w:rsidRDefault="004A024C" w:rsidP="00BC267A">
      <w:pPr>
        <w:pStyle w:val="Reference"/>
        <w:spacing w:before="100"/>
        <w:rPr>
          <w:sz w:val="20"/>
        </w:rPr>
      </w:pPr>
      <w:r w:rsidRPr="004D1466">
        <w:rPr>
          <w:sz w:val="20"/>
        </w:rPr>
        <w:t xml:space="preserve">Yeigh, T. and Lynch, D. 2017, ‘Reforming initial teacher education: A call for innovation’, </w:t>
      </w:r>
      <w:r w:rsidRPr="004D1466">
        <w:rPr>
          <w:i/>
          <w:sz w:val="20"/>
        </w:rPr>
        <w:t>Australian Journal of Teacher Education</w:t>
      </w:r>
      <w:r w:rsidRPr="004D1466">
        <w:rPr>
          <w:sz w:val="20"/>
        </w:rPr>
        <w:t>, vol. 42, no. 12</w:t>
      </w:r>
      <w:r w:rsidR="00A05B9D" w:rsidRPr="004D1466">
        <w:rPr>
          <w:sz w:val="20"/>
        </w:rPr>
        <w:t>, pp. 112–127</w:t>
      </w:r>
      <w:r w:rsidRPr="004D1466">
        <w:rPr>
          <w:sz w:val="20"/>
        </w:rPr>
        <w:t xml:space="preserve">. </w:t>
      </w:r>
    </w:p>
    <w:sectPr w:rsidR="00CC68CD" w:rsidRPr="004D1466" w:rsidSect="00D36618">
      <w:type w:val="oddPage"/>
      <w:pgSz w:w="11907" w:h="16840" w:code="9"/>
      <w:pgMar w:top="1985"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7644" w14:textId="77777777" w:rsidR="007D7BB1" w:rsidRDefault="007D7BB1">
      <w:r>
        <w:separator/>
      </w:r>
    </w:p>
  </w:endnote>
  <w:endnote w:type="continuationSeparator" w:id="0">
    <w:p w14:paraId="6A0D2D55" w14:textId="77777777" w:rsidR="007D7BB1" w:rsidRDefault="007D7BB1">
      <w:r>
        <w:continuationSeparator/>
      </w:r>
    </w:p>
  </w:endnote>
  <w:endnote w:type="continuationNotice" w:id="1">
    <w:p w14:paraId="5653DD72" w14:textId="77777777" w:rsidR="007D7BB1" w:rsidRDefault="007D7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047F107E" w14:textId="77777777" w:rsidTr="005F48ED">
      <w:trPr>
        <w:trHeight w:hRule="exact" w:val="567"/>
      </w:trPr>
      <w:tc>
        <w:tcPr>
          <w:tcW w:w="510" w:type="dxa"/>
        </w:tcPr>
        <w:p w14:paraId="40E708A1" w14:textId="77777777"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E0D8E">
            <w:rPr>
              <w:rStyle w:val="PageNumber"/>
              <w:caps w:val="0"/>
              <w:noProof/>
            </w:rPr>
            <w:t>2</w:t>
          </w:r>
          <w:r w:rsidRPr="00A24443">
            <w:rPr>
              <w:rStyle w:val="PageNumber"/>
              <w:caps w:val="0"/>
            </w:rPr>
            <w:fldChar w:fldCharType="end"/>
          </w:r>
        </w:p>
      </w:tc>
      <w:tc>
        <w:tcPr>
          <w:tcW w:w="7767" w:type="dxa"/>
        </w:tcPr>
        <w:p w14:paraId="7A42F1AF" w14:textId="60C4476C"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AB5436">
            <w:rPr>
              <w:rFonts w:cs="Arial"/>
            </w:rPr>
            <w:t>Report</w:t>
          </w:r>
          <w:r w:rsidRPr="00BA5B14">
            <w:rPr>
              <w:rFonts w:cs="Arial"/>
            </w:rPr>
            <w:fldChar w:fldCharType="end"/>
          </w:r>
          <w:bookmarkStart w:id="1" w:name="DraftReportEven"/>
          <w:bookmarkEnd w:id="1"/>
        </w:p>
      </w:tc>
      <w:tc>
        <w:tcPr>
          <w:tcW w:w="510" w:type="dxa"/>
        </w:tcPr>
        <w:p w14:paraId="753EC7AC" w14:textId="77777777" w:rsidR="00772909" w:rsidRDefault="00772909" w:rsidP="0019293B">
          <w:pPr>
            <w:pStyle w:val="Footer"/>
          </w:pPr>
        </w:p>
      </w:tc>
    </w:tr>
  </w:tbl>
  <w:p w14:paraId="19A860C2" w14:textId="77777777" w:rsidR="00772909" w:rsidRDefault="00772909"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506B6CC2" w14:textId="77777777" w:rsidTr="005F48ED">
      <w:trPr>
        <w:trHeight w:hRule="exact" w:val="567"/>
      </w:trPr>
      <w:tc>
        <w:tcPr>
          <w:tcW w:w="510" w:type="dxa"/>
        </w:tcPr>
        <w:p w14:paraId="400B7AAF" w14:textId="77777777" w:rsidR="00772909" w:rsidRDefault="00772909">
          <w:pPr>
            <w:pStyle w:val="Footer"/>
            <w:ind w:right="360" w:firstLine="360"/>
          </w:pPr>
        </w:p>
      </w:tc>
      <w:tc>
        <w:tcPr>
          <w:tcW w:w="7767" w:type="dxa"/>
        </w:tcPr>
        <w:p w14:paraId="136E69C3" w14:textId="7EEF261E" w:rsidR="00772909" w:rsidRPr="00BA5B14" w:rsidRDefault="007D202F" w:rsidP="0013739A">
          <w:pPr>
            <w:pStyle w:val="Footer"/>
            <w:jc w:val="right"/>
            <w:rPr>
              <w:rFonts w:cs="Arial"/>
            </w:rPr>
          </w:pPr>
          <w:r>
            <w:rPr>
              <w:rFonts w:cs="Arial"/>
            </w:rPr>
            <w:t xml:space="preserve">Submission to the </w:t>
          </w:r>
          <w:r w:rsidR="00DF1EBB">
            <w:rPr>
              <w:rFonts w:cs="Arial"/>
            </w:rPr>
            <w:t xml:space="preserve">QITE </w:t>
          </w:r>
          <w:r>
            <w:rPr>
              <w:rFonts w:cs="Arial"/>
            </w:rPr>
            <w:t>Review</w:t>
          </w:r>
          <w:bookmarkStart w:id="2" w:name="DraftReportOdd"/>
          <w:bookmarkEnd w:id="2"/>
        </w:p>
      </w:tc>
      <w:tc>
        <w:tcPr>
          <w:tcW w:w="510" w:type="dxa"/>
        </w:tcPr>
        <w:p w14:paraId="0DDC1DAF" w14:textId="77777777"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E0D8E">
            <w:rPr>
              <w:rStyle w:val="PageNumber"/>
              <w:caps w:val="0"/>
              <w:noProof/>
            </w:rPr>
            <w:t>1</w:t>
          </w:r>
          <w:r w:rsidRPr="00A24443">
            <w:rPr>
              <w:rStyle w:val="PageNumber"/>
              <w:caps w:val="0"/>
            </w:rPr>
            <w:fldChar w:fldCharType="end"/>
          </w:r>
        </w:p>
      </w:tc>
    </w:tr>
  </w:tbl>
  <w:p w14:paraId="4438326E" w14:textId="77777777" w:rsidR="00772909" w:rsidRDefault="0077290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0753" w14:textId="77777777" w:rsidR="007D7BB1" w:rsidRDefault="007D7BB1">
      <w:r>
        <w:separator/>
      </w:r>
    </w:p>
  </w:footnote>
  <w:footnote w:type="continuationSeparator" w:id="0">
    <w:p w14:paraId="591216DF" w14:textId="77777777" w:rsidR="007D7BB1" w:rsidRDefault="007D7BB1">
      <w:r>
        <w:continuationSeparator/>
      </w:r>
    </w:p>
  </w:footnote>
  <w:footnote w:type="continuationNotice" w:id="1">
    <w:p w14:paraId="0EFAFA8C" w14:textId="77777777" w:rsidR="007D7BB1" w:rsidRDefault="007D7BB1"/>
  </w:footnote>
  <w:footnote w:id="2">
    <w:p w14:paraId="2613EA58" w14:textId="4135B119" w:rsidR="006910B4" w:rsidRDefault="006910B4" w:rsidP="00BC267A">
      <w:pPr>
        <w:pStyle w:val="FootnoteText"/>
        <w:jc w:val="left"/>
      </w:pPr>
      <w:r>
        <w:rPr>
          <w:rStyle w:val="FootnoteReference"/>
        </w:rPr>
        <w:footnoteRef/>
      </w:r>
      <w:r>
        <w:tab/>
        <w:t xml:space="preserve">See </w:t>
      </w:r>
      <w:r w:rsidRPr="006910B4">
        <w:t>www.pc.gov.au/research/ongoing/report-on-government-services/2021/child-care-education-and-training/school-education</w:t>
      </w:r>
      <w:r>
        <w:t>.</w:t>
      </w:r>
    </w:p>
  </w:footnote>
  <w:footnote w:id="3">
    <w:p w14:paraId="4D12191C" w14:textId="40EB51D2" w:rsidR="00191459" w:rsidRDefault="00191459">
      <w:pPr>
        <w:pStyle w:val="FootnoteText"/>
      </w:pPr>
      <w:r>
        <w:rPr>
          <w:rStyle w:val="FootnoteReference"/>
        </w:rPr>
        <w:footnoteRef/>
      </w:r>
      <w:r>
        <w:tab/>
      </w:r>
      <w:r w:rsidR="00A3244F">
        <w:t xml:space="preserve">The Commission is currently undertaking analysis of productivity in Australia’s school system, though the results may not be available prior to the completion of the </w:t>
      </w:r>
      <w:r w:rsidR="00F71612">
        <w:t>Q</w:t>
      </w:r>
      <w:r w:rsidR="00A3244F">
        <w:t xml:space="preserve">ITE </w:t>
      </w:r>
      <w:r w:rsidR="00F71612">
        <w:t>R</w:t>
      </w:r>
      <w:r w:rsidR="00A3244F">
        <w:t>eview.</w:t>
      </w:r>
    </w:p>
  </w:footnote>
  <w:footnote w:id="4">
    <w:p w14:paraId="3F7D99F8" w14:textId="1D645790" w:rsidR="000D0D4B" w:rsidRDefault="000D0D4B" w:rsidP="000D0D4B">
      <w:pPr>
        <w:pStyle w:val="FootnoteText"/>
      </w:pPr>
      <w:r>
        <w:rPr>
          <w:rStyle w:val="FootnoteReference"/>
        </w:rPr>
        <w:footnoteRef/>
      </w:r>
      <w:r>
        <w:tab/>
        <w:t xml:space="preserve">In 2012, the Commission found the effect of class size on student outcomes to be ambiguous. Smaller class sizes may benefit early primary school students, students with specific learning difficulties and students from disadvantaged backgrounds, as well as improve teacher quality (through reduced workloads). But reductions in class size are an expensive policy approach and may only deliver minor improvements (at best) to student performance (PC 2012, p. 204). </w:t>
      </w:r>
    </w:p>
  </w:footnote>
  <w:footnote w:id="5">
    <w:p w14:paraId="7F0E3DDB" w14:textId="77777777" w:rsidR="00A035B0" w:rsidRDefault="00A035B0" w:rsidP="00A035B0">
      <w:pPr>
        <w:pStyle w:val="FootnoteText"/>
      </w:pPr>
      <w:r>
        <w:rPr>
          <w:rStyle w:val="FootnoteReference"/>
        </w:rPr>
        <w:footnoteRef/>
      </w:r>
      <w:r>
        <w:tab/>
        <w:t xml:space="preserve">In 2012, the Commission </w:t>
      </w:r>
      <w:r w:rsidRPr="00C90366">
        <w:t xml:space="preserve">recommended </w:t>
      </w:r>
      <w:r>
        <w:t>that the two-year</w:t>
      </w:r>
      <w:r w:rsidRPr="00C90366">
        <w:t xml:space="preserve"> </w:t>
      </w:r>
      <w:r>
        <w:t>requirement</w:t>
      </w:r>
      <w:r w:rsidRPr="00C90366">
        <w:t xml:space="preserve"> </w:t>
      </w:r>
      <w:r>
        <w:t xml:space="preserve">should </w:t>
      </w:r>
      <w:r w:rsidRPr="00C90366">
        <w:t xml:space="preserve">be optional, rather than mandatory, </w:t>
      </w:r>
      <w:r>
        <w:t>and</w:t>
      </w:r>
      <w:r w:rsidRPr="00C90366">
        <w:t xml:space="preserve"> that if the two-year mandatory requirement was maintained</w:t>
      </w:r>
      <w:r>
        <w:t>,</w:t>
      </w:r>
      <w:r w:rsidRPr="00C90366">
        <w:t xml:space="preserve"> that governments </w:t>
      </w:r>
      <w:r>
        <w:t xml:space="preserve">should </w:t>
      </w:r>
      <w:r w:rsidRPr="00C90366">
        <w:t>implement measures to reduce potential teacher shortages (through greater use of employment-based pathways or additional practical experience)</w:t>
      </w:r>
      <w:r>
        <w:t xml:space="preserve"> (PC 2012, p. 147-153)</w:t>
      </w:r>
      <w:r w:rsidRPr="00C90366">
        <w:t>.</w:t>
      </w:r>
    </w:p>
  </w:footnote>
  <w:footnote w:id="6">
    <w:p w14:paraId="207FFB9B" w14:textId="232D28A0" w:rsidR="000D0D4B" w:rsidRDefault="000D0D4B" w:rsidP="000D0D4B">
      <w:pPr>
        <w:pStyle w:val="FootnoteText"/>
      </w:pPr>
      <w:r>
        <w:rPr>
          <w:rStyle w:val="FootnoteReference"/>
        </w:rPr>
        <w:footnoteRef/>
      </w:r>
      <w:r>
        <w:tab/>
        <w:t>Although wages for teachers in the Catholic and independent school sector are freer to move with demand, the Commission has previous found that they ‘usually mirror the rates … applying to government teachers’ (PC 2012, p. 111). In part, this may be because 64 per cent of all teaching staff are employed in government schools (ABS 202</w:t>
      </w:r>
      <w:r w:rsidR="000B3C05">
        <w:t>1</w:t>
      </w:r>
      <w:r w:rsidR="006B202B">
        <w:t>, table 50a</w:t>
      </w:r>
      <w:r>
        <w:t>), creating a pool of potential replacements that limits the bargaining power of Catholic and independent school teachers, as well as generating a strong anchoring effect for their wages.</w:t>
      </w:r>
    </w:p>
  </w:footnote>
  <w:footnote w:id="7">
    <w:p w14:paraId="461B136B" w14:textId="0255483D" w:rsidR="002F020A" w:rsidRDefault="002F020A">
      <w:pPr>
        <w:pStyle w:val="FootnoteText"/>
      </w:pPr>
      <w:r>
        <w:rPr>
          <w:rStyle w:val="FootnoteReference"/>
        </w:rPr>
        <w:footnoteRef/>
      </w:r>
      <w:r>
        <w:tab/>
      </w:r>
      <w:r w:rsidR="00C31624">
        <w:t xml:space="preserve">To limit the fiscal </w:t>
      </w:r>
      <w:r w:rsidR="00B70C0D">
        <w:t>cost</w:t>
      </w:r>
      <w:r w:rsidR="00C31624">
        <w:t xml:space="preserve"> </w:t>
      </w:r>
      <w:r w:rsidR="00B6714A">
        <w:t>of improv</w:t>
      </w:r>
      <w:r w:rsidR="00F71673">
        <w:t>ing teacher</w:t>
      </w:r>
      <w:r w:rsidR="00B6714A">
        <w:t xml:space="preserve"> pay, it may be </w:t>
      </w:r>
      <w:r w:rsidR="00D2395C">
        <w:t xml:space="preserve">sensible to only target the </w:t>
      </w:r>
      <w:r w:rsidR="00B96B52">
        <w:t>specific roles</w:t>
      </w:r>
      <w:r w:rsidR="00D2395C">
        <w:t xml:space="preserve"> </w:t>
      </w:r>
      <w:r w:rsidR="00B96B52">
        <w:t>that are hardest to fill</w:t>
      </w:r>
      <w:r w:rsidR="00B70C0D">
        <w:t xml:space="preserve">. </w:t>
      </w:r>
      <w:r w:rsidR="00325E47">
        <w:t xml:space="preserve">Back of the envelope Commission estimates </w:t>
      </w:r>
      <w:r w:rsidR="00430621">
        <w:t>suggest</w:t>
      </w:r>
      <w:r w:rsidR="00551A8B">
        <w:t xml:space="preserve"> that in 2016,</w:t>
      </w:r>
      <w:r w:rsidR="00325E47">
        <w:t xml:space="preserve"> increasing all </w:t>
      </w:r>
      <w:r w:rsidR="00192F5C">
        <w:t xml:space="preserve">school </w:t>
      </w:r>
      <w:r w:rsidR="00325E47">
        <w:t xml:space="preserve">teachers’ income by 10 per cent </w:t>
      </w:r>
      <w:r w:rsidR="004D4C7F">
        <w:t>would cost between $3.</w:t>
      </w:r>
      <w:r w:rsidR="008669CB">
        <w:t>3</w:t>
      </w:r>
      <w:r w:rsidR="004D4C7F">
        <w:t>–$4.</w:t>
      </w:r>
      <w:r w:rsidR="00192F5C">
        <w:t>1</w:t>
      </w:r>
      <w:r w:rsidR="004D4C7F">
        <w:t> billion</w:t>
      </w:r>
      <w:r w:rsidR="00DA4F43">
        <w:t xml:space="preserve"> per year</w:t>
      </w:r>
      <w:r w:rsidR="00C012ED">
        <w:t xml:space="preserve"> (</w:t>
      </w:r>
      <w:r w:rsidR="00163468">
        <w:t xml:space="preserve">Commission analysis of </w:t>
      </w:r>
      <w:r w:rsidR="00E6496A">
        <w:t xml:space="preserve">2016 </w:t>
      </w:r>
      <w:r w:rsidR="00551A8B">
        <w:t xml:space="preserve">Australian Census </w:t>
      </w:r>
      <w:r w:rsidR="00501F30">
        <w:t>d</w:t>
      </w:r>
      <w:r w:rsidR="00551A8B">
        <w:t>ata).</w:t>
      </w:r>
    </w:p>
  </w:footnote>
  <w:footnote w:id="8">
    <w:p w14:paraId="55816545" w14:textId="2A509108" w:rsidR="00D567C4" w:rsidRDefault="00D567C4">
      <w:pPr>
        <w:pStyle w:val="FootnoteText"/>
      </w:pPr>
      <w:r>
        <w:rPr>
          <w:rStyle w:val="FootnoteReference"/>
        </w:rPr>
        <w:footnoteRef/>
      </w:r>
      <w:r>
        <w:tab/>
        <w:t>Somewhat paradoxically, nearly 70 per cent of lower secondary teachers and 74 per cent of principals in Australia agreed or strongly agreed that they were satisfied with their salaries, which is considerably higher than the average among OECD countries (39 per cent and 47 per cent respectively) (OECD 2020).</w:t>
      </w:r>
    </w:p>
  </w:footnote>
  <w:footnote w:id="9">
    <w:p w14:paraId="22BD1385" w14:textId="65773202" w:rsidR="00FA0256" w:rsidRDefault="00FA0256">
      <w:pPr>
        <w:pStyle w:val="FootnoteText"/>
      </w:pPr>
      <w:r>
        <w:rPr>
          <w:rStyle w:val="FootnoteReference"/>
        </w:rPr>
        <w:footnoteRef/>
      </w:r>
      <w:r>
        <w:tab/>
        <w:t>In 2012, the Commission found that i</w:t>
      </w:r>
      <w:r w:rsidRPr="00D26A57">
        <w:t>t may not be possible to expand practicum placements for students</w:t>
      </w:r>
      <w:r>
        <w:t>, as</w:t>
      </w:r>
      <w:r w:rsidRPr="00D26A57">
        <w:t xml:space="preserve"> many universities are already struggling to source placements for all of their student teachers. This issue is likely to have been exacerbated </w:t>
      </w:r>
      <w:r>
        <w:t xml:space="preserve">since then </w:t>
      </w:r>
      <w:r w:rsidRPr="00D26A57">
        <w:t>by the demand-driven funding model for higher education (PC 2012, p. 133), as well as the physical closing of schools due to the COVID-19 pandemic.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14:paraId="37388823" w14:textId="77777777">
      <w:tc>
        <w:tcPr>
          <w:tcW w:w="2155" w:type="dxa"/>
          <w:tcBorders>
            <w:top w:val="single" w:sz="24" w:space="0" w:color="auto"/>
          </w:tcBorders>
        </w:tcPr>
        <w:p w14:paraId="2E6AB705" w14:textId="77777777" w:rsidR="00772909" w:rsidRDefault="00772909" w:rsidP="0019293B">
          <w:pPr>
            <w:pStyle w:val="HeaderEven"/>
          </w:pPr>
        </w:p>
      </w:tc>
      <w:tc>
        <w:tcPr>
          <w:tcW w:w="6634" w:type="dxa"/>
          <w:tcBorders>
            <w:top w:val="single" w:sz="6" w:space="0" w:color="auto"/>
          </w:tcBorders>
        </w:tcPr>
        <w:p w14:paraId="4EFC1182" w14:textId="77777777" w:rsidR="00772909" w:rsidRDefault="00772909" w:rsidP="0019293B">
          <w:pPr>
            <w:pStyle w:val="HeaderEven"/>
          </w:pPr>
        </w:p>
      </w:tc>
    </w:tr>
  </w:tbl>
  <w:p w14:paraId="0ECB6D60" w14:textId="77777777" w:rsidR="00772909" w:rsidRDefault="00772909"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14:paraId="1D1A062B" w14:textId="77777777">
      <w:tc>
        <w:tcPr>
          <w:tcW w:w="6634" w:type="dxa"/>
          <w:tcBorders>
            <w:top w:val="single" w:sz="6" w:space="0" w:color="auto"/>
          </w:tcBorders>
        </w:tcPr>
        <w:p w14:paraId="1B0D6E5C" w14:textId="77777777" w:rsidR="00772909" w:rsidRDefault="00772909" w:rsidP="00E669E2">
          <w:pPr>
            <w:pStyle w:val="HeaderOdd"/>
          </w:pPr>
        </w:p>
      </w:tc>
      <w:tc>
        <w:tcPr>
          <w:tcW w:w="2155" w:type="dxa"/>
          <w:tcBorders>
            <w:top w:val="single" w:sz="24" w:space="0" w:color="auto"/>
          </w:tcBorders>
        </w:tcPr>
        <w:p w14:paraId="6D4F7A77" w14:textId="77777777" w:rsidR="00772909" w:rsidRDefault="00772909" w:rsidP="00E669E2">
          <w:pPr>
            <w:pStyle w:val="HeaderOdd"/>
          </w:pPr>
        </w:p>
      </w:tc>
    </w:tr>
  </w:tbl>
  <w:p w14:paraId="0A6B587F" w14:textId="77777777" w:rsidR="00772909" w:rsidRDefault="00772909"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A0A526B"/>
    <w:multiLevelType w:val="multilevel"/>
    <w:tmpl w:val="1B4A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C77192"/>
    <w:multiLevelType w:val="hybridMultilevel"/>
    <w:tmpl w:val="528E8A34"/>
    <w:lvl w:ilvl="0" w:tplc="7272D9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074D16"/>
    <w:multiLevelType w:val="multilevel"/>
    <w:tmpl w:val="144E4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5"/>
  </w:num>
  <w:num w:numId="4">
    <w:abstractNumId w:val="3"/>
  </w:num>
  <w:num w:numId="5">
    <w:abstractNumId w:val="21"/>
  </w:num>
  <w:num w:numId="6">
    <w:abstractNumId w:val="17"/>
  </w:num>
  <w:num w:numId="7">
    <w:abstractNumId w:val="7"/>
  </w:num>
  <w:num w:numId="8">
    <w:abstractNumId w:val="16"/>
  </w:num>
  <w:num w:numId="9">
    <w:abstractNumId w:val="6"/>
  </w:num>
  <w:num w:numId="10">
    <w:abstractNumId w:val="5"/>
  </w:num>
  <w:num w:numId="11">
    <w:abstractNumId w:val="9"/>
  </w:num>
  <w:num w:numId="12">
    <w:abstractNumId w:val="10"/>
  </w:num>
  <w:num w:numId="13">
    <w:abstractNumId w:val="4"/>
  </w:num>
  <w:num w:numId="14">
    <w:abstractNumId w:val="18"/>
  </w:num>
  <w:num w:numId="15">
    <w:abstractNumId w:val="22"/>
  </w:num>
  <w:num w:numId="16">
    <w:abstractNumId w:val="14"/>
  </w:num>
  <w:num w:numId="17">
    <w:abstractNumId w:val="23"/>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8"/>
  </w:num>
  <w:num w:numId="22">
    <w:abstractNumId w:val="20"/>
  </w:num>
  <w:num w:numId="23">
    <w:abstractNumId w:val="13"/>
  </w:num>
  <w:num w:numId="2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Submission to the Quality Initial Teacher Education Review"/>
    <w:docVar w:name="ShortReportTitle" w:val="Productivity Commission"/>
  </w:docVars>
  <w:rsids>
    <w:rsidRoot w:val="007D202F"/>
    <w:rsid w:val="000005FB"/>
    <w:rsid w:val="00000A99"/>
    <w:rsid w:val="00002B41"/>
    <w:rsid w:val="00002B85"/>
    <w:rsid w:val="00002CFF"/>
    <w:rsid w:val="00003FDF"/>
    <w:rsid w:val="000046E1"/>
    <w:rsid w:val="0000486E"/>
    <w:rsid w:val="00004DA3"/>
    <w:rsid w:val="00005DDA"/>
    <w:rsid w:val="000066AA"/>
    <w:rsid w:val="00006882"/>
    <w:rsid w:val="00006D45"/>
    <w:rsid w:val="000071E8"/>
    <w:rsid w:val="00007544"/>
    <w:rsid w:val="0000758A"/>
    <w:rsid w:val="00007D6E"/>
    <w:rsid w:val="0001068D"/>
    <w:rsid w:val="0001289F"/>
    <w:rsid w:val="00012CE5"/>
    <w:rsid w:val="000130D8"/>
    <w:rsid w:val="000139BD"/>
    <w:rsid w:val="00014649"/>
    <w:rsid w:val="00015910"/>
    <w:rsid w:val="00017537"/>
    <w:rsid w:val="00020F0C"/>
    <w:rsid w:val="000227D5"/>
    <w:rsid w:val="00022A2F"/>
    <w:rsid w:val="00022C3D"/>
    <w:rsid w:val="00023F05"/>
    <w:rsid w:val="000245AA"/>
    <w:rsid w:val="00024E5B"/>
    <w:rsid w:val="000267A1"/>
    <w:rsid w:val="00032135"/>
    <w:rsid w:val="00032631"/>
    <w:rsid w:val="00032C1F"/>
    <w:rsid w:val="000331C9"/>
    <w:rsid w:val="000335B4"/>
    <w:rsid w:val="0003374E"/>
    <w:rsid w:val="000338D9"/>
    <w:rsid w:val="00033B16"/>
    <w:rsid w:val="00033BA3"/>
    <w:rsid w:val="00033D3C"/>
    <w:rsid w:val="000343C0"/>
    <w:rsid w:val="000345D5"/>
    <w:rsid w:val="00034A64"/>
    <w:rsid w:val="0003501E"/>
    <w:rsid w:val="00035F0F"/>
    <w:rsid w:val="0003664B"/>
    <w:rsid w:val="00037BA2"/>
    <w:rsid w:val="000409E5"/>
    <w:rsid w:val="00040F7E"/>
    <w:rsid w:val="0004111F"/>
    <w:rsid w:val="00041DB9"/>
    <w:rsid w:val="00042BC0"/>
    <w:rsid w:val="00043083"/>
    <w:rsid w:val="00043235"/>
    <w:rsid w:val="00043DA8"/>
    <w:rsid w:val="00044494"/>
    <w:rsid w:val="00044920"/>
    <w:rsid w:val="00044C7E"/>
    <w:rsid w:val="00046A74"/>
    <w:rsid w:val="00047A58"/>
    <w:rsid w:val="000511D8"/>
    <w:rsid w:val="00052F00"/>
    <w:rsid w:val="00053C2E"/>
    <w:rsid w:val="00053E6A"/>
    <w:rsid w:val="00054828"/>
    <w:rsid w:val="00054A94"/>
    <w:rsid w:val="00055077"/>
    <w:rsid w:val="00055589"/>
    <w:rsid w:val="00055C07"/>
    <w:rsid w:val="000565B3"/>
    <w:rsid w:val="00056BFF"/>
    <w:rsid w:val="000570B8"/>
    <w:rsid w:val="000572BD"/>
    <w:rsid w:val="000608A9"/>
    <w:rsid w:val="00060A6D"/>
    <w:rsid w:val="000621A5"/>
    <w:rsid w:val="0006326E"/>
    <w:rsid w:val="000636ED"/>
    <w:rsid w:val="00063E81"/>
    <w:rsid w:val="00064C49"/>
    <w:rsid w:val="000658DC"/>
    <w:rsid w:val="00066442"/>
    <w:rsid w:val="000669F0"/>
    <w:rsid w:val="00066EFA"/>
    <w:rsid w:val="00067F78"/>
    <w:rsid w:val="000700E8"/>
    <w:rsid w:val="0007053F"/>
    <w:rsid w:val="00071244"/>
    <w:rsid w:val="0007150B"/>
    <w:rsid w:val="000726F6"/>
    <w:rsid w:val="0007322A"/>
    <w:rsid w:val="0007554C"/>
    <w:rsid w:val="000763CD"/>
    <w:rsid w:val="00077541"/>
    <w:rsid w:val="00077B9A"/>
    <w:rsid w:val="00080F19"/>
    <w:rsid w:val="00081DAF"/>
    <w:rsid w:val="00082318"/>
    <w:rsid w:val="00082355"/>
    <w:rsid w:val="00082A52"/>
    <w:rsid w:val="00082F0F"/>
    <w:rsid w:val="00083B52"/>
    <w:rsid w:val="00083C7D"/>
    <w:rsid w:val="000857D0"/>
    <w:rsid w:val="000867C9"/>
    <w:rsid w:val="00086DAB"/>
    <w:rsid w:val="00087448"/>
    <w:rsid w:val="00087ED5"/>
    <w:rsid w:val="000907B8"/>
    <w:rsid w:val="00090F7B"/>
    <w:rsid w:val="000921A5"/>
    <w:rsid w:val="00093371"/>
    <w:rsid w:val="000938F5"/>
    <w:rsid w:val="0009479B"/>
    <w:rsid w:val="0009495F"/>
    <w:rsid w:val="00094FD2"/>
    <w:rsid w:val="000954BF"/>
    <w:rsid w:val="00095663"/>
    <w:rsid w:val="0009604F"/>
    <w:rsid w:val="000961D0"/>
    <w:rsid w:val="00096E55"/>
    <w:rsid w:val="00097743"/>
    <w:rsid w:val="0009783E"/>
    <w:rsid w:val="000A07CE"/>
    <w:rsid w:val="000A12EC"/>
    <w:rsid w:val="000A233E"/>
    <w:rsid w:val="000A23C4"/>
    <w:rsid w:val="000A34D1"/>
    <w:rsid w:val="000A373A"/>
    <w:rsid w:val="000A51C9"/>
    <w:rsid w:val="000A579B"/>
    <w:rsid w:val="000A740E"/>
    <w:rsid w:val="000A7725"/>
    <w:rsid w:val="000B088D"/>
    <w:rsid w:val="000B1022"/>
    <w:rsid w:val="000B1356"/>
    <w:rsid w:val="000B1F2A"/>
    <w:rsid w:val="000B2935"/>
    <w:rsid w:val="000B2FD5"/>
    <w:rsid w:val="000B2FDB"/>
    <w:rsid w:val="000B3B14"/>
    <w:rsid w:val="000B3C05"/>
    <w:rsid w:val="000B4001"/>
    <w:rsid w:val="000B47C0"/>
    <w:rsid w:val="000B601B"/>
    <w:rsid w:val="000B6CF0"/>
    <w:rsid w:val="000C024C"/>
    <w:rsid w:val="000C190F"/>
    <w:rsid w:val="000C207E"/>
    <w:rsid w:val="000C3A39"/>
    <w:rsid w:val="000C542B"/>
    <w:rsid w:val="000C5A94"/>
    <w:rsid w:val="000C5FCF"/>
    <w:rsid w:val="000C60F1"/>
    <w:rsid w:val="000C6703"/>
    <w:rsid w:val="000C6E9A"/>
    <w:rsid w:val="000C705B"/>
    <w:rsid w:val="000C7475"/>
    <w:rsid w:val="000C7B6D"/>
    <w:rsid w:val="000D0D4B"/>
    <w:rsid w:val="000D1847"/>
    <w:rsid w:val="000D1FC8"/>
    <w:rsid w:val="000D41E9"/>
    <w:rsid w:val="000D420D"/>
    <w:rsid w:val="000D5662"/>
    <w:rsid w:val="000D6E76"/>
    <w:rsid w:val="000E03C4"/>
    <w:rsid w:val="000E04A3"/>
    <w:rsid w:val="000E07E6"/>
    <w:rsid w:val="000E1497"/>
    <w:rsid w:val="000E17F5"/>
    <w:rsid w:val="000E19EB"/>
    <w:rsid w:val="000E2816"/>
    <w:rsid w:val="000E4AE9"/>
    <w:rsid w:val="000E6BCE"/>
    <w:rsid w:val="000E7A5A"/>
    <w:rsid w:val="000F0035"/>
    <w:rsid w:val="000F04E7"/>
    <w:rsid w:val="000F060A"/>
    <w:rsid w:val="000F082E"/>
    <w:rsid w:val="000F0AED"/>
    <w:rsid w:val="000F17F3"/>
    <w:rsid w:val="000F1F84"/>
    <w:rsid w:val="000F420B"/>
    <w:rsid w:val="000F46B1"/>
    <w:rsid w:val="000F4CEC"/>
    <w:rsid w:val="000F539C"/>
    <w:rsid w:val="000F6513"/>
    <w:rsid w:val="0010038C"/>
    <w:rsid w:val="00100F72"/>
    <w:rsid w:val="001014CE"/>
    <w:rsid w:val="0010151F"/>
    <w:rsid w:val="00102D92"/>
    <w:rsid w:val="0010310B"/>
    <w:rsid w:val="00103448"/>
    <w:rsid w:val="0010437B"/>
    <w:rsid w:val="00104489"/>
    <w:rsid w:val="0010458C"/>
    <w:rsid w:val="00104F5A"/>
    <w:rsid w:val="00105602"/>
    <w:rsid w:val="00107282"/>
    <w:rsid w:val="001076FF"/>
    <w:rsid w:val="00110116"/>
    <w:rsid w:val="00111115"/>
    <w:rsid w:val="00111DDB"/>
    <w:rsid w:val="00111E3B"/>
    <w:rsid w:val="00111F2F"/>
    <w:rsid w:val="00112474"/>
    <w:rsid w:val="00112C25"/>
    <w:rsid w:val="00112E9B"/>
    <w:rsid w:val="00113DC0"/>
    <w:rsid w:val="00113E47"/>
    <w:rsid w:val="00113F2C"/>
    <w:rsid w:val="001142DD"/>
    <w:rsid w:val="00114446"/>
    <w:rsid w:val="00114E49"/>
    <w:rsid w:val="0011655C"/>
    <w:rsid w:val="00116D02"/>
    <w:rsid w:val="00117559"/>
    <w:rsid w:val="00120072"/>
    <w:rsid w:val="001200FE"/>
    <w:rsid w:val="0012052B"/>
    <w:rsid w:val="00120B5A"/>
    <w:rsid w:val="0012120A"/>
    <w:rsid w:val="00121DE0"/>
    <w:rsid w:val="00122104"/>
    <w:rsid w:val="00122727"/>
    <w:rsid w:val="00124728"/>
    <w:rsid w:val="00125E9E"/>
    <w:rsid w:val="00126B1B"/>
    <w:rsid w:val="00126EB8"/>
    <w:rsid w:val="0012737C"/>
    <w:rsid w:val="001274D4"/>
    <w:rsid w:val="0012776E"/>
    <w:rsid w:val="00130831"/>
    <w:rsid w:val="0013087A"/>
    <w:rsid w:val="0013229D"/>
    <w:rsid w:val="00132505"/>
    <w:rsid w:val="001346A0"/>
    <w:rsid w:val="00134B23"/>
    <w:rsid w:val="001363AA"/>
    <w:rsid w:val="0013739A"/>
    <w:rsid w:val="001401B4"/>
    <w:rsid w:val="0014136A"/>
    <w:rsid w:val="001416A7"/>
    <w:rsid w:val="0014208B"/>
    <w:rsid w:val="00142165"/>
    <w:rsid w:val="001427C5"/>
    <w:rsid w:val="001429CE"/>
    <w:rsid w:val="00142DF5"/>
    <w:rsid w:val="001430FE"/>
    <w:rsid w:val="0014384E"/>
    <w:rsid w:val="001446A2"/>
    <w:rsid w:val="00146069"/>
    <w:rsid w:val="00146DB0"/>
    <w:rsid w:val="00150C0C"/>
    <w:rsid w:val="001510DC"/>
    <w:rsid w:val="0015169C"/>
    <w:rsid w:val="0015305A"/>
    <w:rsid w:val="001536B3"/>
    <w:rsid w:val="001538EB"/>
    <w:rsid w:val="0015404B"/>
    <w:rsid w:val="00154123"/>
    <w:rsid w:val="0015554F"/>
    <w:rsid w:val="001562AF"/>
    <w:rsid w:val="00156542"/>
    <w:rsid w:val="00156C34"/>
    <w:rsid w:val="001570B1"/>
    <w:rsid w:val="001615A9"/>
    <w:rsid w:val="00162434"/>
    <w:rsid w:val="00162683"/>
    <w:rsid w:val="00163468"/>
    <w:rsid w:val="001636D9"/>
    <w:rsid w:val="00164D4C"/>
    <w:rsid w:val="0016566E"/>
    <w:rsid w:val="00167E1C"/>
    <w:rsid w:val="00170911"/>
    <w:rsid w:val="00170B92"/>
    <w:rsid w:val="00172038"/>
    <w:rsid w:val="00172CDE"/>
    <w:rsid w:val="001731C1"/>
    <w:rsid w:val="00174199"/>
    <w:rsid w:val="00174208"/>
    <w:rsid w:val="001750CB"/>
    <w:rsid w:val="00175650"/>
    <w:rsid w:val="00176007"/>
    <w:rsid w:val="0017710E"/>
    <w:rsid w:val="001772D5"/>
    <w:rsid w:val="00177D4F"/>
    <w:rsid w:val="001805BA"/>
    <w:rsid w:val="00180DDF"/>
    <w:rsid w:val="00181033"/>
    <w:rsid w:val="001814AE"/>
    <w:rsid w:val="00182487"/>
    <w:rsid w:val="00182C7E"/>
    <w:rsid w:val="00183238"/>
    <w:rsid w:val="00183348"/>
    <w:rsid w:val="00183E82"/>
    <w:rsid w:val="00183EFA"/>
    <w:rsid w:val="00184613"/>
    <w:rsid w:val="00184937"/>
    <w:rsid w:val="00185CDD"/>
    <w:rsid w:val="00186591"/>
    <w:rsid w:val="00186843"/>
    <w:rsid w:val="00187069"/>
    <w:rsid w:val="001878BB"/>
    <w:rsid w:val="0019058B"/>
    <w:rsid w:val="00191459"/>
    <w:rsid w:val="00191AE0"/>
    <w:rsid w:val="00191B9F"/>
    <w:rsid w:val="001926A2"/>
    <w:rsid w:val="001928E6"/>
    <w:rsid w:val="0019293B"/>
    <w:rsid w:val="001929D3"/>
    <w:rsid w:val="00192F5C"/>
    <w:rsid w:val="00193D7C"/>
    <w:rsid w:val="0019426B"/>
    <w:rsid w:val="00196CCA"/>
    <w:rsid w:val="00197636"/>
    <w:rsid w:val="001A0277"/>
    <w:rsid w:val="001A07A6"/>
    <w:rsid w:val="001A12E5"/>
    <w:rsid w:val="001A1668"/>
    <w:rsid w:val="001A2371"/>
    <w:rsid w:val="001A248F"/>
    <w:rsid w:val="001A2725"/>
    <w:rsid w:val="001A2CD1"/>
    <w:rsid w:val="001A2F3A"/>
    <w:rsid w:val="001A435B"/>
    <w:rsid w:val="001A46F0"/>
    <w:rsid w:val="001A6103"/>
    <w:rsid w:val="001A6A4B"/>
    <w:rsid w:val="001A72CA"/>
    <w:rsid w:val="001A7E97"/>
    <w:rsid w:val="001B118B"/>
    <w:rsid w:val="001B161A"/>
    <w:rsid w:val="001B3DEE"/>
    <w:rsid w:val="001B4EB0"/>
    <w:rsid w:val="001B5E95"/>
    <w:rsid w:val="001B6D93"/>
    <w:rsid w:val="001C0865"/>
    <w:rsid w:val="001C0AED"/>
    <w:rsid w:val="001C0DD6"/>
    <w:rsid w:val="001C1AB9"/>
    <w:rsid w:val="001C3ABA"/>
    <w:rsid w:val="001C3BE9"/>
    <w:rsid w:val="001C5111"/>
    <w:rsid w:val="001C73E4"/>
    <w:rsid w:val="001C76B6"/>
    <w:rsid w:val="001D024A"/>
    <w:rsid w:val="001D0EEB"/>
    <w:rsid w:val="001D1B28"/>
    <w:rsid w:val="001D1C56"/>
    <w:rsid w:val="001D1CED"/>
    <w:rsid w:val="001D1F7F"/>
    <w:rsid w:val="001D22FF"/>
    <w:rsid w:val="001D2471"/>
    <w:rsid w:val="001D2B5C"/>
    <w:rsid w:val="001D2D84"/>
    <w:rsid w:val="001D311C"/>
    <w:rsid w:val="001D3FF4"/>
    <w:rsid w:val="001D473D"/>
    <w:rsid w:val="001D4FDA"/>
    <w:rsid w:val="001D5A64"/>
    <w:rsid w:val="001D5C8D"/>
    <w:rsid w:val="001D6657"/>
    <w:rsid w:val="001D7006"/>
    <w:rsid w:val="001D75AB"/>
    <w:rsid w:val="001E0FF2"/>
    <w:rsid w:val="001E10A7"/>
    <w:rsid w:val="001E1431"/>
    <w:rsid w:val="001E2C81"/>
    <w:rsid w:val="001E3863"/>
    <w:rsid w:val="001E386C"/>
    <w:rsid w:val="001E47B1"/>
    <w:rsid w:val="001E4DB2"/>
    <w:rsid w:val="001E4E36"/>
    <w:rsid w:val="001E4FF4"/>
    <w:rsid w:val="001E7376"/>
    <w:rsid w:val="001E7BE8"/>
    <w:rsid w:val="001F0248"/>
    <w:rsid w:val="001F0574"/>
    <w:rsid w:val="001F0877"/>
    <w:rsid w:val="001F16EC"/>
    <w:rsid w:val="001F1A1F"/>
    <w:rsid w:val="001F2BD7"/>
    <w:rsid w:val="001F31BF"/>
    <w:rsid w:val="001F3EB3"/>
    <w:rsid w:val="001F4331"/>
    <w:rsid w:val="001F44EB"/>
    <w:rsid w:val="001F4F86"/>
    <w:rsid w:val="001F4FA3"/>
    <w:rsid w:val="001F73BE"/>
    <w:rsid w:val="001F7C15"/>
    <w:rsid w:val="001F7EB9"/>
    <w:rsid w:val="00200363"/>
    <w:rsid w:val="00200A2C"/>
    <w:rsid w:val="00200D5A"/>
    <w:rsid w:val="00202C2C"/>
    <w:rsid w:val="00202C8D"/>
    <w:rsid w:val="00203050"/>
    <w:rsid w:val="002042C0"/>
    <w:rsid w:val="002057E3"/>
    <w:rsid w:val="00205E7E"/>
    <w:rsid w:val="00207227"/>
    <w:rsid w:val="002078DF"/>
    <w:rsid w:val="0021001F"/>
    <w:rsid w:val="00210082"/>
    <w:rsid w:val="00210333"/>
    <w:rsid w:val="00211715"/>
    <w:rsid w:val="00211BF9"/>
    <w:rsid w:val="0021233A"/>
    <w:rsid w:val="0021326B"/>
    <w:rsid w:val="002135AB"/>
    <w:rsid w:val="00213A8B"/>
    <w:rsid w:val="002144BE"/>
    <w:rsid w:val="002144F4"/>
    <w:rsid w:val="00214878"/>
    <w:rsid w:val="00214FFC"/>
    <w:rsid w:val="00215532"/>
    <w:rsid w:val="00215EA1"/>
    <w:rsid w:val="00216642"/>
    <w:rsid w:val="00216980"/>
    <w:rsid w:val="00220DA2"/>
    <w:rsid w:val="002220B5"/>
    <w:rsid w:val="00222409"/>
    <w:rsid w:val="002232CE"/>
    <w:rsid w:val="002241D6"/>
    <w:rsid w:val="002253E5"/>
    <w:rsid w:val="002258BD"/>
    <w:rsid w:val="00225B76"/>
    <w:rsid w:val="0022612C"/>
    <w:rsid w:val="0022756C"/>
    <w:rsid w:val="0022764C"/>
    <w:rsid w:val="002305FB"/>
    <w:rsid w:val="00230AB5"/>
    <w:rsid w:val="00230E4B"/>
    <w:rsid w:val="002320B8"/>
    <w:rsid w:val="00232770"/>
    <w:rsid w:val="00232D30"/>
    <w:rsid w:val="00232F6B"/>
    <w:rsid w:val="00233373"/>
    <w:rsid w:val="002343BF"/>
    <w:rsid w:val="00234B21"/>
    <w:rsid w:val="002356AA"/>
    <w:rsid w:val="0023612E"/>
    <w:rsid w:val="00236297"/>
    <w:rsid w:val="002378E0"/>
    <w:rsid w:val="002379AE"/>
    <w:rsid w:val="00240CF4"/>
    <w:rsid w:val="00241C23"/>
    <w:rsid w:val="00242279"/>
    <w:rsid w:val="00242C86"/>
    <w:rsid w:val="002431BE"/>
    <w:rsid w:val="00243997"/>
    <w:rsid w:val="00243C30"/>
    <w:rsid w:val="002443F7"/>
    <w:rsid w:val="0024456D"/>
    <w:rsid w:val="00244932"/>
    <w:rsid w:val="002449F4"/>
    <w:rsid w:val="0024516C"/>
    <w:rsid w:val="00245C82"/>
    <w:rsid w:val="00245D69"/>
    <w:rsid w:val="00245F2E"/>
    <w:rsid w:val="002463F6"/>
    <w:rsid w:val="00246D53"/>
    <w:rsid w:val="0024743C"/>
    <w:rsid w:val="00247762"/>
    <w:rsid w:val="00247AAD"/>
    <w:rsid w:val="00247F1D"/>
    <w:rsid w:val="0025103B"/>
    <w:rsid w:val="00251242"/>
    <w:rsid w:val="00251435"/>
    <w:rsid w:val="00251F67"/>
    <w:rsid w:val="002534AF"/>
    <w:rsid w:val="00253C33"/>
    <w:rsid w:val="00254996"/>
    <w:rsid w:val="00255098"/>
    <w:rsid w:val="00256BA5"/>
    <w:rsid w:val="002604D5"/>
    <w:rsid w:val="00261906"/>
    <w:rsid w:val="00261BDF"/>
    <w:rsid w:val="00261DFD"/>
    <w:rsid w:val="002621C2"/>
    <w:rsid w:val="0026279B"/>
    <w:rsid w:val="00263CB0"/>
    <w:rsid w:val="00264281"/>
    <w:rsid w:val="00264486"/>
    <w:rsid w:val="00264733"/>
    <w:rsid w:val="00264F96"/>
    <w:rsid w:val="002654C8"/>
    <w:rsid w:val="00265D76"/>
    <w:rsid w:val="0026608D"/>
    <w:rsid w:val="002671F7"/>
    <w:rsid w:val="00267DBC"/>
    <w:rsid w:val="00267F0D"/>
    <w:rsid w:val="00267F98"/>
    <w:rsid w:val="0027021D"/>
    <w:rsid w:val="002704CC"/>
    <w:rsid w:val="002724BA"/>
    <w:rsid w:val="00272BAE"/>
    <w:rsid w:val="00273E44"/>
    <w:rsid w:val="002740F6"/>
    <w:rsid w:val="00274748"/>
    <w:rsid w:val="00275F3F"/>
    <w:rsid w:val="00276516"/>
    <w:rsid w:val="00280832"/>
    <w:rsid w:val="0028123A"/>
    <w:rsid w:val="00281AA9"/>
    <w:rsid w:val="00281F00"/>
    <w:rsid w:val="00282B15"/>
    <w:rsid w:val="0028306B"/>
    <w:rsid w:val="002837DF"/>
    <w:rsid w:val="00284FD2"/>
    <w:rsid w:val="002858C3"/>
    <w:rsid w:val="0028645A"/>
    <w:rsid w:val="00286C5F"/>
    <w:rsid w:val="0028738D"/>
    <w:rsid w:val="00287413"/>
    <w:rsid w:val="00287855"/>
    <w:rsid w:val="00287EAE"/>
    <w:rsid w:val="00290171"/>
    <w:rsid w:val="0029065D"/>
    <w:rsid w:val="00290EA8"/>
    <w:rsid w:val="002910C3"/>
    <w:rsid w:val="00291B40"/>
    <w:rsid w:val="00291FF9"/>
    <w:rsid w:val="00292108"/>
    <w:rsid w:val="00292F5B"/>
    <w:rsid w:val="00293206"/>
    <w:rsid w:val="0029372B"/>
    <w:rsid w:val="002950B2"/>
    <w:rsid w:val="002959CC"/>
    <w:rsid w:val="00295F6D"/>
    <w:rsid w:val="00296648"/>
    <w:rsid w:val="00297979"/>
    <w:rsid w:val="00297B81"/>
    <w:rsid w:val="00297D6D"/>
    <w:rsid w:val="00297E1D"/>
    <w:rsid w:val="002A059B"/>
    <w:rsid w:val="002A1C39"/>
    <w:rsid w:val="002A247F"/>
    <w:rsid w:val="002A3F26"/>
    <w:rsid w:val="002A5CED"/>
    <w:rsid w:val="002A68F1"/>
    <w:rsid w:val="002A6E70"/>
    <w:rsid w:val="002A7D7E"/>
    <w:rsid w:val="002B0FD0"/>
    <w:rsid w:val="002B24BE"/>
    <w:rsid w:val="002B2568"/>
    <w:rsid w:val="002B2CB4"/>
    <w:rsid w:val="002B4008"/>
    <w:rsid w:val="002B5FD8"/>
    <w:rsid w:val="002B65AD"/>
    <w:rsid w:val="002B6BD8"/>
    <w:rsid w:val="002B716F"/>
    <w:rsid w:val="002C0AE5"/>
    <w:rsid w:val="002C1209"/>
    <w:rsid w:val="002C2283"/>
    <w:rsid w:val="002C26DF"/>
    <w:rsid w:val="002C289F"/>
    <w:rsid w:val="002C2E4F"/>
    <w:rsid w:val="002C35D4"/>
    <w:rsid w:val="002C3970"/>
    <w:rsid w:val="002C439F"/>
    <w:rsid w:val="002C4553"/>
    <w:rsid w:val="002C5A8C"/>
    <w:rsid w:val="002C5BA3"/>
    <w:rsid w:val="002C6098"/>
    <w:rsid w:val="002C6263"/>
    <w:rsid w:val="002C63B3"/>
    <w:rsid w:val="002C64AC"/>
    <w:rsid w:val="002C68B9"/>
    <w:rsid w:val="002C6BBC"/>
    <w:rsid w:val="002C6F3C"/>
    <w:rsid w:val="002C74FB"/>
    <w:rsid w:val="002C7788"/>
    <w:rsid w:val="002D0B22"/>
    <w:rsid w:val="002D0C42"/>
    <w:rsid w:val="002D0E45"/>
    <w:rsid w:val="002D0E8E"/>
    <w:rsid w:val="002D11B9"/>
    <w:rsid w:val="002D19FB"/>
    <w:rsid w:val="002D2E55"/>
    <w:rsid w:val="002D3907"/>
    <w:rsid w:val="002D4F7E"/>
    <w:rsid w:val="002D50E1"/>
    <w:rsid w:val="002D5E81"/>
    <w:rsid w:val="002D6462"/>
    <w:rsid w:val="002E3E30"/>
    <w:rsid w:val="002E5B8C"/>
    <w:rsid w:val="002E63C9"/>
    <w:rsid w:val="002E655A"/>
    <w:rsid w:val="002E67AD"/>
    <w:rsid w:val="002E6F23"/>
    <w:rsid w:val="002E6FE4"/>
    <w:rsid w:val="002E7A8A"/>
    <w:rsid w:val="002E7E56"/>
    <w:rsid w:val="002F003F"/>
    <w:rsid w:val="002F020A"/>
    <w:rsid w:val="002F0826"/>
    <w:rsid w:val="002F1777"/>
    <w:rsid w:val="002F3939"/>
    <w:rsid w:val="002F4858"/>
    <w:rsid w:val="002F4F3A"/>
    <w:rsid w:val="002F5418"/>
    <w:rsid w:val="002F7B4F"/>
    <w:rsid w:val="003005C2"/>
    <w:rsid w:val="00301189"/>
    <w:rsid w:val="0030140E"/>
    <w:rsid w:val="0030161A"/>
    <w:rsid w:val="003018D4"/>
    <w:rsid w:val="00301E4A"/>
    <w:rsid w:val="003026AE"/>
    <w:rsid w:val="003035E1"/>
    <w:rsid w:val="00303AFF"/>
    <w:rsid w:val="00303F71"/>
    <w:rsid w:val="00304603"/>
    <w:rsid w:val="00304C51"/>
    <w:rsid w:val="00305226"/>
    <w:rsid w:val="003060DD"/>
    <w:rsid w:val="00306715"/>
    <w:rsid w:val="00306EEF"/>
    <w:rsid w:val="00307F24"/>
    <w:rsid w:val="00310A3F"/>
    <w:rsid w:val="003119EC"/>
    <w:rsid w:val="00311C22"/>
    <w:rsid w:val="003129B0"/>
    <w:rsid w:val="00313AE5"/>
    <w:rsid w:val="003149FD"/>
    <w:rsid w:val="00314F20"/>
    <w:rsid w:val="003164F7"/>
    <w:rsid w:val="003168B8"/>
    <w:rsid w:val="0031755C"/>
    <w:rsid w:val="00317B35"/>
    <w:rsid w:val="00320EA1"/>
    <w:rsid w:val="00322513"/>
    <w:rsid w:val="003229F0"/>
    <w:rsid w:val="00322D64"/>
    <w:rsid w:val="00323E09"/>
    <w:rsid w:val="00323E67"/>
    <w:rsid w:val="00324174"/>
    <w:rsid w:val="00325E47"/>
    <w:rsid w:val="00326D7B"/>
    <w:rsid w:val="00326F14"/>
    <w:rsid w:val="00330725"/>
    <w:rsid w:val="003313F8"/>
    <w:rsid w:val="00331465"/>
    <w:rsid w:val="00332352"/>
    <w:rsid w:val="00332F8C"/>
    <w:rsid w:val="00333066"/>
    <w:rsid w:val="00333932"/>
    <w:rsid w:val="0033436A"/>
    <w:rsid w:val="003349DF"/>
    <w:rsid w:val="00334CB3"/>
    <w:rsid w:val="00334DC1"/>
    <w:rsid w:val="003355B7"/>
    <w:rsid w:val="00335A5A"/>
    <w:rsid w:val="00336295"/>
    <w:rsid w:val="003367F5"/>
    <w:rsid w:val="00336872"/>
    <w:rsid w:val="00336885"/>
    <w:rsid w:val="00336AAF"/>
    <w:rsid w:val="00337950"/>
    <w:rsid w:val="00337CB9"/>
    <w:rsid w:val="0034107B"/>
    <w:rsid w:val="003414BE"/>
    <w:rsid w:val="003438FE"/>
    <w:rsid w:val="00343DD4"/>
    <w:rsid w:val="003449C8"/>
    <w:rsid w:val="00344CD4"/>
    <w:rsid w:val="003453BC"/>
    <w:rsid w:val="00345549"/>
    <w:rsid w:val="00345FCC"/>
    <w:rsid w:val="003463FA"/>
    <w:rsid w:val="003468CB"/>
    <w:rsid w:val="00346B4F"/>
    <w:rsid w:val="00346E47"/>
    <w:rsid w:val="00347419"/>
    <w:rsid w:val="003502D1"/>
    <w:rsid w:val="00350718"/>
    <w:rsid w:val="003518AA"/>
    <w:rsid w:val="00352165"/>
    <w:rsid w:val="0035267A"/>
    <w:rsid w:val="00353182"/>
    <w:rsid w:val="00353885"/>
    <w:rsid w:val="00353C15"/>
    <w:rsid w:val="0035467E"/>
    <w:rsid w:val="0035499C"/>
    <w:rsid w:val="00354DBA"/>
    <w:rsid w:val="00354FE8"/>
    <w:rsid w:val="003565D9"/>
    <w:rsid w:val="003572CF"/>
    <w:rsid w:val="0035757F"/>
    <w:rsid w:val="003602E1"/>
    <w:rsid w:val="003605AF"/>
    <w:rsid w:val="00361353"/>
    <w:rsid w:val="00362D0D"/>
    <w:rsid w:val="00363658"/>
    <w:rsid w:val="00364ABA"/>
    <w:rsid w:val="00364F61"/>
    <w:rsid w:val="00364FD8"/>
    <w:rsid w:val="00364FFC"/>
    <w:rsid w:val="00366CAE"/>
    <w:rsid w:val="00367063"/>
    <w:rsid w:val="00367B71"/>
    <w:rsid w:val="00367F28"/>
    <w:rsid w:val="0037026F"/>
    <w:rsid w:val="003705B6"/>
    <w:rsid w:val="003710DA"/>
    <w:rsid w:val="0037111E"/>
    <w:rsid w:val="00371240"/>
    <w:rsid w:val="00371345"/>
    <w:rsid w:val="0037252B"/>
    <w:rsid w:val="003725B5"/>
    <w:rsid w:val="0037335D"/>
    <w:rsid w:val="003737C5"/>
    <w:rsid w:val="0037384C"/>
    <w:rsid w:val="00373F21"/>
    <w:rsid w:val="003743C3"/>
    <w:rsid w:val="00374731"/>
    <w:rsid w:val="003747D5"/>
    <w:rsid w:val="00376E59"/>
    <w:rsid w:val="003779EA"/>
    <w:rsid w:val="00377E73"/>
    <w:rsid w:val="00377EC1"/>
    <w:rsid w:val="00380340"/>
    <w:rsid w:val="00380B84"/>
    <w:rsid w:val="0038125A"/>
    <w:rsid w:val="00382B58"/>
    <w:rsid w:val="003859B8"/>
    <w:rsid w:val="00386513"/>
    <w:rsid w:val="00386CDE"/>
    <w:rsid w:val="00386DDC"/>
    <w:rsid w:val="00387419"/>
    <w:rsid w:val="00387C30"/>
    <w:rsid w:val="00387E10"/>
    <w:rsid w:val="00390EA5"/>
    <w:rsid w:val="0039114C"/>
    <w:rsid w:val="00391331"/>
    <w:rsid w:val="003919BD"/>
    <w:rsid w:val="003919F9"/>
    <w:rsid w:val="003920CF"/>
    <w:rsid w:val="00392725"/>
    <w:rsid w:val="003936F1"/>
    <w:rsid w:val="00395A1D"/>
    <w:rsid w:val="00396347"/>
    <w:rsid w:val="00396F8C"/>
    <w:rsid w:val="003979B3"/>
    <w:rsid w:val="00397D70"/>
    <w:rsid w:val="003A013A"/>
    <w:rsid w:val="003A0F83"/>
    <w:rsid w:val="003A10BC"/>
    <w:rsid w:val="003A164B"/>
    <w:rsid w:val="003A3B23"/>
    <w:rsid w:val="003A4834"/>
    <w:rsid w:val="003A495C"/>
    <w:rsid w:val="003A4FD4"/>
    <w:rsid w:val="003A5280"/>
    <w:rsid w:val="003A5706"/>
    <w:rsid w:val="003A5E80"/>
    <w:rsid w:val="003A7337"/>
    <w:rsid w:val="003B02B5"/>
    <w:rsid w:val="003B0A03"/>
    <w:rsid w:val="003B10FB"/>
    <w:rsid w:val="003B2323"/>
    <w:rsid w:val="003B23C2"/>
    <w:rsid w:val="003B4966"/>
    <w:rsid w:val="003B5CF1"/>
    <w:rsid w:val="003B6B7A"/>
    <w:rsid w:val="003B7CB9"/>
    <w:rsid w:val="003C0037"/>
    <w:rsid w:val="003C05A0"/>
    <w:rsid w:val="003C0CC7"/>
    <w:rsid w:val="003C0DF8"/>
    <w:rsid w:val="003C3747"/>
    <w:rsid w:val="003C3807"/>
    <w:rsid w:val="003C38B5"/>
    <w:rsid w:val="003C39AD"/>
    <w:rsid w:val="003C44DD"/>
    <w:rsid w:val="003C46B7"/>
    <w:rsid w:val="003C5D99"/>
    <w:rsid w:val="003C6D66"/>
    <w:rsid w:val="003C75B9"/>
    <w:rsid w:val="003C7D60"/>
    <w:rsid w:val="003D0C42"/>
    <w:rsid w:val="003D1087"/>
    <w:rsid w:val="003D1868"/>
    <w:rsid w:val="003D1A0A"/>
    <w:rsid w:val="003D286D"/>
    <w:rsid w:val="003D38DD"/>
    <w:rsid w:val="003D420D"/>
    <w:rsid w:val="003E0760"/>
    <w:rsid w:val="003E2F59"/>
    <w:rsid w:val="003E3554"/>
    <w:rsid w:val="003E5E07"/>
    <w:rsid w:val="003E6244"/>
    <w:rsid w:val="003E6765"/>
    <w:rsid w:val="003E6996"/>
    <w:rsid w:val="003E746B"/>
    <w:rsid w:val="003E7543"/>
    <w:rsid w:val="003F0789"/>
    <w:rsid w:val="003F0CC8"/>
    <w:rsid w:val="003F14D8"/>
    <w:rsid w:val="003F18D3"/>
    <w:rsid w:val="003F19DE"/>
    <w:rsid w:val="003F2173"/>
    <w:rsid w:val="003F24E9"/>
    <w:rsid w:val="003F25A5"/>
    <w:rsid w:val="003F28C8"/>
    <w:rsid w:val="003F36E4"/>
    <w:rsid w:val="003F3B2B"/>
    <w:rsid w:val="003F472F"/>
    <w:rsid w:val="003F4E7C"/>
    <w:rsid w:val="003F5073"/>
    <w:rsid w:val="003F59A3"/>
    <w:rsid w:val="003F5CA7"/>
    <w:rsid w:val="00400705"/>
    <w:rsid w:val="00400DBE"/>
    <w:rsid w:val="00400F02"/>
    <w:rsid w:val="004017B8"/>
    <w:rsid w:val="00401882"/>
    <w:rsid w:val="00401F87"/>
    <w:rsid w:val="00402021"/>
    <w:rsid w:val="00403356"/>
    <w:rsid w:val="00403517"/>
    <w:rsid w:val="004044AC"/>
    <w:rsid w:val="004053AF"/>
    <w:rsid w:val="004057DE"/>
    <w:rsid w:val="004069CD"/>
    <w:rsid w:val="00406AAC"/>
    <w:rsid w:val="00406EC8"/>
    <w:rsid w:val="0040719B"/>
    <w:rsid w:val="004100C8"/>
    <w:rsid w:val="00410321"/>
    <w:rsid w:val="004115BB"/>
    <w:rsid w:val="00411DBD"/>
    <w:rsid w:val="004122C4"/>
    <w:rsid w:val="0041261C"/>
    <w:rsid w:val="00412ACE"/>
    <w:rsid w:val="00413052"/>
    <w:rsid w:val="00413749"/>
    <w:rsid w:val="004144E8"/>
    <w:rsid w:val="004145D2"/>
    <w:rsid w:val="004149CA"/>
    <w:rsid w:val="004152D2"/>
    <w:rsid w:val="00416C1B"/>
    <w:rsid w:val="00416D48"/>
    <w:rsid w:val="00416F7A"/>
    <w:rsid w:val="004178A4"/>
    <w:rsid w:val="00417BCF"/>
    <w:rsid w:val="00417BE3"/>
    <w:rsid w:val="004202C3"/>
    <w:rsid w:val="0042152E"/>
    <w:rsid w:val="00422A7B"/>
    <w:rsid w:val="004231D8"/>
    <w:rsid w:val="00423757"/>
    <w:rsid w:val="00424562"/>
    <w:rsid w:val="00424B5D"/>
    <w:rsid w:val="00424BB1"/>
    <w:rsid w:val="00425128"/>
    <w:rsid w:val="0042536E"/>
    <w:rsid w:val="00425511"/>
    <w:rsid w:val="00426AB0"/>
    <w:rsid w:val="00426B70"/>
    <w:rsid w:val="00426CB4"/>
    <w:rsid w:val="0043031D"/>
    <w:rsid w:val="00430621"/>
    <w:rsid w:val="00430856"/>
    <w:rsid w:val="00431127"/>
    <w:rsid w:val="00431249"/>
    <w:rsid w:val="004312D2"/>
    <w:rsid w:val="00431E80"/>
    <w:rsid w:val="00431FBD"/>
    <w:rsid w:val="004326BC"/>
    <w:rsid w:val="0043295A"/>
    <w:rsid w:val="004331A9"/>
    <w:rsid w:val="004331D6"/>
    <w:rsid w:val="00433989"/>
    <w:rsid w:val="00433993"/>
    <w:rsid w:val="00434C13"/>
    <w:rsid w:val="00434C19"/>
    <w:rsid w:val="0043569F"/>
    <w:rsid w:val="00436ED4"/>
    <w:rsid w:val="0043716D"/>
    <w:rsid w:val="004372F4"/>
    <w:rsid w:val="0044041F"/>
    <w:rsid w:val="00440585"/>
    <w:rsid w:val="004413D6"/>
    <w:rsid w:val="004426F9"/>
    <w:rsid w:val="00442E71"/>
    <w:rsid w:val="00443019"/>
    <w:rsid w:val="00444049"/>
    <w:rsid w:val="004466CA"/>
    <w:rsid w:val="004473A9"/>
    <w:rsid w:val="00447B83"/>
    <w:rsid w:val="00450810"/>
    <w:rsid w:val="00450A3A"/>
    <w:rsid w:val="00451259"/>
    <w:rsid w:val="004538E5"/>
    <w:rsid w:val="00454DD0"/>
    <w:rsid w:val="00455479"/>
    <w:rsid w:val="004563C6"/>
    <w:rsid w:val="004569E5"/>
    <w:rsid w:val="00457C6B"/>
    <w:rsid w:val="00460D38"/>
    <w:rsid w:val="00460F20"/>
    <w:rsid w:val="0046112D"/>
    <w:rsid w:val="00461293"/>
    <w:rsid w:val="0046169A"/>
    <w:rsid w:val="0046202F"/>
    <w:rsid w:val="004623C3"/>
    <w:rsid w:val="004624F2"/>
    <w:rsid w:val="00462C59"/>
    <w:rsid w:val="004639A5"/>
    <w:rsid w:val="00463D10"/>
    <w:rsid w:val="00463F22"/>
    <w:rsid w:val="00464016"/>
    <w:rsid w:val="004655DC"/>
    <w:rsid w:val="0046618C"/>
    <w:rsid w:val="004662F8"/>
    <w:rsid w:val="004663CD"/>
    <w:rsid w:val="004676E5"/>
    <w:rsid w:val="00467B64"/>
    <w:rsid w:val="00470737"/>
    <w:rsid w:val="0047078D"/>
    <w:rsid w:val="00470BCE"/>
    <w:rsid w:val="00470C7B"/>
    <w:rsid w:val="0047101C"/>
    <w:rsid w:val="00471B1B"/>
    <w:rsid w:val="00472A2B"/>
    <w:rsid w:val="00472D83"/>
    <w:rsid w:val="004732CB"/>
    <w:rsid w:val="004733C8"/>
    <w:rsid w:val="0047346A"/>
    <w:rsid w:val="00473CDE"/>
    <w:rsid w:val="00474906"/>
    <w:rsid w:val="0047534C"/>
    <w:rsid w:val="00476784"/>
    <w:rsid w:val="00476D52"/>
    <w:rsid w:val="00477110"/>
    <w:rsid w:val="00477144"/>
    <w:rsid w:val="00477BB1"/>
    <w:rsid w:val="004801CB"/>
    <w:rsid w:val="00481713"/>
    <w:rsid w:val="00481862"/>
    <w:rsid w:val="00482A2D"/>
    <w:rsid w:val="00483E79"/>
    <w:rsid w:val="00484EA8"/>
    <w:rsid w:val="00486404"/>
    <w:rsid w:val="00486D9F"/>
    <w:rsid w:val="0048754F"/>
    <w:rsid w:val="004876CD"/>
    <w:rsid w:val="00490778"/>
    <w:rsid w:val="00491001"/>
    <w:rsid w:val="004912CB"/>
    <w:rsid w:val="00491380"/>
    <w:rsid w:val="0049145F"/>
    <w:rsid w:val="00492713"/>
    <w:rsid w:val="004930FD"/>
    <w:rsid w:val="0049459F"/>
    <w:rsid w:val="00495EAF"/>
    <w:rsid w:val="004960E6"/>
    <w:rsid w:val="00496A50"/>
    <w:rsid w:val="004978CE"/>
    <w:rsid w:val="004A024C"/>
    <w:rsid w:val="004A02F8"/>
    <w:rsid w:val="004A0AAD"/>
    <w:rsid w:val="004A0EE5"/>
    <w:rsid w:val="004A1090"/>
    <w:rsid w:val="004A1881"/>
    <w:rsid w:val="004A3288"/>
    <w:rsid w:val="004A38DD"/>
    <w:rsid w:val="004A5061"/>
    <w:rsid w:val="004A57E7"/>
    <w:rsid w:val="004A6BBB"/>
    <w:rsid w:val="004B04F0"/>
    <w:rsid w:val="004B094A"/>
    <w:rsid w:val="004B193D"/>
    <w:rsid w:val="004B1FA8"/>
    <w:rsid w:val="004B248D"/>
    <w:rsid w:val="004B43AE"/>
    <w:rsid w:val="004B442B"/>
    <w:rsid w:val="004B48EA"/>
    <w:rsid w:val="004B4BC7"/>
    <w:rsid w:val="004B508B"/>
    <w:rsid w:val="004B5372"/>
    <w:rsid w:val="004B5A2F"/>
    <w:rsid w:val="004B669B"/>
    <w:rsid w:val="004B6B3C"/>
    <w:rsid w:val="004B6DEF"/>
    <w:rsid w:val="004B7056"/>
    <w:rsid w:val="004C11C3"/>
    <w:rsid w:val="004C1570"/>
    <w:rsid w:val="004C189A"/>
    <w:rsid w:val="004C22BA"/>
    <w:rsid w:val="004C25AD"/>
    <w:rsid w:val="004C307A"/>
    <w:rsid w:val="004C30ED"/>
    <w:rsid w:val="004C3335"/>
    <w:rsid w:val="004C4EB3"/>
    <w:rsid w:val="004C594D"/>
    <w:rsid w:val="004C5CCB"/>
    <w:rsid w:val="004C66E9"/>
    <w:rsid w:val="004C6ECC"/>
    <w:rsid w:val="004C7123"/>
    <w:rsid w:val="004D043A"/>
    <w:rsid w:val="004D0D03"/>
    <w:rsid w:val="004D100A"/>
    <w:rsid w:val="004D1466"/>
    <w:rsid w:val="004D1519"/>
    <w:rsid w:val="004D1532"/>
    <w:rsid w:val="004D18E5"/>
    <w:rsid w:val="004D4C7F"/>
    <w:rsid w:val="004D4DF2"/>
    <w:rsid w:val="004D5675"/>
    <w:rsid w:val="004D6D39"/>
    <w:rsid w:val="004D7610"/>
    <w:rsid w:val="004D7CEE"/>
    <w:rsid w:val="004E012F"/>
    <w:rsid w:val="004E0903"/>
    <w:rsid w:val="004E0946"/>
    <w:rsid w:val="004E09D2"/>
    <w:rsid w:val="004E0AED"/>
    <w:rsid w:val="004E3647"/>
    <w:rsid w:val="004E5369"/>
    <w:rsid w:val="004E5409"/>
    <w:rsid w:val="004E6E32"/>
    <w:rsid w:val="004E7830"/>
    <w:rsid w:val="004E7A51"/>
    <w:rsid w:val="004F0706"/>
    <w:rsid w:val="004F1AC6"/>
    <w:rsid w:val="004F25D2"/>
    <w:rsid w:val="004F392E"/>
    <w:rsid w:val="004F457E"/>
    <w:rsid w:val="004F50E1"/>
    <w:rsid w:val="004F6436"/>
    <w:rsid w:val="004F67C6"/>
    <w:rsid w:val="004F6E10"/>
    <w:rsid w:val="004F7728"/>
    <w:rsid w:val="005000AB"/>
    <w:rsid w:val="00500847"/>
    <w:rsid w:val="00500FA2"/>
    <w:rsid w:val="005011D7"/>
    <w:rsid w:val="00501BC7"/>
    <w:rsid w:val="00501F30"/>
    <w:rsid w:val="005029FF"/>
    <w:rsid w:val="00502F07"/>
    <w:rsid w:val="0050376F"/>
    <w:rsid w:val="00503A56"/>
    <w:rsid w:val="00503C39"/>
    <w:rsid w:val="005043C6"/>
    <w:rsid w:val="00504729"/>
    <w:rsid w:val="0050474A"/>
    <w:rsid w:val="00506311"/>
    <w:rsid w:val="005069A9"/>
    <w:rsid w:val="00507EAA"/>
    <w:rsid w:val="00507F13"/>
    <w:rsid w:val="00510143"/>
    <w:rsid w:val="00511028"/>
    <w:rsid w:val="00511843"/>
    <w:rsid w:val="0051241C"/>
    <w:rsid w:val="005125BD"/>
    <w:rsid w:val="00512B16"/>
    <w:rsid w:val="00512B8A"/>
    <w:rsid w:val="00512DE4"/>
    <w:rsid w:val="00512F9F"/>
    <w:rsid w:val="0051306E"/>
    <w:rsid w:val="00513C1D"/>
    <w:rsid w:val="00513C56"/>
    <w:rsid w:val="00515B4F"/>
    <w:rsid w:val="005163B4"/>
    <w:rsid w:val="00517795"/>
    <w:rsid w:val="0051782C"/>
    <w:rsid w:val="0052016B"/>
    <w:rsid w:val="00520ADF"/>
    <w:rsid w:val="00521A87"/>
    <w:rsid w:val="00523639"/>
    <w:rsid w:val="00524C81"/>
    <w:rsid w:val="00526774"/>
    <w:rsid w:val="0052693F"/>
    <w:rsid w:val="005274D0"/>
    <w:rsid w:val="00527F00"/>
    <w:rsid w:val="00530CFF"/>
    <w:rsid w:val="00530E0E"/>
    <w:rsid w:val="00531382"/>
    <w:rsid w:val="00531FE5"/>
    <w:rsid w:val="005324FC"/>
    <w:rsid w:val="00532C59"/>
    <w:rsid w:val="0053474F"/>
    <w:rsid w:val="00534843"/>
    <w:rsid w:val="00534D56"/>
    <w:rsid w:val="00534E4E"/>
    <w:rsid w:val="0053594D"/>
    <w:rsid w:val="00536017"/>
    <w:rsid w:val="005362FC"/>
    <w:rsid w:val="00536B04"/>
    <w:rsid w:val="00537BF6"/>
    <w:rsid w:val="005402FA"/>
    <w:rsid w:val="00541A55"/>
    <w:rsid w:val="00541BB7"/>
    <w:rsid w:val="00541BE8"/>
    <w:rsid w:val="00541D04"/>
    <w:rsid w:val="00541E1A"/>
    <w:rsid w:val="0054245B"/>
    <w:rsid w:val="00543775"/>
    <w:rsid w:val="00546316"/>
    <w:rsid w:val="00546331"/>
    <w:rsid w:val="00547576"/>
    <w:rsid w:val="005500DD"/>
    <w:rsid w:val="005501F1"/>
    <w:rsid w:val="00550C19"/>
    <w:rsid w:val="00551365"/>
    <w:rsid w:val="00551553"/>
    <w:rsid w:val="0055156A"/>
    <w:rsid w:val="00551A8B"/>
    <w:rsid w:val="00551CF3"/>
    <w:rsid w:val="00552C42"/>
    <w:rsid w:val="005535DF"/>
    <w:rsid w:val="005537DD"/>
    <w:rsid w:val="0055798C"/>
    <w:rsid w:val="005579A8"/>
    <w:rsid w:val="00557E81"/>
    <w:rsid w:val="00557F1D"/>
    <w:rsid w:val="005605AC"/>
    <w:rsid w:val="00560807"/>
    <w:rsid w:val="00561B09"/>
    <w:rsid w:val="00562E88"/>
    <w:rsid w:val="005634BF"/>
    <w:rsid w:val="00566106"/>
    <w:rsid w:val="0056636E"/>
    <w:rsid w:val="00566E20"/>
    <w:rsid w:val="00566F2D"/>
    <w:rsid w:val="0057019C"/>
    <w:rsid w:val="00570F55"/>
    <w:rsid w:val="00571955"/>
    <w:rsid w:val="00571D21"/>
    <w:rsid w:val="005729BD"/>
    <w:rsid w:val="00573265"/>
    <w:rsid w:val="00573437"/>
    <w:rsid w:val="0057389F"/>
    <w:rsid w:val="00573BE3"/>
    <w:rsid w:val="0057457A"/>
    <w:rsid w:val="00574D7C"/>
    <w:rsid w:val="0057620C"/>
    <w:rsid w:val="00576F04"/>
    <w:rsid w:val="00576F61"/>
    <w:rsid w:val="00580154"/>
    <w:rsid w:val="00582355"/>
    <w:rsid w:val="005826B9"/>
    <w:rsid w:val="005828B6"/>
    <w:rsid w:val="00582CBB"/>
    <w:rsid w:val="00582EC5"/>
    <w:rsid w:val="005830A7"/>
    <w:rsid w:val="0058312B"/>
    <w:rsid w:val="00583A2D"/>
    <w:rsid w:val="00583C39"/>
    <w:rsid w:val="00583C83"/>
    <w:rsid w:val="0058408F"/>
    <w:rsid w:val="00584B4C"/>
    <w:rsid w:val="00584B7D"/>
    <w:rsid w:val="005868A4"/>
    <w:rsid w:val="00586A90"/>
    <w:rsid w:val="00587356"/>
    <w:rsid w:val="00587A5B"/>
    <w:rsid w:val="00587F28"/>
    <w:rsid w:val="005906F0"/>
    <w:rsid w:val="005908D6"/>
    <w:rsid w:val="005909CF"/>
    <w:rsid w:val="005911AE"/>
    <w:rsid w:val="00591296"/>
    <w:rsid w:val="005912BC"/>
    <w:rsid w:val="005919AB"/>
    <w:rsid w:val="00591E71"/>
    <w:rsid w:val="0059208F"/>
    <w:rsid w:val="005925B4"/>
    <w:rsid w:val="00594234"/>
    <w:rsid w:val="00594AE5"/>
    <w:rsid w:val="005962C1"/>
    <w:rsid w:val="005964FA"/>
    <w:rsid w:val="00597AB2"/>
    <w:rsid w:val="005A03DF"/>
    <w:rsid w:val="005A0C16"/>
    <w:rsid w:val="005A0D41"/>
    <w:rsid w:val="005A1CAA"/>
    <w:rsid w:val="005A2D23"/>
    <w:rsid w:val="005A3826"/>
    <w:rsid w:val="005A3B80"/>
    <w:rsid w:val="005A46F4"/>
    <w:rsid w:val="005A4C05"/>
    <w:rsid w:val="005A62D7"/>
    <w:rsid w:val="005A6644"/>
    <w:rsid w:val="005A7E5A"/>
    <w:rsid w:val="005B037C"/>
    <w:rsid w:val="005B0A82"/>
    <w:rsid w:val="005B11DC"/>
    <w:rsid w:val="005B1BA1"/>
    <w:rsid w:val="005B2CF4"/>
    <w:rsid w:val="005B3C10"/>
    <w:rsid w:val="005B4DC8"/>
    <w:rsid w:val="005B531B"/>
    <w:rsid w:val="005B696D"/>
    <w:rsid w:val="005B7C69"/>
    <w:rsid w:val="005B7F02"/>
    <w:rsid w:val="005C044A"/>
    <w:rsid w:val="005C0A8F"/>
    <w:rsid w:val="005C360D"/>
    <w:rsid w:val="005C51C5"/>
    <w:rsid w:val="005C5B65"/>
    <w:rsid w:val="005C5E9D"/>
    <w:rsid w:val="005C7590"/>
    <w:rsid w:val="005D0214"/>
    <w:rsid w:val="005D05D4"/>
    <w:rsid w:val="005D0870"/>
    <w:rsid w:val="005D0BA3"/>
    <w:rsid w:val="005D1A87"/>
    <w:rsid w:val="005D1CC0"/>
    <w:rsid w:val="005D1D7D"/>
    <w:rsid w:val="005D224A"/>
    <w:rsid w:val="005D329F"/>
    <w:rsid w:val="005D32FD"/>
    <w:rsid w:val="005D36A7"/>
    <w:rsid w:val="005D3833"/>
    <w:rsid w:val="005D421D"/>
    <w:rsid w:val="005D4592"/>
    <w:rsid w:val="005D4999"/>
    <w:rsid w:val="005D4E70"/>
    <w:rsid w:val="005D5519"/>
    <w:rsid w:val="005D69DF"/>
    <w:rsid w:val="005E02AB"/>
    <w:rsid w:val="005E0634"/>
    <w:rsid w:val="005E10BD"/>
    <w:rsid w:val="005E254C"/>
    <w:rsid w:val="005E2AF0"/>
    <w:rsid w:val="005E2D29"/>
    <w:rsid w:val="005E3254"/>
    <w:rsid w:val="005E38AF"/>
    <w:rsid w:val="005E4537"/>
    <w:rsid w:val="005E5238"/>
    <w:rsid w:val="005E5A75"/>
    <w:rsid w:val="005E6C64"/>
    <w:rsid w:val="005E6EC8"/>
    <w:rsid w:val="005F0BF9"/>
    <w:rsid w:val="005F253C"/>
    <w:rsid w:val="005F36D7"/>
    <w:rsid w:val="005F3BCC"/>
    <w:rsid w:val="005F47FF"/>
    <w:rsid w:val="005F48ED"/>
    <w:rsid w:val="005F49A4"/>
    <w:rsid w:val="005F557D"/>
    <w:rsid w:val="005F57F9"/>
    <w:rsid w:val="005F5B7B"/>
    <w:rsid w:val="005F7906"/>
    <w:rsid w:val="005F7CE3"/>
    <w:rsid w:val="00600848"/>
    <w:rsid w:val="00601685"/>
    <w:rsid w:val="00602C04"/>
    <w:rsid w:val="0060329E"/>
    <w:rsid w:val="00603388"/>
    <w:rsid w:val="00603C46"/>
    <w:rsid w:val="00604202"/>
    <w:rsid w:val="00604BF0"/>
    <w:rsid w:val="00606A1F"/>
    <w:rsid w:val="00606E78"/>
    <w:rsid w:val="00607BF1"/>
    <w:rsid w:val="00610A10"/>
    <w:rsid w:val="00611243"/>
    <w:rsid w:val="0061150C"/>
    <w:rsid w:val="00611C4D"/>
    <w:rsid w:val="0061280F"/>
    <w:rsid w:val="00614DE2"/>
    <w:rsid w:val="00615955"/>
    <w:rsid w:val="006164D9"/>
    <w:rsid w:val="006168D4"/>
    <w:rsid w:val="00616CF0"/>
    <w:rsid w:val="006177B4"/>
    <w:rsid w:val="00617B71"/>
    <w:rsid w:val="0062054C"/>
    <w:rsid w:val="00621215"/>
    <w:rsid w:val="00621B36"/>
    <w:rsid w:val="00622429"/>
    <w:rsid w:val="00622F9D"/>
    <w:rsid w:val="00623536"/>
    <w:rsid w:val="0062360D"/>
    <w:rsid w:val="00623E8C"/>
    <w:rsid w:val="00623E99"/>
    <w:rsid w:val="00624049"/>
    <w:rsid w:val="00627231"/>
    <w:rsid w:val="00630D4D"/>
    <w:rsid w:val="00630F0A"/>
    <w:rsid w:val="00631F7A"/>
    <w:rsid w:val="00632A74"/>
    <w:rsid w:val="00632DB1"/>
    <w:rsid w:val="00633079"/>
    <w:rsid w:val="006331B1"/>
    <w:rsid w:val="00635E16"/>
    <w:rsid w:val="006360DC"/>
    <w:rsid w:val="00636B02"/>
    <w:rsid w:val="00636D0B"/>
    <w:rsid w:val="00641587"/>
    <w:rsid w:val="00642AED"/>
    <w:rsid w:val="00643E81"/>
    <w:rsid w:val="00645EAD"/>
    <w:rsid w:val="006468EE"/>
    <w:rsid w:val="00646928"/>
    <w:rsid w:val="00646BF4"/>
    <w:rsid w:val="0064704B"/>
    <w:rsid w:val="0064711C"/>
    <w:rsid w:val="00647477"/>
    <w:rsid w:val="006476F1"/>
    <w:rsid w:val="006506B8"/>
    <w:rsid w:val="0065136E"/>
    <w:rsid w:val="00651E26"/>
    <w:rsid w:val="006522A2"/>
    <w:rsid w:val="006537E8"/>
    <w:rsid w:val="00654D42"/>
    <w:rsid w:val="006552A5"/>
    <w:rsid w:val="00655907"/>
    <w:rsid w:val="006559F7"/>
    <w:rsid w:val="00656F0E"/>
    <w:rsid w:val="00660272"/>
    <w:rsid w:val="006602AC"/>
    <w:rsid w:val="006603FF"/>
    <w:rsid w:val="00660EB4"/>
    <w:rsid w:val="0066177E"/>
    <w:rsid w:val="006632CC"/>
    <w:rsid w:val="00663857"/>
    <w:rsid w:val="0066488B"/>
    <w:rsid w:val="0066510C"/>
    <w:rsid w:val="00665DDC"/>
    <w:rsid w:val="00666A8A"/>
    <w:rsid w:val="00666E02"/>
    <w:rsid w:val="00667299"/>
    <w:rsid w:val="0067024E"/>
    <w:rsid w:val="0067102C"/>
    <w:rsid w:val="0067103C"/>
    <w:rsid w:val="00671467"/>
    <w:rsid w:val="00672101"/>
    <w:rsid w:val="00674108"/>
    <w:rsid w:val="0067439F"/>
    <w:rsid w:val="00674658"/>
    <w:rsid w:val="006757C5"/>
    <w:rsid w:val="00675C9E"/>
    <w:rsid w:val="006761A6"/>
    <w:rsid w:val="00676559"/>
    <w:rsid w:val="006767DC"/>
    <w:rsid w:val="00677496"/>
    <w:rsid w:val="00677815"/>
    <w:rsid w:val="00677A2D"/>
    <w:rsid w:val="00677CBB"/>
    <w:rsid w:val="00677F86"/>
    <w:rsid w:val="00680F5F"/>
    <w:rsid w:val="00681CBF"/>
    <w:rsid w:val="00683513"/>
    <w:rsid w:val="00683B42"/>
    <w:rsid w:val="006840B3"/>
    <w:rsid w:val="006845C1"/>
    <w:rsid w:val="00684AE2"/>
    <w:rsid w:val="0068532F"/>
    <w:rsid w:val="00685C5B"/>
    <w:rsid w:val="0068605E"/>
    <w:rsid w:val="006876BE"/>
    <w:rsid w:val="00687A0D"/>
    <w:rsid w:val="00687CD8"/>
    <w:rsid w:val="00690027"/>
    <w:rsid w:val="006905EF"/>
    <w:rsid w:val="00691097"/>
    <w:rsid w:val="006910B4"/>
    <w:rsid w:val="00691BBE"/>
    <w:rsid w:val="00691E64"/>
    <w:rsid w:val="00691EFB"/>
    <w:rsid w:val="00691F0D"/>
    <w:rsid w:val="00691F4A"/>
    <w:rsid w:val="006925A5"/>
    <w:rsid w:val="006936BD"/>
    <w:rsid w:val="00694492"/>
    <w:rsid w:val="00695A5F"/>
    <w:rsid w:val="00696A4A"/>
    <w:rsid w:val="00697D48"/>
    <w:rsid w:val="006A0092"/>
    <w:rsid w:val="006A01C4"/>
    <w:rsid w:val="006A1135"/>
    <w:rsid w:val="006A238E"/>
    <w:rsid w:val="006A460B"/>
    <w:rsid w:val="006A4655"/>
    <w:rsid w:val="006A4DED"/>
    <w:rsid w:val="006A4E3C"/>
    <w:rsid w:val="006A5035"/>
    <w:rsid w:val="006A5E56"/>
    <w:rsid w:val="006A61F1"/>
    <w:rsid w:val="006A6D84"/>
    <w:rsid w:val="006A7758"/>
    <w:rsid w:val="006B1EC8"/>
    <w:rsid w:val="006B202B"/>
    <w:rsid w:val="006B28FD"/>
    <w:rsid w:val="006B2B3C"/>
    <w:rsid w:val="006B31A5"/>
    <w:rsid w:val="006B4863"/>
    <w:rsid w:val="006B5111"/>
    <w:rsid w:val="006B5768"/>
    <w:rsid w:val="006B58AF"/>
    <w:rsid w:val="006B637B"/>
    <w:rsid w:val="006B74AF"/>
    <w:rsid w:val="006B75F9"/>
    <w:rsid w:val="006B7E7F"/>
    <w:rsid w:val="006C03DF"/>
    <w:rsid w:val="006C1D81"/>
    <w:rsid w:val="006C1E4A"/>
    <w:rsid w:val="006C2027"/>
    <w:rsid w:val="006C3414"/>
    <w:rsid w:val="006C44DD"/>
    <w:rsid w:val="006C4761"/>
    <w:rsid w:val="006C4830"/>
    <w:rsid w:val="006C53CB"/>
    <w:rsid w:val="006C627B"/>
    <w:rsid w:val="006C6959"/>
    <w:rsid w:val="006C6CEF"/>
    <w:rsid w:val="006C7038"/>
    <w:rsid w:val="006D0D91"/>
    <w:rsid w:val="006D0DFC"/>
    <w:rsid w:val="006D0EEA"/>
    <w:rsid w:val="006D1010"/>
    <w:rsid w:val="006D1194"/>
    <w:rsid w:val="006D1E51"/>
    <w:rsid w:val="006D26FA"/>
    <w:rsid w:val="006D3187"/>
    <w:rsid w:val="006D4BCF"/>
    <w:rsid w:val="006D527A"/>
    <w:rsid w:val="006D5A3F"/>
    <w:rsid w:val="006D706F"/>
    <w:rsid w:val="006E091D"/>
    <w:rsid w:val="006E1B97"/>
    <w:rsid w:val="006E1D48"/>
    <w:rsid w:val="006E2295"/>
    <w:rsid w:val="006E2370"/>
    <w:rsid w:val="006E249C"/>
    <w:rsid w:val="006E299E"/>
    <w:rsid w:val="006E32CF"/>
    <w:rsid w:val="006E3F8E"/>
    <w:rsid w:val="006E4A5B"/>
    <w:rsid w:val="006E4C16"/>
    <w:rsid w:val="006E5BA2"/>
    <w:rsid w:val="006E5D69"/>
    <w:rsid w:val="006E5F07"/>
    <w:rsid w:val="006E5F17"/>
    <w:rsid w:val="006E6099"/>
    <w:rsid w:val="006E6462"/>
    <w:rsid w:val="006E73EF"/>
    <w:rsid w:val="006E7480"/>
    <w:rsid w:val="006E7BDA"/>
    <w:rsid w:val="006F02FE"/>
    <w:rsid w:val="006F1B4B"/>
    <w:rsid w:val="006F20ED"/>
    <w:rsid w:val="006F2251"/>
    <w:rsid w:val="006F35E9"/>
    <w:rsid w:val="006F4177"/>
    <w:rsid w:val="006F42DC"/>
    <w:rsid w:val="006F4561"/>
    <w:rsid w:val="006F4D08"/>
    <w:rsid w:val="006F6847"/>
    <w:rsid w:val="00700763"/>
    <w:rsid w:val="007027DE"/>
    <w:rsid w:val="00702B15"/>
    <w:rsid w:val="00703348"/>
    <w:rsid w:val="00703684"/>
    <w:rsid w:val="007039A2"/>
    <w:rsid w:val="00703FA3"/>
    <w:rsid w:val="00704666"/>
    <w:rsid w:val="007047C9"/>
    <w:rsid w:val="007048A2"/>
    <w:rsid w:val="007059DB"/>
    <w:rsid w:val="00707134"/>
    <w:rsid w:val="00707140"/>
    <w:rsid w:val="0070729C"/>
    <w:rsid w:val="00707560"/>
    <w:rsid w:val="007079C9"/>
    <w:rsid w:val="007121DF"/>
    <w:rsid w:val="00713107"/>
    <w:rsid w:val="007145D6"/>
    <w:rsid w:val="0071471A"/>
    <w:rsid w:val="00714D4D"/>
    <w:rsid w:val="00714EA3"/>
    <w:rsid w:val="00714F65"/>
    <w:rsid w:val="00715DD5"/>
    <w:rsid w:val="007160DB"/>
    <w:rsid w:val="00716C94"/>
    <w:rsid w:val="00716DD8"/>
    <w:rsid w:val="00717232"/>
    <w:rsid w:val="00717B5C"/>
    <w:rsid w:val="00721701"/>
    <w:rsid w:val="00722DCA"/>
    <w:rsid w:val="00722F6A"/>
    <w:rsid w:val="007232F0"/>
    <w:rsid w:val="00724B18"/>
    <w:rsid w:val="00725110"/>
    <w:rsid w:val="007258F9"/>
    <w:rsid w:val="007266D3"/>
    <w:rsid w:val="007267EE"/>
    <w:rsid w:val="0072693B"/>
    <w:rsid w:val="00726DE0"/>
    <w:rsid w:val="00726E2B"/>
    <w:rsid w:val="00727C38"/>
    <w:rsid w:val="00730155"/>
    <w:rsid w:val="00731123"/>
    <w:rsid w:val="00732029"/>
    <w:rsid w:val="0073227A"/>
    <w:rsid w:val="00732986"/>
    <w:rsid w:val="007336EF"/>
    <w:rsid w:val="007339B8"/>
    <w:rsid w:val="00734301"/>
    <w:rsid w:val="007344C2"/>
    <w:rsid w:val="00737ABE"/>
    <w:rsid w:val="00737F8D"/>
    <w:rsid w:val="007407D8"/>
    <w:rsid w:val="00740841"/>
    <w:rsid w:val="007418F8"/>
    <w:rsid w:val="007419E9"/>
    <w:rsid w:val="00741E5D"/>
    <w:rsid w:val="00741F1D"/>
    <w:rsid w:val="007428C9"/>
    <w:rsid w:val="00742E23"/>
    <w:rsid w:val="007436F4"/>
    <w:rsid w:val="00744A34"/>
    <w:rsid w:val="00745189"/>
    <w:rsid w:val="007453FC"/>
    <w:rsid w:val="00746DA5"/>
    <w:rsid w:val="00747502"/>
    <w:rsid w:val="00750E6B"/>
    <w:rsid w:val="007528C5"/>
    <w:rsid w:val="007534C3"/>
    <w:rsid w:val="007534E1"/>
    <w:rsid w:val="00753CE6"/>
    <w:rsid w:val="00754B8F"/>
    <w:rsid w:val="00755299"/>
    <w:rsid w:val="0075552A"/>
    <w:rsid w:val="007558E6"/>
    <w:rsid w:val="00756C40"/>
    <w:rsid w:val="00756E55"/>
    <w:rsid w:val="00757140"/>
    <w:rsid w:val="00760296"/>
    <w:rsid w:val="007604BB"/>
    <w:rsid w:val="0076099A"/>
    <w:rsid w:val="00760C21"/>
    <w:rsid w:val="007612C8"/>
    <w:rsid w:val="00761FB9"/>
    <w:rsid w:val="00762487"/>
    <w:rsid w:val="00762979"/>
    <w:rsid w:val="00762C70"/>
    <w:rsid w:val="007636C7"/>
    <w:rsid w:val="007645EB"/>
    <w:rsid w:val="007663B9"/>
    <w:rsid w:val="007673DD"/>
    <w:rsid w:val="007675F4"/>
    <w:rsid w:val="0076789B"/>
    <w:rsid w:val="00767B98"/>
    <w:rsid w:val="0077009D"/>
    <w:rsid w:val="007704F9"/>
    <w:rsid w:val="00772909"/>
    <w:rsid w:val="007750D4"/>
    <w:rsid w:val="007801F8"/>
    <w:rsid w:val="00780347"/>
    <w:rsid w:val="007806CC"/>
    <w:rsid w:val="00780A5E"/>
    <w:rsid w:val="00783D3D"/>
    <w:rsid w:val="0078436E"/>
    <w:rsid w:val="00784ABF"/>
    <w:rsid w:val="00785232"/>
    <w:rsid w:val="00785CB8"/>
    <w:rsid w:val="0078628E"/>
    <w:rsid w:val="007865AE"/>
    <w:rsid w:val="0078722A"/>
    <w:rsid w:val="0078778B"/>
    <w:rsid w:val="007903FD"/>
    <w:rsid w:val="0079130D"/>
    <w:rsid w:val="0079248E"/>
    <w:rsid w:val="007926EB"/>
    <w:rsid w:val="00793C21"/>
    <w:rsid w:val="00793D69"/>
    <w:rsid w:val="0079462E"/>
    <w:rsid w:val="007948CC"/>
    <w:rsid w:val="007950D1"/>
    <w:rsid w:val="00795BEE"/>
    <w:rsid w:val="007963C0"/>
    <w:rsid w:val="00796D05"/>
    <w:rsid w:val="0079701E"/>
    <w:rsid w:val="00797378"/>
    <w:rsid w:val="007A0B04"/>
    <w:rsid w:val="007A216B"/>
    <w:rsid w:val="007A21EB"/>
    <w:rsid w:val="007A2EA1"/>
    <w:rsid w:val="007A3271"/>
    <w:rsid w:val="007A433B"/>
    <w:rsid w:val="007A5469"/>
    <w:rsid w:val="007A7AE8"/>
    <w:rsid w:val="007B13A0"/>
    <w:rsid w:val="007B16A8"/>
    <w:rsid w:val="007B1A93"/>
    <w:rsid w:val="007B1B39"/>
    <w:rsid w:val="007B1FA7"/>
    <w:rsid w:val="007B3564"/>
    <w:rsid w:val="007B362A"/>
    <w:rsid w:val="007B38EF"/>
    <w:rsid w:val="007B520A"/>
    <w:rsid w:val="007B58FD"/>
    <w:rsid w:val="007B5A3F"/>
    <w:rsid w:val="007B5C28"/>
    <w:rsid w:val="007B62DA"/>
    <w:rsid w:val="007B66B6"/>
    <w:rsid w:val="007B759E"/>
    <w:rsid w:val="007B7C32"/>
    <w:rsid w:val="007C05C9"/>
    <w:rsid w:val="007C0DB4"/>
    <w:rsid w:val="007C1A13"/>
    <w:rsid w:val="007C26FF"/>
    <w:rsid w:val="007C2860"/>
    <w:rsid w:val="007C36C9"/>
    <w:rsid w:val="007C3AD4"/>
    <w:rsid w:val="007C3B82"/>
    <w:rsid w:val="007C3DBE"/>
    <w:rsid w:val="007C6339"/>
    <w:rsid w:val="007C69F5"/>
    <w:rsid w:val="007C71BD"/>
    <w:rsid w:val="007C7813"/>
    <w:rsid w:val="007D0951"/>
    <w:rsid w:val="007D1859"/>
    <w:rsid w:val="007D202F"/>
    <w:rsid w:val="007D3286"/>
    <w:rsid w:val="007D391E"/>
    <w:rsid w:val="007D3C20"/>
    <w:rsid w:val="007D40BB"/>
    <w:rsid w:val="007D4F82"/>
    <w:rsid w:val="007D5767"/>
    <w:rsid w:val="007D5BF4"/>
    <w:rsid w:val="007D60AE"/>
    <w:rsid w:val="007D6401"/>
    <w:rsid w:val="007D78E2"/>
    <w:rsid w:val="007D7BB1"/>
    <w:rsid w:val="007D7E92"/>
    <w:rsid w:val="007D7F69"/>
    <w:rsid w:val="007E01E4"/>
    <w:rsid w:val="007E09B3"/>
    <w:rsid w:val="007E0C43"/>
    <w:rsid w:val="007E1703"/>
    <w:rsid w:val="007E2264"/>
    <w:rsid w:val="007E25AB"/>
    <w:rsid w:val="007E3001"/>
    <w:rsid w:val="007E34FD"/>
    <w:rsid w:val="007E3E54"/>
    <w:rsid w:val="007E3E8B"/>
    <w:rsid w:val="007E40E4"/>
    <w:rsid w:val="007E5EAC"/>
    <w:rsid w:val="007E69DB"/>
    <w:rsid w:val="007E7535"/>
    <w:rsid w:val="007E7748"/>
    <w:rsid w:val="007E7A12"/>
    <w:rsid w:val="007E7F85"/>
    <w:rsid w:val="007F0006"/>
    <w:rsid w:val="007F2FFB"/>
    <w:rsid w:val="007F39AC"/>
    <w:rsid w:val="007F4730"/>
    <w:rsid w:val="007F49D9"/>
    <w:rsid w:val="007F4B0B"/>
    <w:rsid w:val="007F4DFB"/>
    <w:rsid w:val="007F55BB"/>
    <w:rsid w:val="007F6713"/>
    <w:rsid w:val="007F6937"/>
    <w:rsid w:val="007F7107"/>
    <w:rsid w:val="007F75A8"/>
    <w:rsid w:val="007F7B35"/>
    <w:rsid w:val="007F7FB4"/>
    <w:rsid w:val="00800D4C"/>
    <w:rsid w:val="00801171"/>
    <w:rsid w:val="00801B36"/>
    <w:rsid w:val="00801E45"/>
    <w:rsid w:val="008035CE"/>
    <w:rsid w:val="00804611"/>
    <w:rsid w:val="00804705"/>
    <w:rsid w:val="00804992"/>
    <w:rsid w:val="00804DDB"/>
    <w:rsid w:val="00805FAB"/>
    <w:rsid w:val="00806706"/>
    <w:rsid w:val="008068E7"/>
    <w:rsid w:val="00806D96"/>
    <w:rsid w:val="0080708F"/>
    <w:rsid w:val="008077FB"/>
    <w:rsid w:val="0081030F"/>
    <w:rsid w:val="008108D1"/>
    <w:rsid w:val="00811079"/>
    <w:rsid w:val="008117EA"/>
    <w:rsid w:val="00811B65"/>
    <w:rsid w:val="00811BCC"/>
    <w:rsid w:val="00812968"/>
    <w:rsid w:val="00812AD5"/>
    <w:rsid w:val="00812F4A"/>
    <w:rsid w:val="00813618"/>
    <w:rsid w:val="0081370C"/>
    <w:rsid w:val="0081379E"/>
    <w:rsid w:val="00814FBE"/>
    <w:rsid w:val="00815C8A"/>
    <w:rsid w:val="008164FB"/>
    <w:rsid w:val="00816F99"/>
    <w:rsid w:val="00817DB1"/>
    <w:rsid w:val="0082087D"/>
    <w:rsid w:val="00820F94"/>
    <w:rsid w:val="008218A9"/>
    <w:rsid w:val="00821D1D"/>
    <w:rsid w:val="00821E64"/>
    <w:rsid w:val="00822C17"/>
    <w:rsid w:val="00822EC0"/>
    <w:rsid w:val="0082317C"/>
    <w:rsid w:val="0082331A"/>
    <w:rsid w:val="0082402B"/>
    <w:rsid w:val="0082604A"/>
    <w:rsid w:val="008263A8"/>
    <w:rsid w:val="00827506"/>
    <w:rsid w:val="00832FF3"/>
    <w:rsid w:val="008335E0"/>
    <w:rsid w:val="008339C6"/>
    <w:rsid w:val="00834CA0"/>
    <w:rsid w:val="00835771"/>
    <w:rsid w:val="008357AC"/>
    <w:rsid w:val="008358C7"/>
    <w:rsid w:val="00835998"/>
    <w:rsid w:val="00835D1A"/>
    <w:rsid w:val="0083670D"/>
    <w:rsid w:val="00837647"/>
    <w:rsid w:val="00840112"/>
    <w:rsid w:val="00840196"/>
    <w:rsid w:val="008408C3"/>
    <w:rsid w:val="00840D80"/>
    <w:rsid w:val="008417EB"/>
    <w:rsid w:val="00842933"/>
    <w:rsid w:val="00843284"/>
    <w:rsid w:val="008432F0"/>
    <w:rsid w:val="0084377E"/>
    <w:rsid w:val="008441B4"/>
    <w:rsid w:val="008445D5"/>
    <w:rsid w:val="00846328"/>
    <w:rsid w:val="00846E04"/>
    <w:rsid w:val="00846EA2"/>
    <w:rsid w:val="00850292"/>
    <w:rsid w:val="0085146C"/>
    <w:rsid w:val="00852761"/>
    <w:rsid w:val="00852962"/>
    <w:rsid w:val="008532CA"/>
    <w:rsid w:val="0085359D"/>
    <w:rsid w:val="008538F5"/>
    <w:rsid w:val="00853FB9"/>
    <w:rsid w:val="008540A0"/>
    <w:rsid w:val="00856045"/>
    <w:rsid w:val="008566BC"/>
    <w:rsid w:val="008566DE"/>
    <w:rsid w:val="008572A2"/>
    <w:rsid w:val="008574D3"/>
    <w:rsid w:val="00857893"/>
    <w:rsid w:val="0086035C"/>
    <w:rsid w:val="008604B5"/>
    <w:rsid w:val="0086082C"/>
    <w:rsid w:val="00860D9D"/>
    <w:rsid w:val="00860F6B"/>
    <w:rsid w:val="008615EA"/>
    <w:rsid w:val="00863417"/>
    <w:rsid w:val="00863A59"/>
    <w:rsid w:val="008648A7"/>
    <w:rsid w:val="00864ADC"/>
    <w:rsid w:val="00865126"/>
    <w:rsid w:val="00865396"/>
    <w:rsid w:val="00866157"/>
    <w:rsid w:val="008669CB"/>
    <w:rsid w:val="00866CCE"/>
    <w:rsid w:val="00866EBA"/>
    <w:rsid w:val="0087062B"/>
    <w:rsid w:val="00870907"/>
    <w:rsid w:val="00870B20"/>
    <w:rsid w:val="00870E79"/>
    <w:rsid w:val="008739F0"/>
    <w:rsid w:val="00873CB5"/>
    <w:rsid w:val="00873D30"/>
    <w:rsid w:val="00875B4A"/>
    <w:rsid w:val="008769BE"/>
    <w:rsid w:val="00876E07"/>
    <w:rsid w:val="00880153"/>
    <w:rsid w:val="00880187"/>
    <w:rsid w:val="00880523"/>
    <w:rsid w:val="00880F97"/>
    <w:rsid w:val="0088133A"/>
    <w:rsid w:val="00881BC6"/>
    <w:rsid w:val="00881BD3"/>
    <w:rsid w:val="00882BB7"/>
    <w:rsid w:val="008835A4"/>
    <w:rsid w:val="00884718"/>
    <w:rsid w:val="00885F0F"/>
    <w:rsid w:val="00886018"/>
    <w:rsid w:val="008865F0"/>
    <w:rsid w:val="00887038"/>
    <w:rsid w:val="00887506"/>
    <w:rsid w:val="00887592"/>
    <w:rsid w:val="008901E5"/>
    <w:rsid w:val="008906D3"/>
    <w:rsid w:val="008909EB"/>
    <w:rsid w:val="008911F2"/>
    <w:rsid w:val="0089163D"/>
    <w:rsid w:val="00891E27"/>
    <w:rsid w:val="0089285E"/>
    <w:rsid w:val="008933E9"/>
    <w:rsid w:val="008934A5"/>
    <w:rsid w:val="0089436C"/>
    <w:rsid w:val="00894690"/>
    <w:rsid w:val="00894D59"/>
    <w:rsid w:val="0089504A"/>
    <w:rsid w:val="008951AF"/>
    <w:rsid w:val="008951F6"/>
    <w:rsid w:val="0089529C"/>
    <w:rsid w:val="00896463"/>
    <w:rsid w:val="0089652F"/>
    <w:rsid w:val="008965F7"/>
    <w:rsid w:val="00896E48"/>
    <w:rsid w:val="00897A22"/>
    <w:rsid w:val="008A0B38"/>
    <w:rsid w:val="008A19B1"/>
    <w:rsid w:val="008A2194"/>
    <w:rsid w:val="008A2322"/>
    <w:rsid w:val="008A2533"/>
    <w:rsid w:val="008A29E0"/>
    <w:rsid w:val="008A36EB"/>
    <w:rsid w:val="008A575B"/>
    <w:rsid w:val="008A57F3"/>
    <w:rsid w:val="008A67DD"/>
    <w:rsid w:val="008A6C4D"/>
    <w:rsid w:val="008A6CDE"/>
    <w:rsid w:val="008A7005"/>
    <w:rsid w:val="008B0999"/>
    <w:rsid w:val="008B162C"/>
    <w:rsid w:val="008B1ADE"/>
    <w:rsid w:val="008B30CA"/>
    <w:rsid w:val="008B44C3"/>
    <w:rsid w:val="008B6E99"/>
    <w:rsid w:val="008B6F27"/>
    <w:rsid w:val="008C0465"/>
    <w:rsid w:val="008C0BCE"/>
    <w:rsid w:val="008C150B"/>
    <w:rsid w:val="008C1C67"/>
    <w:rsid w:val="008C3737"/>
    <w:rsid w:val="008C3A21"/>
    <w:rsid w:val="008C41B3"/>
    <w:rsid w:val="008C5426"/>
    <w:rsid w:val="008C5D42"/>
    <w:rsid w:val="008C61EB"/>
    <w:rsid w:val="008D05E2"/>
    <w:rsid w:val="008D08BB"/>
    <w:rsid w:val="008D0FA5"/>
    <w:rsid w:val="008D26F3"/>
    <w:rsid w:val="008D287A"/>
    <w:rsid w:val="008D365C"/>
    <w:rsid w:val="008D3B6D"/>
    <w:rsid w:val="008D3F10"/>
    <w:rsid w:val="008D3F2D"/>
    <w:rsid w:val="008D4105"/>
    <w:rsid w:val="008D4501"/>
    <w:rsid w:val="008D4A07"/>
    <w:rsid w:val="008D542F"/>
    <w:rsid w:val="008D5740"/>
    <w:rsid w:val="008D5C07"/>
    <w:rsid w:val="008D60AC"/>
    <w:rsid w:val="008D64A9"/>
    <w:rsid w:val="008D6C32"/>
    <w:rsid w:val="008D740C"/>
    <w:rsid w:val="008D74F6"/>
    <w:rsid w:val="008D7622"/>
    <w:rsid w:val="008D78DE"/>
    <w:rsid w:val="008D7C71"/>
    <w:rsid w:val="008E09C2"/>
    <w:rsid w:val="008E0AEA"/>
    <w:rsid w:val="008E2037"/>
    <w:rsid w:val="008E39AF"/>
    <w:rsid w:val="008E441A"/>
    <w:rsid w:val="008E4585"/>
    <w:rsid w:val="008E480F"/>
    <w:rsid w:val="008E4D1E"/>
    <w:rsid w:val="008E54A5"/>
    <w:rsid w:val="008E61B8"/>
    <w:rsid w:val="008E61D5"/>
    <w:rsid w:val="008E64F3"/>
    <w:rsid w:val="008E75A2"/>
    <w:rsid w:val="008F0319"/>
    <w:rsid w:val="008F0E13"/>
    <w:rsid w:val="008F103B"/>
    <w:rsid w:val="008F127B"/>
    <w:rsid w:val="008F15D3"/>
    <w:rsid w:val="008F17A1"/>
    <w:rsid w:val="008F2036"/>
    <w:rsid w:val="008F2E38"/>
    <w:rsid w:val="008F3D1E"/>
    <w:rsid w:val="008F49EB"/>
    <w:rsid w:val="008F4C35"/>
    <w:rsid w:val="008F6724"/>
    <w:rsid w:val="008F6B92"/>
    <w:rsid w:val="008F7B73"/>
    <w:rsid w:val="008F7D65"/>
    <w:rsid w:val="0090169F"/>
    <w:rsid w:val="00901DC1"/>
    <w:rsid w:val="009021A6"/>
    <w:rsid w:val="00903066"/>
    <w:rsid w:val="009030BF"/>
    <w:rsid w:val="009034C1"/>
    <w:rsid w:val="009034D6"/>
    <w:rsid w:val="00903646"/>
    <w:rsid w:val="00903748"/>
    <w:rsid w:val="00903B52"/>
    <w:rsid w:val="009041A5"/>
    <w:rsid w:val="009048B9"/>
    <w:rsid w:val="0090697E"/>
    <w:rsid w:val="00906A6B"/>
    <w:rsid w:val="0091032F"/>
    <w:rsid w:val="00910A3F"/>
    <w:rsid w:val="009113E5"/>
    <w:rsid w:val="00911F5B"/>
    <w:rsid w:val="0091200E"/>
    <w:rsid w:val="009127DC"/>
    <w:rsid w:val="00912C59"/>
    <w:rsid w:val="0091353B"/>
    <w:rsid w:val="009135FF"/>
    <w:rsid w:val="00913CDE"/>
    <w:rsid w:val="00914020"/>
    <w:rsid w:val="00914368"/>
    <w:rsid w:val="00915160"/>
    <w:rsid w:val="009160E2"/>
    <w:rsid w:val="00917336"/>
    <w:rsid w:val="00917F88"/>
    <w:rsid w:val="0092100E"/>
    <w:rsid w:val="0092168C"/>
    <w:rsid w:val="00922E41"/>
    <w:rsid w:val="009237E4"/>
    <w:rsid w:val="00924DD4"/>
    <w:rsid w:val="00925B42"/>
    <w:rsid w:val="009260DE"/>
    <w:rsid w:val="00926344"/>
    <w:rsid w:val="00926FC9"/>
    <w:rsid w:val="0092704C"/>
    <w:rsid w:val="00927AB7"/>
    <w:rsid w:val="009304A3"/>
    <w:rsid w:val="009304B3"/>
    <w:rsid w:val="009305B9"/>
    <w:rsid w:val="00931076"/>
    <w:rsid w:val="00931F05"/>
    <w:rsid w:val="00932106"/>
    <w:rsid w:val="00932E13"/>
    <w:rsid w:val="009332CA"/>
    <w:rsid w:val="0093342C"/>
    <w:rsid w:val="009345D9"/>
    <w:rsid w:val="00934B15"/>
    <w:rsid w:val="00934FF2"/>
    <w:rsid w:val="00936BF9"/>
    <w:rsid w:val="00937066"/>
    <w:rsid w:val="00937839"/>
    <w:rsid w:val="00937B1D"/>
    <w:rsid w:val="00937BDF"/>
    <w:rsid w:val="00940915"/>
    <w:rsid w:val="00940C87"/>
    <w:rsid w:val="009419D0"/>
    <w:rsid w:val="00942B62"/>
    <w:rsid w:val="00943E96"/>
    <w:rsid w:val="00944A65"/>
    <w:rsid w:val="00944B86"/>
    <w:rsid w:val="00945147"/>
    <w:rsid w:val="00945574"/>
    <w:rsid w:val="00945A30"/>
    <w:rsid w:val="00945E24"/>
    <w:rsid w:val="009460B8"/>
    <w:rsid w:val="009474EF"/>
    <w:rsid w:val="00947C96"/>
    <w:rsid w:val="0095019F"/>
    <w:rsid w:val="00950BE8"/>
    <w:rsid w:val="00950E58"/>
    <w:rsid w:val="00952DA9"/>
    <w:rsid w:val="0095323B"/>
    <w:rsid w:val="00955135"/>
    <w:rsid w:val="009552F0"/>
    <w:rsid w:val="0095595B"/>
    <w:rsid w:val="009563DD"/>
    <w:rsid w:val="0095657F"/>
    <w:rsid w:val="00956A0C"/>
    <w:rsid w:val="00956BD9"/>
    <w:rsid w:val="00956D61"/>
    <w:rsid w:val="0096021B"/>
    <w:rsid w:val="00960344"/>
    <w:rsid w:val="00960421"/>
    <w:rsid w:val="00960997"/>
    <w:rsid w:val="00960D63"/>
    <w:rsid w:val="009612A7"/>
    <w:rsid w:val="00961DCA"/>
    <w:rsid w:val="00962489"/>
    <w:rsid w:val="00962C05"/>
    <w:rsid w:val="00962FBD"/>
    <w:rsid w:val="009635EA"/>
    <w:rsid w:val="009649CD"/>
    <w:rsid w:val="009649F7"/>
    <w:rsid w:val="00964C59"/>
    <w:rsid w:val="00965545"/>
    <w:rsid w:val="0096729A"/>
    <w:rsid w:val="00967662"/>
    <w:rsid w:val="00967CD3"/>
    <w:rsid w:val="009709E8"/>
    <w:rsid w:val="00970E00"/>
    <w:rsid w:val="00972880"/>
    <w:rsid w:val="00974F8F"/>
    <w:rsid w:val="00976D0A"/>
    <w:rsid w:val="00976FD3"/>
    <w:rsid w:val="0097759F"/>
    <w:rsid w:val="00980DA0"/>
    <w:rsid w:val="009814D4"/>
    <w:rsid w:val="009818E5"/>
    <w:rsid w:val="009819CE"/>
    <w:rsid w:val="00981AEE"/>
    <w:rsid w:val="00982EED"/>
    <w:rsid w:val="00985C58"/>
    <w:rsid w:val="009862FA"/>
    <w:rsid w:val="00986836"/>
    <w:rsid w:val="009868EE"/>
    <w:rsid w:val="00987555"/>
    <w:rsid w:val="00990C2C"/>
    <w:rsid w:val="0099123D"/>
    <w:rsid w:val="009913AC"/>
    <w:rsid w:val="009914E3"/>
    <w:rsid w:val="00991A96"/>
    <w:rsid w:val="00992BEB"/>
    <w:rsid w:val="009943EA"/>
    <w:rsid w:val="00995434"/>
    <w:rsid w:val="00995750"/>
    <w:rsid w:val="00995981"/>
    <w:rsid w:val="00996391"/>
    <w:rsid w:val="0099684A"/>
    <w:rsid w:val="00996CDA"/>
    <w:rsid w:val="009977AF"/>
    <w:rsid w:val="009A0E44"/>
    <w:rsid w:val="009A0EFC"/>
    <w:rsid w:val="009A441D"/>
    <w:rsid w:val="009A4710"/>
    <w:rsid w:val="009A5171"/>
    <w:rsid w:val="009A542E"/>
    <w:rsid w:val="009A5805"/>
    <w:rsid w:val="009A6AF6"/>
    <w:rsid w:val="009A6B6B"/>
    <w:rsid w:val="009A6C74"/>
    <w:rsid w:val="009B0D13"/>
    <w:rsid w:val="009B1550"/>
    <w:rsid w:val="009B1DDB"/>
    <w:rsid w:val="009B227E"/>
    <w:rsid w:val="009B2B94"/>
    <w:rsid w:val="009B3B37"/>
    <w:rsid w:val="009B3F00"/>
    <w:rsid w:val="009B53B3"/>
    <w:rsid w:val="009B65F7"/>
    <w:rsid w:val="009B7A86"/>
    <w:rsid w:val="009C0003"/>
    <w:rsid w:val="009C10F2"/>
    <w:rsid w:val="009C174D"/>
    <w:rsid w:val="009C1937"/>
    <w:rsid w:val="009C2AB4"/>
    <w:rsid w:val="009C2F94"/>
    <w:rsid w:val="009C3B77"/>
    <w:rsid w:val="009C3CAB"/>
    <w:rsid w:val="009C4075"/>
    <w:rsid w:val="009C4C77"/>
    <w:rsid w:val="009C51E2"/>
    <w:rsid w:val="009C57B9"/>
    <w:rsid w:val="009D05ED"/>
    <w:rsid w:val="009D0654"/>
    <w:rsid w:val="009D0742"/>
    <w:rsid w:val="009D0A3B"/>
    <w:rsid w:val="009D2A64"/>
    <w:rsid w:val="009D2DC7"/>
    <w:rsid w:val="009D35E6"/>
    <w:rsid w:val="009D48E3"/>
    <w:rsid w:val="009D4A4C"/>
    <w:rsid w:val="009D71AB"/>
    <w:rsid w:val="009E0088"/>
    <w:rsid w:val="009E0D8E"/>
    <w:rsid w:val="009E101E"/>
    <w:rsid w:val="009E15FD"/>
    <w:rsid w:val="009E1844"/>
    <w:rsid w:val="009E1D8E"/>
    <w:rsid w:val="009E2A21"/>
    <w:rsid w:val="009E35CD"/>
    <w:rsid w:val="009E463F"/>
    <w:rsid w:val="009E54E5"/>
    <w:rsid w:val="009E575F"/>
    <w:rsid w:val="009E696E"/>
    <w:rsid w:val="009E734E"/>
    <w:rsid w:val="009E74F4"/>
    <w:rsid w:val="009E79AC"/>
    <w:rsid w:val="009F0735"/>
    <w:rsid w:val="009F0918"/>
    <w:rsid w:val="009F0D1B"/>
    <w:rsid w:val="009F0E48"/>
    <w:rsid w:val="009F169F"/>
    <w:rsid w:val="009F187D"/>
    <w:rsid w:val="009F2632"/>
    <w:rsid w:val="009F2963"/>
    <w:rsid w:val="009F53DD"/>
    <w:rsid w:val="009F54D7"/>
    <w:rsid w:val="009F58A2"/>
    <w:rsid w:val="009F5BBD"/>
    <w:rsid w:val="009F62C9"/>
    <w:rsid w:val="009F696D"/>
    <w:rsid w:val="009F6A49"/>
    <w:rsid w:val="009F6BC6"/>
    <w:rsid w:val="009F74EF"/>
    <w:rsid w:val="009F76CD"/>
    <w:rsid w:val="009F7818"/>
    <w:rsid w:val="00A005C2"/>
    <w:rsid w:val="00A00A99"/>
    <w:rsid w:val="00A00EFF"/>
    <w:rsid w:val="00A01659"/>
    <w:rsid w:val="00A02248"/>
    <w:rsid w:val="00A02826"/>
    <w:rsid w:val="00A02E64"/>
    <w:rsid w:val="00A032CE"/>
    <w:rsid w:val="00A035B0"/>
    <w:rsid w:val="00A03D5D"/>
    <w:rsid w:val="00A05B9D"/>
    <w:rsid w:val="00A07F7C"/>
    <w:rsid w:val="00A07FE1"/>
    <w:rsid w:val="00A10B91"/>
    <w:rsid w:val="00A12097"/>
    <w:rsid w:val="00A15D5A"/>
    <w:rsid w:val="00A17328"/>
    <w:rsid w:val="00A17440"/>
    <w:rsid w:val="00A175B5"/>
    <w:rsid w:val="00A17A50"/>
    <w:rsid w:val="00A17C3C"/>
    <w:rsid w:val="00A23362"/>
    <w:rsid w:val="00A23A20"/>
    <w:rsid w:val="00A23D69"/>
    <w:rsid w:val="00A24443"/>
    <w:rsid w:val="00A2454B"/>
    <w:rsid w:val="00A251C6"/>
    <w:rsid w:val="00A25B70"/>
    <w:rsid w:val="00A264A9"/>
    <w:rsid w:val="00A267F7"/>
    <w:rsid w:val="00A268B9"/>
    <w:rsid w:val="00A26DDE"/>
    <w:rsid w:val="00A2703A"/>
    <w:rsid w:val="00A272AD"/>
    <w:rsid w:val="00A276A7"/>
    <w:rsid w:val="00A30996"/>
    <w:rsid w:val="00A31548"/>
    <w:rsid w:val="00A3155C"/>
    <w:rsid w:val="00A3244F"/>
    <w:rsid w:val="00A32BEB"/>
    <w:rsid w:val="00A3318A"/>
    <w:rsid w:val="00A33540"/>
    <w:rsid w:val="00A33DFF"/>
    <w:rsid w:val="00A345B5"/>
    <w:rsid w:val="00A3483E"/>
    <w:rsid w:val="00A35115"/>
    <w:rsid w:val="00A354B2"/>
    <w:rsid w:val="00A3560E"/>
    <w:rsid w:val="00A36D9A"/>
    <w:rsid w:val="00A43582"/>
    <w:rsid w:val="00A44B61"/>
    <w:rsid w:val="00A451DC"/>
    <w:rsid w:val="00A46052"/>
    <w:rsid w:val="00A46A72"/>
    <w:rsid w:val="00A46AE2"/>
    <w:rsid w:val="00A46B80"/>
    <w:rsid w:val="00A515D1"/>
    <w:rsid w:val="00A51F93"/>
    <w:rsid w:val="00A52024"/>
    <w:rsid w:val="00A528B1"/>
    <w:rsid w:val="00A54127"/>
    <w:rsid w:val="00A549BB"/>
    <w:rsid w:val="00A550D9"/>
    <w:rsid w:val="00A554AB"/>
    <w:rsid w:val="00A555DB"/>
    <w:rsid w:val="00A562DB"/>
    <w:rsid w:val="00A56EF2"/>
    <w:rsid w:val="00A57062"/>
    <w:rsid w:val="00A57554"/>
    <w:rsid w:val="00A578EC"/>
    <w:rsid w:val="00A57AB8"/>
    <w:rsid w:val="00A57B25"/>
    <w:rsid w:val="00A57CAB"/>
    <w:rsid w:val="00A60809"/>
    <w:rsid w:val="00A609E6"/>
    <w:rsid w:val="00A60ADE"/>
    <w:rsid w:val="00A60E21"/>
    <w:rsid w:val="00A63219"/>
    <w:rsid w:val="00A6366E"/>
    <w:rsid w:val="00A63C97"/>
    <w:rsid w:val="00A63F89"/>
    <w:rsid w:val="00A648C5"/>
    <w:rsid w:val="00A64F0E"/>
    <w:rsid w:val="00A653BC"/>
    <w:rsid w:val="00A65715"/>
    <w:rsid w:val="00A6610C"/>
    <w:rsid w:val="00A66AFD"/>
    <w:rsid w:val="00A66D9B"/>
    <w:rsid w:val="00A6732C"/>
    <w:rsid w:val="00A67781"/>
    <w:rsid w:val="00A67786"/>
    <w:rsid w:val="00A67B6E"/>
    <w:rsid w:val="00A70F0F"/>
    <w:rsid w:val="00A70F16"/>
    <w:rsid w:val="00A71E07"/>
    <w:rsid w:val="00A740A2"/>
    <w:rsid w:val="00A761F9"/>
    <w:rsid w:val="00A767F3"/>
    <w:rsid w:val="00A77C31"/>
    <w:rsid w:val="00A83EF1"/>
    <w:rsid w:val="00A84402"/>
    <w:rsid w:val="00A844C4"/>
    <w:rsid w:val="00A84E7D"/>
    <w:rsid w:val="00A8544C"/>
    <w:rsid w:val="00A86389"/>
    <w:rsid w:val="00A86CCD"/>
    <w:rsid w:val="00A86E7E"/>
    <w:rsid w:val="00A90304"/>
    <w:rsid w:val="00A907A5"/>
    <w:rsid w:val="00A91777"/>
    <w:rsid w:val="00A92B53"/>
    <w:rsid w:val="00A941F7"/>
    <w:rsid w:val="00A9487A"/>
    <w:rsid w:val="00A9490E"/>
    <w:rsid w:val="00A949A3"/>
    <w:rsid w:val="00A94FA6"/>
    <w:rsid w:val="00A96445"/>
    <w:rsid w:val="00A967B4"/>
    <w:rsid w:val="00A97C9E"/>
    <w:rsid w:val="00AA0171"/>
    <w:rsid w:val="00AA048B"/>
    <w:rsid w:val="00AA0CE7"/>
    <w:rsid w:val="00AA0EF5"/>
    <w:rsid w:val="00AA120A"/>
    <w:rsid w:val="00AA2B71"/>
    <w:rsid w:val="00AA4197"/>
    <w:rsid w:val="00AA49A0"/>
    <w:rsid w:val="00AA521B"/>
    <w:rsid w:val="00AA52CD"/>
    <w:rsid w:val="00AA6710"/>
    <w:rsid w:val="00AA7762"/>
    <w:rsid w:val="00AA7D63"/>
    <w:rsid w:val="00AB05FE"/>
    <w:rsid w:val="00AB0681"/>
    <w:rsid w:val="00AB0E68"/>
    <w:rsid w:val="00AB13D9"/>
    <w:rsid w:val="00AB1A48"/>
    <w:rsid w:val="00AB4C00"/>
    <w:rsid w:val="00AB5436"/>
    <w:rsid w:val="00AB66DC"/>
    <w:rsid w:val="00AB6944"/>
    <w:rsid w:val="00AB7583"/>
    <w:rsid w:val="00AB7919"/>
    <w:rsid w:val="00AC1461"/>
    <w:rsid w:val="00AC1E52"/>
    <w:rsid w:val="00AC241D"/>
    <w:rsid w:val="00AC3445"/>
    <w:rsid w:val="00AC37CE"/>
    <w:rsid w:val="00AC3A15"/>
    <w:rsid w:val="00AC3E32"/>
    <w:rsid w:val="00AC40E4"/>
    <w:rsid w:val="00AC4226"/>
    <w:rsid w:val="00AC42C8"/>
    <w:rsid w:val="00AC49D6"/>
    <w:rsid w:val="00AC4AEE"/>
    <w:rsid w:val="00AC5719"/>
    <w:rsid w:val="00AC6D2D"/>
    <w:rsid w:val="00AC6F7E"/>
    <w:rsid w:val="00AC747E"/>
    <w:rsid w:val="00AD08E5"/>
    <w:rsid w:val="00AD08EE"/>
    <w:rsid w:val="00AD3393"/>
    <w:rsid w:val="00AD35DC"/>
    <w:rsid w:val="00AD3A5D"/>
    <w:rsid w:val="00AD3C09"/>
    <w:rsid w:val="00AD4EB5"/>
    <w:rsid w:val="00AD5142"/>
    <w:rsid w:val="00AD520B"/>
    <w:rsid w:val="00AD52AD"/>
    <w:rsid w:val="00AD686F"/>
    <w:rsid w:val="00AD77C7"/>
    <w:rsid w:val="00AD7B49"/>
    <w:rsid w:val="00AE0122"/>
    <w:rsid w:val="00AE0405"/>
    <w:rsid w:val="00AE17A8"/>
    <w:rsid w:val="00AE19E3"/>
    <w:rsid w:val="00AE1B28"/>
    <w:rsid w:val="00AE2E89"/>
    <w:rsid w:val="00AE3BCC"/>
    <w:rsid w:val="00AE3D2A"/>
    <w:rsid w:val="00AE4ACB"/>
    <w:rsid w:val="00AE5885"/>
    <w:rsid w:val="00AE65B5"/>
    <w:rsid w:val="00AE65D0"/>
    <w:rsid w:val="00AE6655"/>
    <w:rsid w:val="00AE77FF"/>
    <w:rsid w:val="00AE7B87"/>
    <w:rsid w:val="00AE7C23"/>
    <w:rsid w:val="00AF1034"/>
    <w:rsid w:val="00AF1A29"/>
    <w:rsid w:val="00AF20B9"/>
    <w:rsid w:val="00AF2250"/>
    <w:rsid w:val="00AF243B"/>
    <w:rsid w:val="00AF28A9"/>
    <w:rsid w:val="00AF2CE7"/>
    <w:rsid w:val="00AF2EC6"/>
    <w:rsid w:val="00AF37C1"/>
    <w:rsid w:val="00AF38C4"/>
    <w:rsid w:val="00AF3D4E"/>
    <w:rsid w:val="00AF4152"/>
    <w:rsid w:val="00AF44A7"/>
    <w:rsid w:val="00AF46A8"/>
    <w:rsid w:val="00AF5205"/>
    <w:rsid w:val="00AF5460"/>
    <w:rsid w:val="00AF5BD7"/>
    <w:rsid w:val="00AF6814"/>
    <w:rsid w:val="00AF7920"/>
    <w:rsid w:val="00B00847"/>
    <w:rsid w:val="00B012FA"/>
    <w:rsid w:val="00B01694"/>
    <w:rsid w:val="00B01CD9"/>
    <w:rsid w:val="00B0219F"/>
    <w:rsid w:val="00B0259F"/>
    <w:rsid w:val="00B02757"/>
    <w:rsid w:val="00B02794"/>
    <w:rsid w:val="00B0327D"/>
    <w:rsid w:val="00B03613"/>
    <w:rsid w:val="00B03B89"/>
    <w:rsid w:val="00B04BFA"/>
    <w:rsid w:val="00B04C0E"/>
    <w:rsid w:val="00B05ABB"/>
    <w:rsid w:val="00B05BB3"/>
    <w:rsid w:val="00B05EF3"/>
    <w:rsid w:val="00B07950"/>
    <w:rsid w:val="00B10C06"/>
    <w:rsid w:val="00B10D6C"/>
    <w:rsid w:val="00B1102F"/>
    <w:rsid w:val="00B11765"/>
    <w:rsid w:val="00B121CE"/>
    <w:rsid w:val="00B125AA"/>
    <w:rsid w:val="00B12CD3"/>
    <w:rsid w:val="00B14407"/>
    <w:rsid w:val="00B145E6"/>
    <w:rsid w:val="00B16445"/>
    <w:rsid w:val="00B17136"/>
    <w:rsid w:val="00B20F78"/>
    <w:rsid w:val="00B213A6"/>
    <w:rsid w:val="00B21F9E"/>
    <w:rsid w:val="00B22258"/>
    <w:rsid w:val="00B22DDB"/>
    <w:rsid w:val="00B22F08"/>
    <w:rsid w:val="00B231E0"/>
    <w:rsid w:val="00B23700"/>
    <w:rsid w:val="00B23EF5"/>
    <w:rsid w:val="00B247A9"/>
    <w:rsid w:val="00B24A86"/>
    <w:rsid w:val="00B257D7"/>
    <w:rsid w:val="00B259E4"/>
    <w:rsid w:val="00B25FB6"/>
    <w:rsid w:val="00B26E06"/>
    <w:rsid w:val="00B2704B"/>
    <w:rsid w:val="00B3129A"/>
    <w:rsid w:val="00B31540"/>
    <w:rsid w:val="00B3169D"/>
    <w:rsid w:val="00B32007"/>
    <w:rsid w:val="00B32595"/>
    <w:rsid w:val="00B34017"/>
    <w:rsid w:val="00B343A1"/>
    <w:rsid w:val="00B35279"/>
    <w:rsid w:val="00B35F3F"/>
    <w:rsid w:val="00B35F4A"/>
    <w:rsid w:val="00B36369"/>
    <w:rsid w:val="00B379BE"/>
    <w:rsid w:val="00B40164"/>
    <w:rsid w:val="00B407B5"/>
    <w:rsid w:val="00B418DB"/>
    <w:rsid w:val="00B41C99"/>
    <w:rsid w:val="00B42008"/>
    <w:rsid w:val="00B42327"/>
    <w:rsid w:val="00B425C3"/>
    <w:rsid w:val="00B430BE"/>
    <w:rsid w:val="00B4373D"/>
    <w:rsid w:val="00B440AD"/>
    <w:rsid w:val="00B44150"/>
    <w:rsid w:val="00B4419D"/>
    <w:rsid w:val="00B44C02"/>
    <w:rsid w:val="00B45948"/>
    <w:rsid w:val="00B463B8"/>
    <w:rsid w:val="00B464D3"/>
    <w:rsid w:val="00B474E6"/>
    <w:rsid w:val="00B479BB"/>
    <w:rsid w:val="00B505C6"/>
    <w:rsid w:val="00B50F79"/>
    <w:rsid w:val="00B51007"/>
    <w:rsid w:val="00B515CC"/>
    <w:rsid w:val="00B51B25"/>
    <w:rsid w:val="00B52C8E"/>
    <w:rsid w:val="00B53D45"/>
    <w:rsid w:val="00B53E7E"/>
    <w:rsid w:val="00B54B36"/>
    <w:rsid w:val="00B55842"/>
    <w:rsid w:val="00B56101"/>
    <w:rsid w:val="00B562D7"/>
    <w:rsid w:val="00B56B1E"/>
    <w:rsid w:val="00B56C52"/>
    <w:rsid w:val="00B571A9"/>
    <w:rsid w:val="00B607FC"/>
    <w:rsid w:val="00B6189A"/>
    <w:rsid w:val="00B61FEB"/>
    <w:rsid w:val="00B62150"/>
    <w:rsid w:val="00B63247"/>
    <w:rsid w:val="00B6342E"/>
    <w:rsid w:val="00B6527A"/>
    <w:rsid w:val="00B668AC"/>
    <w:rsid w:val="00B66D49"/>
    <w:rsid w:val="00B6714A"/>
    <w:rsid w:val="00B676E3"/>
    <w:rsid w:val="00B700BB"/>
    <w:rsid w:val="00B7024D"/>
    <w:rsid w:val="00B7047A"/>
    <w:rsid w:val="00B707A6"/>
    <w:rsid w:val="00B70B64"/>
    <w:rsid w:val="00B70C00"/>
    <w:rsid w:val="00B70C0D"/>
    <w:rsid w:val="00B7104B"/>
    <w:rsid w:val="00B7113F"/>
    <w:rsid w:val="00B71A11"/>
    <w:rsid w:val="00B71AEE"/>
    <w:rsid w:val="00B7238F"/>
    <w:rsid w:val="00B726D2"/>
    <w:rsid w:val="00B72BAC"/>
    <w:rsid w:val="00B72D55"/>
    <w:rsid w:val="00B740B7"/>
    <w:rsid w:val="00B74566"/>
    <w:rsid w:val="00B745C2"/>
    <w:rsid w:val="00B747BD"/>
    <w:rsid w:val="00B7524A"/>
    <w:rsid w:val="00B75655"/>
    <w:rsid w:val="00B763FD"/>
    <w:rsid w:val="00B7741F"/>
    <w:rsid w:val="00B7751A"/>
    <w:rsid w:val="00B8086A"/>
    <w:rsid w:val="00B80D06"/>
    <w:rsid w:val="00B812C7"/>
    <w:rsid w:val="00B81556"/>
    <w:rsid w:val="00B81A81"/>
    <w:rsid w:val="00B83039"/>
    <w:rsid w:val="00B837BE"/>
    <w:rsid w:val="00B83A99"/>
    <w:rsid w:val="00B83F62"/>
    <w:rsid w:val="00B85581"/>
    <w:rsid w:val="00B85C99"/>
    <w:rsid w:val="00B85E98"/>
    <w:rsid w:val="00B860FA"/>
    <w:rsid w:val="00B86247"/>
    <w:rsid w:val="00B86EB8"/>
    <w:rsid w:val="00B86F03"/>
    <w:rsid w:val="00B8764B"/>
    <w:rsid w:val="00B90B4A"/>
    <w:rsid w:val="00B91462"/>
    <w:rsid w:val="00B9161D"/>
    <w:rsid w:val="00B91E72"/>
    <w:rsid w:val="00B92E58"/>
    <w:rsid w:val="00B92EA8"/>
    <w:rsid w:val="00B937F5"/>
    <w:rsid w:val="00B95860"/>
    <w:rsid w:val="00B95E03"/>
    <w:rsid w:val="00B96B52"/>
    <w:rsid w:val="00B97C49"/>
    <w:rsid w:val="00BA012F"/>
    <w:rsid w:val="00BA0D0A"/>
    <w:rsid w:val="00BA1577"/>
    <w:rsid w:val="00BA24F6"/>
    <w:rsid w:val="00BA272C"/>
    <w:rsid w:val="00BA2BCF"/>
    <w:rsid w:val="00BA37EA"/>
    <w:rsid w:val="00BA412E"/>
    <w:rsid w:val="00BA49C1"/>
    <w:rsid w:val="00BA4B41"/>
    <w:rsid w:val="00BA4C07"/>
    <w:rsid w:val="00BA5575"/>
    <w:rsid w:val="00BA5B14"/>
    <w:rsid w:val="00BA5D30"/>
    <w:rsid w:val="00BA63F4"/>
    <w:rsid w:val="00BA682C"/>
    <w:rsid w:val="00BA6EED"/>
    <w:rsid w:val="00BA73B6"/>
    <w:rsid w:val="00BA781C"/>
    <w:rsid w:val="00BA7E27"/>
    <w:rsid w:val="00BB0121"/>
    <w:rsid w:val="00BB01C9"/>
    <w:rsid w:val="00BB05CF"/>
    <w:rsid w:val="00BB0E21"/>
    <w:rsid w:val="00BB14CD"/>
    <w:rsid w:val="00BB247C"/>
    <w:rsid w:val="00BB2603"/>
    <w:rsid w:val="00BB266D"/>
    <w:rsid w:val="00BB2A42"/>
    <w:rsid w:val="00BB2FA5"/>
    <w:rsid w:val="00BB3139"/>
    <w:rsid w:val="00BB374A"/>
    <w:rsid w:val="00BB4123"/>
    <w:rsid w:val="00BB4FCD"/>
    <w:rsid w:val="00BB540F"/>
    <w:rsid w:val="00BB7034"/>
    <w:rsid w:val="00BC04E9"/>
    <w:rsid w:val="00BC0831"/>
    <w:rsid w:val="00BC1473"/>
    <w:rsid w:val="00BC15B8"/>
    <w:rsid w:val="00BC1E6D"/>
    <w:rsid w:val="00BC267A"/>
    <w:rsid w:val="00BC3DF9"/>
    <w:rsid w:val="00BC4340"/>
    <w:rsid w:val="00BC4467"/>
    <w:rsid w:val="00BC4FFE"/>
    <w:rsid w:val="00BC50BB"/>
    <w:rsid w:val="00BC7405"/>
    <w:rsid w:val="00BC7B03"/>
    <w:rsid w:val="00BD13EA"/>
    <w:rsid w:val="00BD15CE"/>
    <w:rsid w:val="00BD1708"/>
    <w:rsid w:val="00BD1B4D"/>
    <w:rsid w:val="00BD27A9"/>
    <w:rsid w:val="00BD3BCB"/>
    <w:rsid w:val="00BD44C7"/>
    <w:rsid w:val="00BD5127"/>
    <w:rsid w:val="00BD51C7"/>
    <w:rsid w:val="00BD5AC1"/>
    <w:rsid w:val="00BD67F0"/>
    <w:rsid w:val="00BD6CD4"/>
    <w:rsid w:val="00BD7689"/>
    <w:rsid w:val="00BE0836"/>
    <w:rsid w:val="00BE0DEF"/>
    <w:rsid w:val="00BE0F2D"/>
    <w:rsid w:val="00BE1597"/>
    <w:rsid w:val="00BE3808"/>
    <w:rsid w:val="00BE39AF"/>
    <w:rsid w:val="00BE4393"/>
    <w:rsid w:val="00BE5395"/>
    <w:rsid w:val="00BE5B59"/>
    <w:rsid w:val="00BE738A"/>
    <w:rsid w:val="00BE753D"/>
    <w:rsid w:val="00BE7F42"/>
    <w:rsid w:val="00BF01F0"/>
    <w:rsid w:val="00BF0333"/>
    <w:rsid w:val="00BF041C"/>
    <w:rsid w:val="00BF1ADF"/>
    <w:rsid w:val="00BF1BD9"/>
    <w:rsid w:val="00BF2264"/>
    <w:rsid w:val="00BF2B26"/>
    <w:rsid w:val="00BF2D17"/>
    <w:rsid w:val="00BF41B0"/>
    <w:rsid w:val="00BF5739"/>
    <w:rsid w:val="00BF702B"/>
    <w:rsid w:val="00BF7888"/>
    <w:rsid w:val="00BF79DF"/>
    <w:rsid w:val="00BF7B8A"/>
    <w:rsid w:val="00C0016F"/>
    <w:rsid w:val="00C004F7"/>
    <w:rsid w:val="00C00883"/>
    <w:rsid w:val="00C00DF0"/>
    <w:rsid w:val="00C00E6E"/>
    <w:rsid w:val="00C012ED"/>
    <w:rsid w:val="00C0215C"/>
    <w:rsid w:val="00C028E2"/>
    <w:rsid w:val="00C02D7B"/>
    <w:rsid w:val="00C03B88"/>
    <w:rsid w:val="00C04094"/>
    <w:rsid w:val="00C0417D"/>
    <w:rsid w:val="00C04946"/>
    <w:rsid w:val="00C04B86"/>
    <w:rsid w:val="00C062E9"/>
    <w:rsid w:val="00C0672E"/>
    <w:rsid w:val="00C069AA"/>
    <w:rsid w:val="00C070A0"/>
    <w:rsid w:val="00C070B4"/>
    <w:rsid w:val="00C07319"/>
    <w:rsid w:val="00C07B64"/>
    <w:rsid w:val="00C11535"/>
    <w:rsid w:val="00C1162A"/>
    <w:rsid w:val="00C12110"/>
    <w:rsid w:val="00C13515"/>
    <w:rsid w:val="00C13721"/>
    <w:rsid w:val="00C13EBB"/>
    <w:rsid w:val="00C14021"/>
    <w:rsid w:val="00C14638"/>
    <w:rsid w:val="00C14FE4"/>
    <w:rsid w:val="00C16216"/>
    <w:rsid w:val="00C200BD"/>
    <w:rsid w:val="00C20733"/>
    <w:rsid w:val="00C20F03"/>
    <w:rsid w:val="00C2267A"/>
    <w:rsid w:val="00C234F7"/>
    <w:rsid w:val="00C239DB"/>
    <w:rsid w:val="00C23E09"/>
    <w:rsid w:val="00C24D24"/>
    <w:rsid w:val="00C25DB3"/>
    <w:rsid w:val="00C25E77"/>
    <w:rsid w:val="00C2612F"/>
    <w:rsid w:val="00C2638D"/>
    <w:rsid w:val="00C26EBF"/>
    <w:rsid w:val="00C26F84"/>
    <w:rsid w:val="00C27E67"/>
    <w:rsid w:val="00C27FA6"/>
    <w:rsid w:val="00C3066D"/>
    <w:rsid w:val="00C31624"/>
    <w:rsid w:val="00C31FDD"/>
    <w:rsid w:val="00C320EC"/>
    <w:rsid w:val="00C3249C"/>
    <w:rsid w:val="00C325AD"/>
    <w:rsid w:val="00C32FFF"/>
    <w:rsid w:val="00C34061"/>
    <w:rsid w:val="00C360C2"/>
    <w:rsid w:val="00C36677"/>
    <w:rsid w:val="00C366D4"/>
    <w:rsid w:val="00C36F1F"/>
    <w:rsid w:val="00C37614"/>
    <w:rsid w:val="00C376AB"/>
    <w:rsid w:val="00C40366"/>
    <w:rsid w:val="00C4081B"/>
    <w:rsid w:val="00C4094A"/>
    <w:rsid w:val="00C41108"/>
    <w:rsid w:val="00C415F0"/>
    <w:rsid w:val="00C42534"/>
    <w:rsid w:val="00C439E5"/>
    <w:rsid w:val="00C44276"/>
    <w:rsid w:val="00C45279"/>
    <w:rsid w:val="00C45E87"/>
    <w:rsid w:val="00C46768"/>
    <w:rsid w:val="00C4694C"/>
    <w:rsid w:val="00C47292"/>
    <w:rsid w:val="00C472A9"/>
    <w:rsid w:val="00C47BC8"/>
    <w:rsid w:val="00C509A2"/>
    <w:rsid w:val="00C50C1A"/>
    <w:rsid w:val="00C518DD"/>
    <w:rsid w:val="00C52416"/>
    <w:rsid w:val="00C527C7"/>
    <w:rsid w:val="00C52815"/>
    <w:rsid w:val="00C536CB"/>
    <w:rsid w:val="00C5435B"/>
    <w:rsid w:val="00C543F4"/>
    <w:rsid w:val="00C561BC"/>
    <w:rsid w:val="00C56544"/>
    <w:rsid w:val="00C5678C"/>
    <w:rsid w:val="00C60710"/>
    <w:rsid w:val="00C6096E"/>
    <w:rsid w:val="00C61690"/>
    <w:rsid w:val="00C61CCF"/>
    <w:rsid w:val="00C6291C"/>
    <w:rsid w:val="00C6313A"/>
    <w:rsid w:val="00C631CE"/>
    <w:rsid w:val="00C633CB"/>
    <w:rsid w:val="00C64D6F"/>
    <w:rsid w:val="00C65585"/>
    <w:rsid w:val="00C662EA"/>
    <w:rsid w:val="00C664CD"/>
    <w:rsid w:val="00C66D05"/>
    <w:rsid w:val="00C67BF2"/>
    <w:rsid w:val="00C67E88"/>
    <w:rsid w:val="00C706F1"/>
    <w:rsid w:val="00C7259A"/>
    <w:rsid w:val="00C72866"/>
    <w:rsid w:val="00C72B3D"/>
    <w:rsid w:val="00C72B67"/>
    <w:rsid w:val="00C7320E"/>
    <w:rsid w:val="00C736B7"/>
    <w:rsid w:val="00C7547B"/>
    <w:rsid w:val="00C7586E"/>
    <w:rsid w:val="00C76ACD"/>
    <w:rsid w:val="00C76F3D"/>
    <w:rsid w:val="00C800FA"/>
    <w:rsid w:val="00C810CB"/>
    <w:rsid w:val="00C81BA8"/>
    <w:rsid w:val="00C81D4A"/>
    <w:rsid w:val="00C8221E"/>
    <w:rsid w:val="00C8337E"/>
    <w:rsid w:val="00C83F86"/>
    <w:rsid w:val="00C84DBC"/>
    <w:rsid w:val="00C850FC"/>
    <w:rsid w:val="00C8638F"/>
    <w:rsid w:val="00C8762C"/>
    <w:rsid w:val="00C87759"/>
    <w:rsid w:val="00C87CFE"/>
    <w:rsid w:val="00C87D00"/>
    <w:rsid w:val="00C911AC"/>
    <w:rsid w:val="00C92DC3"/>
    <w:rsid w:val="00C933CA"/>
    <w:rsid w:val="00C93D40"/>
    <w:rsid w:val="00C93D45"/>
    <w:rsid w:val="00C94548"/>
    <w:rsid w:val="00C94719"/>
    <w:rsid w:val="00C94DC7"/>
    <w:rsid w:val="00C9575B"/>
    <w:rsid w:val="00C96299"/>
    <w:rsid w:val="00C96D83"/>
    <w:rsid w:val="00C9794C"/>
    <w:rsid w:val="00C97C3A"/>
    <w:rsid w:val="00C97FDA"/>
    <w:rsid w:val="00CA00F9"/>
    <w:rsid w:val="00CA0263"/>
    <w:rsid w:val="00CA095B"/>
    <w:rsid w:val="00CA0FCC"/>
    <w:rsid w:val="00CA1345"/>
    <w:rsid w:val="00CA1C59"/>
    <w:rsid w:val="00CA1DF0"/>
    <w:rsid w:val="00CA282E"/>
    <w:rsid w:val="00CA2961"/>
    <w:rsid w:val="00CA4D9F"/>
    <w:rsid w:val="00CA5279"/>
    <w:rsid w:val="00CA52F1"/>
    <w:rsid w:val="00CA5391"/>
    <w:rsid w:val="00CA5663"/>
    <w:rsid w:val="00CA58B0"/>
    <w:rsid w:val="00CA6507"/>
    <w:rsid w:val="00CB008C"/>
    <w:rsid w:val="00CB06DA"/>
    <w:rsid w:val="00CB0C73"/>
    <w:rsid w:val="00CB0CBC"/>
    <w:rsid w:val="00CB1516"/>
    <w:rsid w:val="00CB169A"/>
    <w:rsid w:val="00CB18F6"/>
    <w:rsid w:val="00CB2977"/>
    <w:rsid w:val="00CB2B3F"/>
    <w:rsid w:val="00CB2CD1"/>
    <w:rsid w:val="00CB3F91"/>
    <w:rsid w:val="00CB416D"/>
    <w:rsid w:val="00CB41F5"/>
    <w:rsid w:val="00CB42C2"/>
    <w:rsid w:val="00CB4DA8"/>
    <w:rsid w:val="00CB50D7"/>
    <w:rsid w:val="00CB580A"/>
    <w:rsid w:val="00CB5E25"/>
    <w:rsid w:val="00CB5F1D"/>
    <w:rsid w:val="00CB6166"/>
    <w:rsid w:val="00CB6302"/>
    <w:rsid w:val="00CB7177"/>
    <w:rsid w:val="00CB75D2"/>
    <w:rsid w:val="00CB75F7"/>
    <w:rsid w:val="00CB77A5"/>
    <w:rsid w:val="00CB7CED"/>
    <w:rsid w:val="00CC057F"/>
    <w:rsid w:val="00CC070F"/>
    <w:rsid w:val="00CC1998"/>
    <w:rsid w:val="00CC1D2B"/>
    <w:rsid w:val="00CC25DC"/>
    <w:rsid w:val="00CC2DAC"/>
    <w:rsid w:val="00CC4790"/>
    <w:rsid w:val="00CC4946"/>
    <w:rsid w:val="00CC4AC0"/>
    <w:rsid w:val="00CC5685"/>
    <w:rsid w:val="00CC637F"/>
    <w:rsid w:val="00CC64A1"/>
    <w:rsid w:val="00CC68CD"/>
    <w:rsid w:val="00CC77CF"/>
    <w:rsid w:val="00CD112C"/>
    <w:rsid w:val="00CD11C5"/>
    <w:rsid w:val="00CD17A9"/>
    <w:rsid w:val="00CD21B9"/>
    <w:rsid w:val="00CD26FA"/>
    <w:rsid w:val="00CD3012"/>
    <w:rsid w:val="00CD3ACD"/>
    <w:rsid w:val="00CD4654"/>
    <w:rsid w:val="00CD46B4"/>
    <w:rsid w:val="00CD569D"/>
    <w:rsid w:val="00CD65C5"/>
    <w:rsid w:val="00CD689F"/>
    <w:rsid w:val="00CD6BE9"/>
    <w:rsid w:val="00CD6E9C"/>
    <w:rsid w:val="00CD712F"/>
    <w:rsid w:val="00CD71F4"/>
    <w:rsid w:val="00CD754C"/>
    <w:rsid w:val="00CE00CA"/>
    <w:rsid w:val="00CE01F5"/>
    <w:rsid w:val="00CE0532"/>
    <w:rsid w:val="00CE0575"/>
    <w:rsid w:val="00CE1591"/>
    <w:rsid w:val="00CE1921"/>
    <w:rsid w:val="00CE1D9D"/>
    <w:rsid w:val="00CE28FA"/>
    <w:rsid w:val="00CE3474"/>
    <w:rsid w:val="00CE3689"/>
    <w:rsid w:val="00CE462D"/>
    <w:rsid w:val="00CE5918"/>
    <w:rsid w:val="00CF012D"/>
    <w:rsid w:val="00CF0546"/>
    <w:rsid w:val="00CF1299"/>
    <w:rsid w:val="00CF2466"/>
    <w:rsid w:val="00CF3B11"/>
    <w:rsid w:val="00CF3BD2"/>
    <w:rsid w:val="00CF3FFB"/>
    <w:rsid w:val="00CF4304"/>
    <w:rsid w:val="00CF4307"/>
    <w:rsid w:val="00CF47F6"/>
    <w:rsid w:val="00CF5219"/>
    <w:rsid w:val="00CF6D71"/>
    <w:rsid w:val="00CF792F"/>
    <w:rsid w:val="00CF7AA3"/>
    <w:rsid w:val="00D00BDD"/>
    <w:rsid w:val="00D00E1E"/>
    <w:rsid w:val="00D01AF6"/>
    <w:rsid w:val="00D023EB"/>
    <w:rsid w:val="00D0282C"/>
    <w:rsid w:val="00D033E0"/>
    <w:rsid w:val="00D03546"/>
    <w:rsid w:val="00D038CF"/>
    <w:rsid w:val="00D04589"/>
    <w:rsid w:val="00D04DC3"/>
    <w:rsid w:val="00D05B79"/>
    <w:rsid w:val="00D0685F"/>
    <w:rsid w:val="00D0703C"/>
    <w:rsid w:val="00D079CE"/>
    <w:rsid w:val="00D07B31"/>
    <w:rsid w:val="00D1032D"/>
    <w:rsid w:val="00D103B2"/>
    <w:rsid w:val="00D11184"/>
    <w:rsid w:val="00D12ADF"/>
    <w:rsid w:val="00D13043"/>
    <w:rsid w:val="00D140B5"/>
    <w:rsid w:val="00D144FC"/>
    <w:rsid w:val="00D1461F"/>
    <w:rsid w:val="00D14899"/>
    <w:rsid w:val="00D14D52"/>
    <w:rsid w:val="00D1524E"/>
    <w:rsid w:val="00D152F2"/>
    <w:rsid w:val="00D1638D"/>
    <w:rsid w:val="00D17576"/>
    <w:rsid w:val="00D2013D"/>
    <w:rsid w:val="00D20A75"/>
    <w:rsid w:val="00D2332A"/>
    <w:rsid w:val="00D2395C"/>
    <w:rsid w:val="00D23E0A"/>
    <w:rsid w:val="00D2467C"/>
    <w:rsid w:val="00D247D1"/>
    <w:rsid w:val="00D2484B"/>
    <w:rsid w:val="00D25DFF"/>
    <w:rsid w:val="00D2623F"/>
    <w:rsid w:val="00D2640A"/>
    <w:rsid w:val="00D26A57"/>
    <w:rsid w:val="00D26AC7"/>
    <w:rsid w:val="00D270A4"/>
    <w:rsid w:val="00D27E5E"/>
    <w:rsid w:val="00D30354"/>
    <w:rsid w:val="00D30A3E"/>
    <w:rsid w:val="00D30FAC"/>
    <w:rsid w:val="00D314B7"/>
    <w:rsid w:val="00D318D8"/>
    <w:rsid w:val="00D31C6D"/>
    <w:rsid w:val="00D31FE9"/>
    <w:rsid w:val="00D32106"/>
    <w:rsid w:val="00D32FB6"/>
    <w:rsid w:val="00D3403A"/>
    <w:rsid w:val="00D34E1B"/>
    <w:rsid w:val="00D36618"/>
    <w:rsid w:val="00D36C92"/>
    <w:rsid w:val="00D376BA"/>
    <w:rsid w:val="00D40120"/>
    <w:rsid w:val="00D40B8D"/>
    <w:rsid w:val="00D419F8"/>
    <w:rsid w:val="00D42564"/>
    <w:rsid w:val="00D426D0"/>
    <w:rsid w:val="00D42F79"/>
    <w:rsid w:val="00D434A0"/>
    <w:rsid w:val="00D43591"/>
    <w:rsid w:val="00D43617"/>
    <w:rsid w:val="00D44D41"/>
    <w:rsid w:val="00D45634"/>
    <w:rsid w:val="00D4578C"/>
    <w:rsid w:val="00D45B62"/>
    <w:rsid w:val="00D45FEA"/>
    <w:rsid w:val="00D46667"/>
    <w:rsid w:val="00D46EE9"/>
    <w:rsid w:val="00D470F2"/>
    <w:rsid w:val="00D500E1"/>
    <w:rsid w:val="00D510EC"/>
    <w:rsid w:val="00D51677"/>
    <w:rsid w:val="00D517B9"/>
    <w:rsid w:val="00D52CF6"/>
    <w:rsid w:val="00D52E32"/>
    <w:rsid w:val="00D53A68"/>
    <w:rsid w:val="00D53BB5"/>
    <w:rsid w:val="00D54057"/>
    <w:rsid w:val="00D540E1"/>
    <w:rsid w:val="00D5456C"/>
    <w:rsid w:val="00D555F8"/>
    <w:rsid w:val="00D5568A"/>
    <w:rsid w:val="00D562EF"/>
    <w:rsid w:val="00D56513"/>
    <w:rsid w:val="00D567C4"/>
    <w:rsid w:val="00D57854"/>
    <w:rsid w:val="00D612CA"/>
    <w:rsid w:val="00D6169A"/>
    <w:rsid w:val="00D618D2"/>
    <w:rsid w:val="00D619AE"/>
    <w:rsid w:val="00D61AEF"/>
    <w:rsid w:val="00D61B2E"/>
    <w:rsid w:val="00D61E13"/>
    <w:rsid w:val="00D62A57"/>
    <w:rsid w:val="00D63571"/>
    <w:rsid w:val="00D63877"/>
    <w:rsid w:val="00D63D73"/>
    <w:rsid w:val="00D64452"/>
    <w:rsid w:val="00D6691F"/>
    <w:rsid w:val="00D66E1E"/>
    <w:rsid w:val="00D67930"/>
    <w:rsid w:val="00D67D64"/>
    <w:rsid w:val="00D70389"/>
    <w:rsid w:val="00D705FE"/>
    <w:rsid w:val="00D70696"/>
    <w:rsid w:val="00D71023"/>
    <w:rsid w:val="00D712AF"/>
    <w:rsid w:val="00D71EE9"/>
    <w:rsid w:val="00D71F29"/>
    <w:rsid w:val="00D7412D"/>
    <w:rsid w:val="00D74467"/>
    <w:rsid w:val="00D7463D"/>
    <w:rsid w:val="00D74956"/>
    <w:rsid w:val="00D7497D"/>
    <w:rsid w:val="00D74D77"/>
    <w:rsid w:val="00D75722"/>
    <w:rsid w:val="00D758CA"/>
    <w:rsid w:val="00D774A8"/>
    <w:rsid w:val="00D7792E"/>
    <w:rsid w:val="00D7795B"/>
    <w:rsid w:val="00D77E46"/>
    <w:rsid w:val="00D808C5"/>
    <w:rsid w:val="00D80CF5"/>
    <w:rsid w:val="00D80DD2"/>
    <w:rsid w:val="00D81A09"/>
    <w:rsid w:val="00D81A50"/>
    <w:rsid w:val="00D81D50"/>
    <w:rsid w:val="00D82156"/>
    <w:rsid w:val="00D83417"/>
    <w:rsid w:val="00D8385E"/>
    <w:rsid w:val="00D84829"/>
    <w:rsid w:val="00D851A9"/>
    <w:rsid w:val="00D857FF"/>
    <w:rsid w:val="00D85DD2"/>
    <w:rsid w:val="00D86270"/>
    <w:rsid w:val="00D86F58"/>
    <w:rsid w:val="00D86F67"/>
    <w:rsid w:val="00D8778D"/>
    <w:rsid w:val="00D879AE"/>
    <w:rsid w:val="00D90338"/>
    <w:rsid w:val="00D90618"/>
    <w:rsid w:val="00D90D1E"/>
    <w:rsid w:val="00D91808"/>
    <w:rsid w:val="00D92580"/>
    <w:rsid w:val="00D92936"/>
    <w:rsid w:val="00D931B8"/>
    <w:rsid w:val="00D93366"/>
    <w:rsid w:val="00D9486F"/>
    <w:rsid w:val="00D94FC5"/>
    <w:rsid w:val="00D95E7D"/>
    <w:rsid w:val="00D95F3C"/>
    <w:rsid w:val="00D96C71"/>
    <w:rsid w:val="00D96E6E"/>
    <w:rsid w:val="00DA00C1"/>
    <w:rsid w:val="00DA1170"/>
    <w:rsid w:val="00DA2594"/>
    <w:rsid w:val="00DA30E7"/>
    <w:rsid w:val="00DA4D6F"/>
    <w:rsid w:val="00DA4F43"/>
    <w:rsid w:val="00DA5BBA"/>
    <w:rsid w:val="00DA6648"/>
    <w:rsid w:val="00DB06DE"/>
    <w:rsid w:val="00DB152C"/>
    <w:rsid w:val="00DB24CE"/>
    <w:rsid w:val="00DB26D2"/>
    <w:rsid w:val="00DB5332"/>
    <w:rsid w:val="00DB5B0D"/>
    <w:rsid w:val="00DB5ED4"/>
    <w:rsid w:val="00DB5F39"/>
    <w:rsid w:val="00DB62C6"/>
    <w:rsid w:val="00DB66C2"/>
    <w:rsid w:val="00DB67C9"/>
    <w:rsid w:val="00DB7148"/>
    <w:rsid w:val="00DB73B3"/>
    <w:rsid w:val="00DB795D"/>
    <w:rsid w:val="00DB7BB5"/>
    <w:rsid w:val="00DC08E9"/>
    <w:rsid w:val="00DC0C95"/>
    <w:rsid w:val="00DC19A2"/>
    <w:rsid w:val="00DC1C8B"/>
    <w:rsid w:val="00DC2F8A"/>
    <w:rsid w:val="00DC47DB"/>
    <w:rsid w:val="00DC4F0B"/>
    <w:rsid w:val="00DC6D8A"/>
    <w:rsid w:val="00DC7074"/>
    <w:rsid w:val="00DD01DD"/>
    <w:rsid w:val="00DD07FE"/>
    <w:rsid w:val="00DD0E79"/>
    <w:rsid w:val="00DD16A3"/>
    <w:rsid w:val="00DD21CE"/>
    <w:rsid w:val="00DD28E1"/>
    <w:rsid w:val="00DD351F"/>
    <w:rsid w:val="00DD41E3"/>
    <w:rsid w:val="00DD588B"/>
    <w:rsid w:val="00DD5979"/>
    <w:rsid w:val="00DD5FA4"/>
    <w:rsid w:val="00DD6287"/>
    <w:rsid w:val="00DD6580"/>
    <w:rsid w:val="00DD6DAC"/>
    <w:rsid w:val="00DD6F9E"/>
    <w:rsid w:val="00DD71F3"/>
    <w:rsid w:val="00DD7227"/>
    <w:rsid w:val="00DD74A0"/>
    <w:rsid w:val="00DD7A9F"/>
    <w:rsid w:val="00DE0C6F"/>
    <w:rsid w:val="00DE229C"/>
    <w:rsid w:val="00DE22E4"/>
    <w:rsid w:val="00DE235A"/>
    <w:rsid w:val="00DE2A77"/>
    <w:rsid w:val="00DE2ADB"/>
    <w:rsid w:val="00DE2B16"/>
    <w:rsid w:val="00DE2C50"/>
    <w:rsid w:val="00DE4594"/>
    <w:rsid w:val="00DE507A"/>
    <w:rsid w:val="00DE524C"/>
    <w:rsid w:val="00DE70E4"/>
    <w:rsid w:val="00DE727E"/>
    <w:rsid w:val="00DE7897"/>
    <w:rsid w:val="00DF0D11"/>
    <w:rsid w:val="00DF0E51"/>
    <w:rsid w:val="00DF1A21"/>
    <w:rsid w:val="00DF1EBB"/>
    <w:rsid w:val="00DF3315"/>
    <w:rsid w:val="00DF33D5"/>
    <w:rsid w:val="00DF6893"/>
    <w:rsid w:val="00DF6F7F"/>
    <w:rsid w:val="00E005D3"/>
    <w:rsid w:val="00E006BA"/>
    <w:rsid w:val="00E00DC6"/>
    <w:rsid w:val="00E013DA"/>
    <w:rsid w:val="00E01D7F"/>
    <w:rsid w:val="00E02616"/>
    <w:rsid w:val="00E02C13"/>
    <w:rsid w:val="00E030E1"/>
    <w:rsid w:val="00E03588"/>
    <w:rsid w:val="00E0464B"/>
    <w:rsid w:val="00E04873"/>
    <w:rsid w:val="00E04AD5"/>
    <w:rsid w:val="00E05229"/>
    <w:rsid w:val="00E0568C"/>
    <w:rsid w:val="00E059F1"/>
    <w:rsid w:val="00E05C03"/>
    <w:rsid w:val="00E06F61"/>
    <w:rsid w:val="00E07C7C"/>
    <w:rsid w:val="00E1101E"/>
    <w:rsid w:val="00E11E38"/>
    <w:rsid w:val="00E130D9"/>
    <w:rsid w:val="00E13193"/>
    <w:rsid w:val="00E136C3"/>
    <w:rsid w:val="00E13D51"/>
    <w:rsid w:val="00E15122"/>
    <w:rsid w:val="00E15B83"/>
    <w:rsid w:val="00E16887"/>
    <w:rsid w:val="00E168E1"/>
    <w:rsid w:val="00E16C08"/>
    <w:rsid w:val="00E16CAB"/>
    <w:rsid w:val="00E16D04"/>
    <w:rsid w:val="00E16F96"/>
    <w:rsid w:val="00E17420"/>
    <w:rsid w:val="00E1749B"/>
    <w:rsid w:val="00E17767"/>
    <w:rsid w:val="00E17C72"/>
    <w:rsid w:val="00E21388"/>
    <w:rsid w:val="00E21FC6"/>
    <w:rsid w:val="00E21FF5"/>
    <w:rsid w:val="00E221C2"/>
    <w:rsid w:val="00E22B69"/>
    <w:rsid w:val="00E255B9"/>
    <w:rsid w:val="00E25948"/>
    <w:rsid w:val="00E266F8"/>
    <w:rsid w:val="00E30331"/>
    <w:rsid w:val="00E30CF9"/>
    <w:rsid w:val="00E315C9"/>
    <w:rsid w:val="00E318D9"/>
    <w:rsid w:val="00E31C47"/>
    <w:rsid w:val="00E31D67"/>
    <w:rsid w:val="00E31FD5"/>
    <w:rsid w:val="00E33832"/>
    <w:rsid w:val="00E33EBD"/>
    <w:rsid w:val="00E34192"/>
    <w:rsid w:val="00E34936"/>
    <w:rsid w:val="00E351ED"/>
    <w:rsid w:val="00E354E6"/>
    <w:rsid w:val="00E356B9"/>
    <w:rsid w:val="00E35E61"/>
    <w:rsid w:val="00E363DA"/>
    <w:rsid w:val="00E405DB"/>
    <w:rsid w:val="00E4088D"/>
    <w:rsid w:val="00E40AA3"/>
    <w:rsid w:val="00E40C32"/>
    <w:rsid w:val="00E41818"/>
    <w:rsid w:val="00E42044"/>
    <w:rsid w:val="00E425D1"/>
    <w:rsid w:val="00E427EF"/>
    <w:rsid w:val="00E42ADD"/>
    <w:rsid w:val="00E42B44"/>
    <w:rsid w:val="00E431A9"/>
    <w:rsid w:val="00E43579"/>
    <w:rsid w:val="00E45456"/>
    <w:rsid w:val="00E4595F"/>
    <w:rsid w:val="00E468BB"/>
    <w:rsid w:val="00E46E2E"/>
    <w:rsid w:val="00E472BF"/>
    <w:rsid w:val="00E47E1E"/>
    <w:rsid w:val="00E5083C"/>
    <w:rsid w:val="00E50CC2"/>
    <w:rsid w:val="00E52A8C"/>
    <w:rsid w:val="00E52BB3"/>
    <w:rsid w:val="00E53214"/>
    <w:rsid w:val="00E544F4"/>
    <w:rsid w:val="00E550E9"/>
    <w:rsid w:val="00E554FF"/>
    <w:rsid w:val="00E563BC"/>
    <w:rsid w:val="00E566B5"/>
    <w:rsid w:val="00E56C19"/>
    <w:rsid w:val="00E57839"/>
    <w:rsid w:val="00E60E98"/>
    <w:rsid w:val="00E62367"/>
    <w:rsid w:val="00E62508"/>
    <w:rsid w:val="00E63559"/>
    <w:rsid w:val="00E637A3"/>
    <w:rsid w:val="00E63A63"/>
    <w:rsid w:val="00E63E43"/>
    <w:rsid w:val="00E63EA7"/>
    <w:rsid w:val="00E64035"/>
    <w:rsid w:val="00E6496A"/>
    <w:rsid w:val="00E64B3A"/>
    <w:rsid w:val="00E6523B"/>
    <w:rsid w:val="00E65E07"/>
    <w:rsid w:val="00E669E2"/>
    <w:rsid w:val="00E6781D"/>
    <w:rsid w:val="00E7003F"/>
    <w:rsid w:val="00E708A7"/>
    <w:rsid w:val="00E70F4C"/>
    <w:rsid w:val="00E7288C"/>
    <w:rsid w:val="00E74184"/>
    <w:rsid w:val="00E74738"/>
    <w:rsid w:val="00E752BB"/>
    <w:rsid w:val="00E756DB"/>
    <w:rsid w:val="00E75B02"/>
    <w:rsid w:val="00E76135"/>
    <w:rsid w:val="00E76D20"/>
    <w:rsid w:val="00E77082"/>
    <w:rsid w:val="00E77EB6"/>
    <w:rsid w:val="00E817A4"/>
    <w:rsid w:val="00E8238D"/>
    <w:rsid w:val="00E82F4F"/>
    <w:rsid w:val="00E84773"/>
    <w:rsid w:val="00E85956"/>
    <w:rsid w:val="00E864DF"/>
    <w:rsid w:val="00E86AC5"/>
    <w:rsid w:val="00E86DEA"/>
    <w:rsid w:val="00E8754E"/>
    <w:rsid w:val="00E87805"/>
    <w:rsid w:val="00E906B2"/>
    <w:rsid w:val="00E90B4B"/>
    <w:rsid w:val="00E92750"/>
    <w:rsid w:val="00E93428"/>
    <w:rsid w:val="00E94F5D"/>
    <w:rsid w:val="00E95F36"/>
    <w:rsid w:val="00E9636F"/>
    <w:rsid w:val="00E96DAD"/>
    <w:rsid w:val="00E970FA"/>
    <w:rsid w:val="00E97557"/>
    <w:rsid w:val="00E97ED9"/>
    <w:rsid w:val="00EA04E0"/>
    <w:rsid w:val="00EA2C67"/>
    <w:rsid w:val="00EA38B5"/>
    <w:rsid w:val="00EA3EDE"/>
    <w:rsid w:val="00EA5001"/>
    <w:rsid w:val="00EA5EAB"/>
    <w:rsid w:val="00EA667D"/>
    <w:rsid w:val="00EA7632"/>
    <w:rsid w:val="00EB0844"/>
    <w:rsid w:val="00EB146C"/>
    <w:rsid w:val="00EB1D95"/>
    <w:rsid w:val="00EB28C1"/>
    <w:rsid w:val="00EB2CC3"/>
    <w:rsid w:val="00EB2DD5"/>
    <w:rsid w:val="00EB3D7B"/>
    <w:rsid w:val="00EB4372"/>
    <w:rsid w:val="00EB51F8"/>
    <w:rsid w:val="00EB5511"/>
    <w:rsid w:val="00EB555A"/>
    <w:rsid w:val="00EB61C6"/>
    <w:rsid w:val="00EC2332"/>
    <w:rsid w:val="00EC2844"/>
    <w:rsid w:val="00EC2FDC"/>
    <w:rsid w:val="00EC30AD"/>
    <w:rsid w:val="00EC3E10"/>
    <w:rsid w:val="00EC4550"/>
    <w:rsid w:val="00EC4D23"/>
    <w:rsid w:val="00EC5500"/>
    <w:rsid w:val="00EC5A72"/>
    <w:rsid w:val="00EC5CB9"/>
    <w:rsid w:val="00EC627F"/>
    <w:rsid w:val="00EC6533"/>
    <w:rsid w:val="00EC6DDD"/>
    <w:rsid w:val="00ED073E"/>
    <w:rsid w:val="00ED088F"/>
    <w:rsid w:val="00ED0C90"/>
    <w:rsid w:val="00ED0E87"/>
    <w:rsid w:val="00ED18F8"/>
    <w:rsid w:val="00ED19F7"/>
    <w:rsid w:val="00ED1FE5"/>
    <w:rsid w:val="00ED2187"/>
    <w:rsid w:val="00ED2C17"/>
    <w:rsid w:val="00ED3611"/>
    <w:rsid w:val="00ED3C98"/>
    <w:rsid w:val="00ED3DB8"/>
    <w:rsid w:val="00ED4963"/>
    <w:rsid w:val="00ED4DB5"/>
    <w:rsid w:val="00ED4DFB"/>
    <w:rsid w:val="00ED501D"/>
    <w:rsid w:val="00ED52DF"/>
    <w:rsid w:val="00ED5BE1"/>
    <w:rsid w:val="00ED5C53"/>
    <w:rsid w:val="00ED680A"/>
    <w:rsid w:val="00ED71D2"/>
    <w:rsid w:val="00ED72B5"/>
    <w:rsid w:val="00ED7878"/>
    <w:rsid w:val="00EE0E3D"/>
    <w:rsid w:val="00EE13CB"/>
    <w:rsid w:val="00EE187B"/>
    <w:rsid w:val="00EE1B23"/>
    <w:rsid w:val="00EE245B"/>
    <w:rsid w:val="00EE271A"/>
    <w:rsid w:val="00EE2AA5"/>
    <w:rsid w:val="00EE38A8"/>
    <w:rsid w:val="00EE3E65"/>
    <w:rsid w:val="00EE4F12"/>
    <w:rsid w:val="00EE6EDA"/>
    <w:rsid w:val="00EE716E"/>
    <w:rsid w:val="00EE7539"/>
    <w:rsid w:val="00EE778E"/>
    <w:rsid w:val="00EF02B0"/>
    <w:rsid w:val="00EF2378"/>
    <w:rsid w:val="00EF2F35"/>
    <w:rsid w:val="00EF3D32"/>
    <w:rsid w:val="00EF4DA6"/>
    <w:rsid w:val="00EF54B2"/>
    <w:rsid w:val="00EF6719"/>
    <w:rsid w:val="00EF6B9D"/>
    <w:rsid w:val="00EF6C6C"/>
    <w:rsid w:val="00F007C3"/>
    <w:rsid w:val="00F0154F"/>
    <w:rsid w:val="00F015EF"/>
    <w:rsid w:val="00F01D9C"/>
    <w:rsid w:val="00F01ECF"/>
    <w:rsid w:val="00F01ED9"/>
    <w:rsid w:val="00F036E4"/>
    <w:rsid w:val="00F03927"/>
    <w:rsid w:val="00F03C63"/>
    <w:rsid w:val="00F04C0B"/>
    <w:rsid w:val="00F04EE9"/>
    <w:rsid w:val="00F05590"/>
    <w:rsid w:val="00F056FC"/>
    <w:rsid w:val="00F06138"/>
    <w:rsid w:val="00F0632F"/>
    <w:rsid w:val="00F0685B"/>
    <w:rsid w:val="00F06914"/>
    <w:rsid w:val="00F069AE"/>
    <w:rsid w:val="00F070CC"/>
    <w:rsid w:val="00F07884"/>
    <w:rsid w:val="00F10476"/>
    <w:rsid w:val="00F107CB"/>
    <w:rsid w:val="00F10860"/>
    <w:rsid w:val="00F117AE"/>
    <w:rsid w:val="00F12120"/>
    <w:rsid w:val="00F12859"/>
    <w:rsid w:val="00F12883"/>
    <w:rsid w:val="00F12DD0"/>
    <w:rsid w:val="00F13563"/>
    <w:rsid w:val="00F135D8"/>
    <w:rsid w:val="00F137F1"/>
    <w:rsid w:val="00F13DD8"/>
    <w:rsid w:val="00F15287"/>
    <w:rsid w:val="00F15ED7"/>
    <w:rsid w:val="00F1750F"/>
    <w:rsid w:val="00F206E2"/>
    <w:rsid w:val="00F21F91"/>
    <w:rsid w:val="00F2262F"/>
    <w:rsid w:val="00F22B9D"/>
    <w:rsid w:val="00F23E09"/>
    <w:rsid w:val="00F23F3A"/>
    <w:rsid w:val="00F249DE"/>
    <w:rsid w:val="00F26436"/>
    <w:rsid w:val="00F27299"/>
    <w:rsid w:val="00F277E4"/>
    <w:rsid w:val="00F2789E"/>
    <w:rsid w:val="00F3020F"/>
    <w:rsid w:val="00F30B79"/>
    <w:rsid w:val="00F30BDC"/>
    <w:rsid w:val="00F30F8E"/>
    <w:rsid w:val="00F31299"/>
    <w:rsid w:val="00F3534A"/>
    <w:rsid w:val="00F35BFB"/>
    <w:rsid w:val="00F36035"/>
    <w:rsid w:val="00F36205"/>
    <w:rsid w:val="00F3648A"/>
    <w:rsid w:val="00F36ACC"/>
    <w:rsid w:val="00F36FB7"/>
    <w:rsid w:val="00F370F5"/>
    <w:rsid w:val="00F40432"/>
    <w:rsid w:val="00F406D1"/>
    <w:rsid w:val="00F4153B"/>
    <w:rsid w:val="00F41656"/>
    <w:rsid w:val="00F418E5"/>
    <w:rsid w:val="00F43863"/>
    <w:rsid w:val="00F43D31"/>
    <w:rsid w:val="00F446A4"/>
    <w:rsid w:val="00F44E29"/>
    <w:rsid w:val="00F45919"/>
    <w:rsid w:val="00F45974"/>
    <w:rsid w:val="00F46094"/>
    <w:rsid w:val="00F463CF"/>
    <w:rsid w:val="00F46F3B"/>
    <w:rsid w:val="00F4759D"/>
    <w:rsid w:val="00F5082C"/>
    <w:rsid w:val="00F50BD2"/>
    <w:rsid w:val="00F511B1"/>
    <w:rsid w:val="00F512C5"/>
    <w:rsid w:val="00F5142C"/>
    <w:rsid w:val="00F51609"/>
    <w:rsid w:val="00F51964"/>
    <w:rsid w:val="00F51FE8"/>
    <w:rsid w:val="00F52240"/>
    <w:rsid w:val="00F538A5"/>
    <w:rsid w:val="00F53DE9"/>
    <w:rsid w:val="00F54907"/>
    <w:rsid w:val="00F5528E"/>
    <w:rsid w:val="00F55363"/>
    <w:rsid w:val="00F55BAB"/>
    <w:rsid w:val="00F55C25"/>
    <w:rsid w:val="00F56427"/>
    <w:rsid w:val="00F5688A"/>
    <w:rsid w:val="00F56D6E"/>
    <w:rsid w:val="00F56EB4"/>
    <w:rsid w:val="00F578F9"/>
    <w:rsid w:val="00F60B62"/>
    <w:rsid w:val="00F617A3"/>
    <w:rsid w:val="00F618E9"/>
    <w:rsid w:val="00F61CCE"/>
    <w:rsid w:val="00F61E83"/>
    <w:rsid w:val="00F62A69"/>
    <w:rsid w:val="00F62F27"/>
    <w:rsid w:val="00F642A6"/>
    <w:rsid w:val="00F6432A"/>
    <w:rsid w:val="00F64356"/>
    <w:rsid w:val="00F66914"/>
    <w:rsid w:val="00F67221"/>
    <w:rsid w:val="00F675E9"/>
    <w:rsid w:val="00F67BB1"/>
    <w:rsid w:val="00F67EB1"/>
    <w:rsid w:val="00F7000B"/>
    <w:rsid w:val="00F707B7"/>
    <w:rsid w:val="00F712E7"/>
    <w:rsid w:val="00F71333"/>
    <w:rsid w:val="00F71612"/>
    <w:rsid w:val="00F71673"/>
    <w:rsid w:val="00F721AE"/>
    <w:rsid w:val="00F72734"/>
    <w:rsid w:val="00F72F7B"/>
    <w:rsid w:val="00F73727"/>
    <w:rsid w:val="00F73890"/>
    <w:rsid w:val="00F73D9B"/>
    <w:rsid w:val="00F76369"/>
    <w:rsid w:val="00F766A7"/>
    <w:rsid w:val="00F77D32"/>
    <w:rsid w:val="00F81006"/>
    <w:rsid w:val="00F82D94"/>
    <w:rsid w:val="00F843FC"/>
    <w:rsid w:val="00F84C06"/>
    <w:rsid w:val="00F85325"/>
    <w:rsid w:val="00F85365"/>
    <w:rsid w:val="00F87164"/>
    <w:rsid w:val="00F8758A"/>
    <w:rsid w:val="00F878E7"/>
    <w:rsid w:val="00F8792D"/>
    <w:rsid w:val="00F8795E"/>
    <w:rsid w:val="00F90FB6"/>
    <w:rsid w:val="00F93D59"/>
    <w:rsid w:val="00F93E62"/>
    <w:rsid w:val="00F951A1"/>
    <w:rsid w:val="00F95982"/>
    <w:rsid w:val="00F96137"/>
    <w:rsid w:val="00F961DC"/>
    <w:rsid w:val="00F96937"/>
    <w:rsid w:val="00F96BFE"/>
    <w:rsid w:val="00FA0256"/>
    <w:rsid w:val="00FA0D37"/>
    <w:rsid w:val="00FA121D"/>
    <w:rsid w:val="00FA1F9F"/>
    <w:rsid w:val="00FA20EA"/>
    <w:rsid w:val="00FA3296"/>
    <w:rsid w:val="00FA35EA"/>
    <w:rsid w:val="00FA390D"/>
    <w:rsid w:val="00FA3CAE"/>
    <w:rsid w:val="00FA3E3E"/>
    <w:rsid w:val="00FA3F03"/>
    <w:rsid w:val="00FA44FA"/>
    <w:rsid w:val="00FA45C2"/>
    <w:rsid w:val="00FA4FA6"/>
    <w:rsid w:val="00FA664D"/>
    <w:rsid w:val="00FA6847"/>
    <w:rsid w:val="00FB0666"/>
    <w:rsid w:val="00FB30E8"/>
    <w:rsid w:val="00FB3242"/>
    <w:rsid w:val="00FB516C"/>
    <w:rsid w:val="00FB574A"/>
    <w:rsid w:val="00FB6538"/>
    <w:rsid w:val="00FB70ED"/>
    <w:rsid w:val="00FB7974"/>
    <w:rsid w:val="00FC0DA8"/>
    <w:rsid w:val="00FC0E79"/>
    <w:rsid w:val="00FC15CA"/>
    <w:rsid w:val="00FC3474"/>
    <w:rsid w:val="00FC3A2C"/>
    <w:rsid w:val="00FC5339"/>
    <w:rsid w:val="00FC66BB"/>
    <w:rsid w:val="00FC6B8E"/>
    <w:rsid w:val="00FC6F13"/>
    <w:rsid w:val="00FC70F9"/>
    <w:rsid w:val="00FC72BE"/>
    <w:rsid w:val="00FC7B4F"/>
    <w:rsid w:val="00FC7E16"/>
    <w:rsid w:val="00FD02C3"/>
    <w:rsid w:val="00FD04A1"/>
    <w:rsid w:val="00FD07D3"/>
    <w:rsid w:val="00FD1063"/>
    <w:rsid w:val="00FD1A6C"/>
    <w:rsid w:val="00FD1D5B"/>
    <w:rsid w:val="00FD1DD1"/>
    <w:rsid w:val="00FD22B1"/>
    <w:rsid w:val="00FD279B"/>
    <w:rsid w:val="00FD2D50"/>
    <w:rsid w:val="00FD33F1"/>
    <w:rsid w:val="00FD347D"/>
    <w:rsid w:val="00FD3566"/>
    <w:rsid w:val="00FD36A6"/>
    <w:rsid w:val="00FD38AF"/>
    <w:rsid w:val="00FD3A37"/>
    <w:rsid w:val="00FD3B5E"/>
    <w:rsid w:val="00FD522A"/>
    <w:rsid w:val="00FD55AC"/>
    <w:rsid w:val="00FD7E76"/>
    <w:rsid w:val="00FE055E"/>
    <w:rsid w:val="00FE056B"/>
    <w:rsid w:val="00FE11DE"/>
    <w:rsid w:val="00FE1575"/>
    <w:rsid w:val="00FE1A73"/>
    <w:rsid w:val="00FE1C50"/>
    <w:rsid w:val="00FE207F"/>
    <w:rsid w:val="00FE2C4C"/>
    <w:rsid w:val="00FE2C50"/>
    <w:rsid w:val="00FE3412"/>
    <w:rsid w:val="00FE3718"/>
    <w:rsid w:val="00FE3C71"/>
    <w:rsid w:val="00FE3E45"/>
    <w:rsid w:val="00FE4719"/>
    <w:rsid w:val="00FE5397"/>
    <w:rsid w:val="00FE550F"/>
    <w:rsid w:val="00FE55B4"/>
    <w:rsid w:val="00FE58E3"/>
    <w:rsid w:val="00FE5B17"/>
    <w:rsid w:val="00FE6BEE"/>
    <w:rsid w:val="00FE6EF2"/>
    <w:rsid w:val="00FE6F0A"/>
    <w:rsid w:val="00FF06DE"/>
    <w:rsid w:val="00FF0D1D"/>
    <w:rsid w:val="00FF4426"/>
    <w:rsid w:val="00FF4A26"/>
    <w:rsid w:val="00FF4AC3"/>
    <w:rsid w:val="00FF6CC8"/>
    <w:rsid w:val="15C97A4C"/>
    <w:rsid w:val="5D543E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762A4"/>
  <w15:docId w15:val="{DC540B3E-6427-4484-95E0-34051470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D0D4B"/>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20"/>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CommentSubject">
    <w:name w:val="annotation subject"/>
    <w:basedOn w:val="CommentText"/>
    <w:next w:val="CommentText"/>
    <w:link w:val="CommentSubjectChar"/>
    <w:semiHidden/>
    <w:unhideWhenUsed/>
    <w:rsid w:val="000D0D4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0D0D4B"/>
    <w:rPr>
      <w:szCs w:val="24"/>
    </w:rPr>
  </w:style>
  <w:style w:type="character" w:customStyle="1" w:styleId="CommentSubjectChar">
    <w:name w:val="Comment Subject Char"/>
    <w:basedOn w:val="CommentTextChar"/>
    <w:link w:val="CommentSubject"/>
    <w:semiHidden/>
    <w:rsid w:val="000D0D4B"/>
    <w:rPr>
      <w:b/>
      <w:bCs/>
      <w:szCs w:val="24"/>
    </w:rPr>
  </w:style>
  <w:style w:type="character" w:styleId="Hyperlink">
    <w:name w:val="Hyperlink"/>
    <w:basedOn w:val="DefaultParagraphFont"/>
    <w:unhideWhenUsed/>
    <w:rsid w:val="000D0D4B"/>
    <w:rPr>
      <w:color w:val="000000" w:themeColor="hyperlink"/>
      <w:u w:val="single"/>
    </w:rPr>
  </w:style>
  <w:style w:type="paragraph" w:styleId="EndnoteText">
    <w:name w:val="endnote text"/>
    <w:basedOn w:val="Normal"/>
    <w:link w:val="EndnoteTextChar"/>
    <w:semiHidden/>
    <w:unhideWhenUsed/>
    <w:rsid w:val="000D0D4B"/>
    <w:rPr>
      <w:sz w:val="20"/>
      <w:szCs w:val="20"/>
    </w:rPr>
  </w:style>
  <w:style w:type="character" w:customStyle="1" w:styleId="EndnoteTextChar">
    <w:name w:val="Endnote Text Char"/>
    <w:basedOn w:val="DefaultParagraphFont"/>
    <w:link w:val="EndnoteText"/>
    <w:semiHidden/>
    <w:rsid w:val="000D0D4B"/>
  </w:style>
  <w:style w:type="character" w:styleId="EndnoteReference">
    <w:name w:val="endnote reference"/>
    <w:basedOn w:val="DefaultParagraphFont"/>
    <w:semiHidden/>
    <w:unhideWhenUsed/>
    <w:rsid w:val="000D0D4B"/>
    <w:rPr>
      <w:vertAlign w:val="superscript"/>
    </w:rPr>
  </w:style>
  <w:style w:type="character" w:customStyle="1" w:styleId="citation">
    <w:name w:val="citation"/>
    <w:basedOn w:val="DefaultParagraphFont"/>
    <w:rsid w:val="000D0D4B"/>
  </w:style>
  <w:style w:type="character" w:styleId="HTMLCite">
    <w:name w:val="HTML Cite"/>
    <w:basedOn w:val="DefaultParagraphFont"/>
    <w:uiPriority w:val="99"/>
    <w:semiHidden/>
    <w:unhideWhenUsed/>
    <w:rsid w:val="000D0D4B"/>
    <w:rPr>
      <w:i/>
      <w:iCs/>
    </w:rPr>
  </w:style>
  <w:style w:type="character" w:customStyle="1" w:styleId="retrieval">
    <w:name w:val="retrieval"/>
    <w:basedOn w:val="DefaultParagraphFont"/>
    <w:rsid w:val="000D0D4B"/>
  </w:style>
  <w:style w:type="paragraph" w:customStyle="1" w:styleId="Default">
    <w:name w:val="Default"/>
    <w:rsid w:val="000D0D4B"/>
    <w:pPr>
      <w:autoSpaceDE w:val="0"/>
      <w:autoSpaceDN w:val="0"/>
      <w:adjustRightInd w:val="0"/>
    </w:pPr>
    <w:rPr>
      <w:color w:val="000000"/>
      <w:sz w:val="24"/>
      <w:szCs w:val="24"/>
    </w:rPr>
  </w:style>
  <w:style w:type="paragraph" w:customStyle="1" w:styleId="CM84">
    <w:name w:val="CM84"/>
    <w:basedOn w:val="Default"/>
    <w:next w:val="Default"/>
    <w:uiPriority w:val="99"/>
    <w:rsid w:val="000D0D4B"/>
    <w:rPr>
      <w:color w:val="auto"/>
    </w:rPr>
  </w:style>
  <w:style w:type="paragraph" w:customStyle="1" w:styleId="CM87">
    <w:name w:val="CM87"/>
    <w:basedOn w:val="Default"/>
    <w:next w:val="Default"/>
    <w:uiPriority w:val="99"/>
    <w:rsid w:val="000D0D4B"/>
    <w:rPr>
      <w:color w:val="auto"/>
    </w:rPr>
  </w:style>
  <w:style w:type="character" w:styleId="UnresolvedMention">
    <w:name w:val="Unresolved Mention"/>
    <w:basedOn w:val="DefaultParagraphFont"/>
    <w:uiPriority w:val="99"/>
    <w:semiHidden/>
    <w:unhideWhenUsed/>
    <w:rsid w:val="000D0D4B"/>
    <w:rPr>
      <w:color w:val="605E5C"/>
      <w:shd w:val="clear" w:color="auto" w:fill="E1DFDD"/>
    </w:rPr>
  </w:style>
  <w:style w:type="paragraph" w:styleId="ListParagraph">
    <w:name w:val="List Paragraph"/>
    <w:basedOn w:val="Normal"/>
    <w:uiPriority w:val="34"/>
    <w:qFormat/>
    <w:rsid w:val="000D0D4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dtitle">
    <w:name w:val="dtitle"/>
    <w:basedOn w:val="DefaultParagraphFont"/>
    <w:rsid w:val="00D6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2217">
      <w:bodyDiv w:val="1"/>
      <w:marLeft w:val="0"/>
      <w:marRight w:val="0"/>
      <w:marTop w:val="0"/>
      <w:marBottom w:val="0"/>
      <w:divBdr>
        <w:top w:val="none" w:sz="0" w:space="0" w:color="auto"/>
        <w:left w:val="none" w:sz="0" w:space="0" w:color="auto"/>
        <w:bottom w:val="none" w:sz="0" w:space="0" w:color="auto"/>
        <w:right w:val="none" w:sz="0" w:space="0" w:color="auto"/>
      </w:divBdr>
    </w:div>
    <w:div w:id="1527325961">
      <w:bodyDiv w:val="1"/>
      <w:marLeft w:val="0"/>
      <w:marRight w:val="0"/>
      <w:marTop w:val="0"/>
      <w:marBottom w:val="0"/>
      <w:divBdr>
        <w:top w:val="none" w:sz="0" w:space="0" w:color="auto"/>
        <w:left w:val="none" w:sz="0" w:space="0" w:color="auto"/>
        <w:bottom w:val="none" w:sz="0" w:space="0" w:color="auto"/>
        <w:right w:val="none" w:sz="0" w:space="0" w:color="auto"/>
      </w:divBdr>
      <w:divsChild>
        <w:div w:id="1085496522">
          <w:marLeft w:val="0"/>
          <w:marRight w:val="0"/>
          <w:marTop w:val="0"/>
          <w:marBottom w:val="0"/>
          <w:divBdr>
            <w:top w:val="none" w:sz="0" w:space="0" w:color="auto"/>
            <w:left w:val="none" w:sz="0" w:space="0" w:color="auto"/>
            <w:bottom w:val="none" w:sz="0" w:space="0" w:color="auto"/>
            <w:right w:val="none" w:sz="0" w:space="0" w:color="auto"/>
          </w:divBdr>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315977-6556-46c4-b7a1-0de70f1cebfc">
      <UserInfo>
        <DisplayName/>
        <AccountId xsi:nil="true"/>
        <AccountType/>
      </UserInfo>
    </SharedWithUsers>
    <TaxCatchAll xmlns="f5315977-6556-46c4-b7a1-0de70f1cebfc">
      <Value>1</Value>
    </TaxCatchAll>
    <i0f84bba906045b4af568ee102a52dcb xmlns="f5315977-6556-46c4-b7a1-0de70f1cebf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B11FEFDC78B24280094AF46E13EF11" ma:contentTypeVersion="9" ma:contentTypeDescription="Create a new document." ma:contentTypeScope="" ma:versionID="4a21155e903519bcf4220f39cdf9f640">
  <xsd:schema xmlns:xsd="http://www.w3.org/2001/XMLSchema" xmlns:xs="http://www.w3.org/2001/XMLSchema" xmlns:p="http://schemas.microsoft.com/office/2006/metadata/properties" xmlns:ns2="f5315977-6556-46c4-b7a1-0de70f1cebfc" xmlns:ns3="abbe08f8-d071-467d-a643-ba18176d35d9" targetNamespace="http://schemas.microsoft.com/office/2006/metadata/properties" ma:root="true" ma:fieldsID="e3c59d5a00b08485d260a5e9ca07e302" ns2:_="" ns3:_="">
    <xsd:import namespace="f5315977-6556-46c4-b7a1-0de70f1cebfc"/>
    <xsd:import namespace="abbe08f8-d071-467d-a643-ba18176d35d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15977-6556-46c4-b7a1-0de70f1cebfc"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b8e8072-5b80-4c13-8035-07b35a10a4d2}" ma:internalName="TaxCatchAll" ma:showField="CatchAllData" ma:web="f5315977-6556-46c4-b7a1-0de70f1cebf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e08f8-d071-467d-a643-ba18176d35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08911-ED76-4DD6-9461-C7BEABEC46A0}">
  <ds:schemaRefs>
    <ds:schemaRef ds:uri="http://purl.org/dc/elements/1.1/"/>
    <ds:schemaRef ds:uri="abbe08f8-d071-467d-a643-ba18176d35d9"/>
    <ds:schemaRef ds:uri="http://schemas.microsoft.com/office/2006/documentManagement/types"/>
    <ds:schemaRef ds:uri="f5315977-6556-46c4-b7a1-0de70f1cebfc"/>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86CA874-4F5C-47D2-A17C-B3D5E6D92CA6}">
  <ds:schemaRefs>
    <ds:schemaRef ds:uri="http://schemas.microsoft.com/sharepoint/v3/contenttype/forms"/>
  </ds:schemaRefs>
</ds:datastoreItem>
</file>

<file path=customXml/itemProps3.xml><?xml version="1.0" encoding="utf-8"?>
<ds:datastoreItem xmlns:ds="http://schemas.openxmlformats.org/officeDocument/2006/customXml" ds:itemID="{2EF6F69B-9E61-4E87-9FFC-9D92899419F2}">
  <ds:schemaRefs>
    <ds:schemaRef ds:uri="http://schemas.openxmlformats.org/officeDocument/2006/bibliography"/>
  </ds:schemaRefs>
</ds:datastoreItem>
</file>

<file path=customXml/itemProps4.xml><?xml version="1.0" encoding="utf-8"?>
<ds:datastoreItem xmlns:ds="http://schemas.openxmlformats.org/officeDocument/2006/customXml" ds:itemID="{30679381-6068-4DA2-8378-0C76410BC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15977-6556-46c4-b7a1-0de70f1cebfc"/>
    <ds:schemaRef ds:uri="abbe08f8-d071-467d-a643-ba18176d3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13</Pages>
  <Words>4666</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Quality Initial Teacher Education Review - PC Submission</vt:lpstr>
    </vt:vector>
  </TitlesOfParts>
  <Manager/>
  <Company>Productivity Commission</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Initial Teacher Education Review - PC Submission</dc:title>
  <dc:subject>Report</dc:subject>
  <dc:creator>Productivity Commission</dc:creator>
  <cp:keywords/>
  <dc:description/>
  <cp:lastModifiedBy>Dobson, Bianca</cp:lastModifiedBy>
  <cp:revision>63</cp:revision>
  <cp:lastPrinted>2021-07-16T22:31:00Z</cp:lastPrinted>
  <dcterms:created xsi:type="dcterms:W3CDTF">2021-07-16T15:46:00Z</dcterms:created>
  <dcterms:modified xsi:type="dcterms:W3CDTF">2022-02-25T00:18:00Z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0x010100B7B11FEFDC78B24280094AF46E13EF11</vt:lpwstr>
  </property>
  <property fmtid="{D5CDD505-2E9C-101B-9397-08002B2CF9AE}" pid="3" name="RevIMBCS">
    <vt:lpwstr>1;#Unclassified|3955eeb1-2d18-4582-aeb2-00144ec3aaf5</vt:lpwstr>
  </property>
</Properties>
</file>