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9" w:rsidRPr="00C309DC" w:rsidRDefault="00471B29" w:rsidP="00471B29">
      <w:pPr>
        <w:pStyle w:val="Heading1"/>
        <w:spacing w:before="0"/>
        <w:ind w:left="0" w:firstLine="0"/>
        <w:rPr>
          <w:rFonts w:ascii="Arial" w:hAnsi="Arial" w:cs="Arial"/>
          <w:color w:val="FFFFFF" w:themeColor="background1"/>
          <w:position w:val="16"/>
          <w:sz w:val="16"/>
          <w:szCs w:val="16"/>
        </w:rPr>
      </w:pPr>
      <w:bookmarkStart w:id="0" w:name="_Toc26430219"/>
      <w:bookmarkStart w:id="1" w:name="_Toc512845657"/>
      <w:r w:rsidRPr="00C309DC">
        <w:rPr>
          <w:noProof/>
          <w:color w:val="FFFFFF" w:themeColor="background1"/>
          <w:sz w:val="16"/>
          <w:szCs w:val="16"/>
        </w:rPr>
        <w:drawing>
          <wp:anchor distT="0" distB="0" distL="114300" distR="114300" simplePos="0" relativeHeight="251659264" behindDoc="0" locked="0" layoutInCell="1" allowOverlap="1" wp14:anchorId="757D6143" wp14:editId="660930D6">
            <wp:simplePos x="833718" y="833718"/>
            <wp:positionH relativeFrom="page">
              <wp:align>center</wp:align>
            </wp:positionH>
            <wp:positionV relativeFrom="page">
              <wp:align>center</wp:align>
            </wp:positionV>
            <wp:extent cx="7584218" cy="10727999"/>
            <wp:effectExtent l="0" t="0" r="0" b="0"/>
            <wp:wrapNone/>
            <wp:docPr id="2" name="Picture 2" descr="Cover for: Using real expenditure to assess policy impacts, Xiao-guang Zhang, Productivity Commission Staff Research Note, December 2019.&#10;The views expressed in this research note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staff-research-notes-cge-models.png"/>
                    <pic:cNvPicPr/>
                  </pic:nvPicPr>
                  <pic:blipFill>
                    <a:blip r:embed="rId8">
                      <a:extLst>
                        <a:ext uri="{28A0092B-C50C-407E-A947-70E740481C1C}">
                          <a14:useLocalDpi xmlns:a14="http://schemas.microsoft.com/office/drawing/2010/main" val="0"/>
                        </a:ext>
                      </a:extLst>
                    </a:blip>
                    <a:stretch>
                      <a:fillRect/>
                    </a:stretch>
                  </pic:blipFill>
                  <pic:spPr>
                    <a:xfrm>
                      <a:off x="0" y="0"/>
                      <a:ext cx="7584218" cy="10727999"/>
                    </a:xfrm>
                    <a:prstGeom prst="rect">
                      <a:avLst/>
                    </a:prstGeom>
                  </pic:spPr>
                </pic:pic>
              </a:graphicData>
            </a:graphic>
            <wp14:sizeRelH relativeFrom="margin">
              <wp14:pctWidth>0</wp14:pctWidth>
            </wp14:sizeRelH>
            <wp14:sizeRelV relativeFrom="margin">
              <wp14:pctHeight>0</wp14:pctHeight>
            </wp14:sizeRelV>
          </wp:anchor>
        </w:drawing>
      </w:r>
      <w:r w:rsidR="00C309DC" w:rsidRPr="00C309DC">
        <w:rPr>
          <w:noProof/>
          <w:color w:val="FFFFFF" w:themeColor="background1"/>
          <w:sz w:val="16"/>
          <w:szCs w:val="16"/>
        </w:rPr>
        <w:t>Using real expenditure to assess policy impacts</w:t>
      </w:r>
      <w:bookmarkEnd w:id="0"/>
    </w:p>
    <w:p w:rsidR="00471B29" w:rsidRPr="00C309DC" w:rsidRDefault="00471B29" w:rsidP="00471B29">
      <w:pPr>
        <w:pStyle w:val="BodyText"/>
        <w:rPr>
          <w:rFonts w:ascii="Arial" w:hAnsi="Arial" w:cs="Arial"/>
          <w:color w:val="FFFFFF" w:themeColor="background1"/>
          <w:sz w:val="16"/>
          <w:szCs w:val="16"/>
        </w:rPr>
      </w:pPr>
      <w:r w:rsidRPr="00C309DC">
        <w:rPr>
          <w:rStyle w:val="SubHeading1Italics"/>
          <w:rFonts w:ascii="Arial" w:hAnsi="Arial" w:cs="Arial"/>
          <w:color w:val="FFFFFF" w:themeColor="background1"/>
          <w:sz w:val="16"/>
          <w:szCs w:val="16"/>
        </w:rPr>
        <w:t>Xiao-</w:t>
      </w:r>
      <w:proofErr w:type="spellStart"/>
      <w:r w:rsidR="00C309DC" w:rsidRPr="00C309DC">
        <w:rPr>
          <w:rStyle w:val="SubHeading1Italics"/>
          <w:rFonts w:ascii="Arial" w:hAnsi="Arial" w:cs="Arial"/>
          <w:color w:val="FFFFFF" w:themeColor="background1"/>
          <w:sz w:val="16"/>
          <w:szCs w:val="16"/>
        </w:rPr>
        <w:t>G</w:t>
      </w:r>
      <w:r w:rsidRPr="00C309DC">
        <w:rPr>
          <w:rStyle w:val="SubHeading1Italics"/>
          <w:rFonts w:ascii="Arial" w:hAnsi="Arial" w:cs="Arial"/>
          <w:color w:val="FFFFFF" w:themeColor="background1"/>
          <w:sz w:val="16"/>
          <w:szCs w:val="16"/>
        </w:rPr>
        <w:t>uang</w:t>
      </w:r>
      <w:proofErr w:type="spellEnd"/>
      <w:r w:rsidRPr="00C309DC">
        <w:rPr>
          <w:rStyle w:val="SubHeading1Italics"/>
          <w:rFonts w:ascii="Arial" w:hAnsi="Arial" w:cs="Arial"/>
          <w:color w:val="FFFFFF" w:themeColor="background1"/>
          <w:sz w:val="16"/>
          <w:szCs w:val="16"/>
        </w:rPr>
        <w:t xml:space="preserve"> Zhang, P</w:t>
      </w:r>
      <w:r w:rsidRPr="00C309DC">
        <w:rPr>
          <w:rFonts w:ascii="Arial" w:hAnsi="Arial" w:cs="Arial"/>
          <w:color w:val="FFFFFF" w:themeColor="background1"/>
          <w:sz w:val="16"/>
          <w:szCs w:val="16"/>
        </w:rPr>
        <w:t xml:space="preserve">roductivity Commission Staff Research Note, </w:t>
      </w:r>
      <w:r w:rsidR="00C309DC" w:rsidRPr="00C309DC">
        <w:rPr>
          <w:rFonts w:ascii="Arial" w:hAnsi="Arial" w:cs="Arial"/>
          <w:color w:val="FFFFFF" w:themeColor="background1"/>
          <w:sz w:val="16"/>
          <w:szCs w:val="16"/>
        </w:rPr>
        <w:t>December</w:t>
      </w:r>
      <w:r w:rsidRPr="00C309DC">
        <w:rPr>
          <w:rFonts w:ascii="Arial" w:hAnsi="Arial" w:cs="Arial"/>
          <w:color w:val="FFFFFF" w:themeColor="background1"/>
          <w:sz w:val="16"/>
          <w:szCs w:val="16"/>
        </w:rPr>
        <w:t xml:space="preserve"> 2019</w:t>
      </w:r>
    </w:p>
    <w:p w:rsidR="00471B29" w:rsidRPr="00C309DC" w:rsidRDefault="00471B29" w:rsidP="00471B29">
      <w:pPr>
        <w:pStyle w:val="BodyText"/>
        <w:rPr>
          <w:b/>
          <w:szCs w:val="26"/>
        </w:rPr>
      </w:pPr>
      <w:r w:rsidRPr="00C309DC">
        <w:br w:type="page"/>
      </w:r>
    </w:p>
    <w:p w:rsidR="00471B29" w:rsidRPr="00462332" w:rsidRDefault="00471B29" w:rsidP="00471B29">
      <w:pPr>
        <w:pStyle w:val="Copyrightheading"/>
        <w:rPr>
          <w:sz w:val="22"/>
        </w:rPr>
      </w:pPr>
      <w:r w:rsidRPr="008C305F">
        <w:lastRenderedPageBreak/>
        <w:fldChar w:fldCharType="begin"/>
      </w:r>
      <w:r w:rsidRPr="008C305F">
        <w:instrText>SYMBOL 227 \f "Symbol"</w:instrText>
      </w:r>
      <w:r w:rsidRPr="008C305F">
        <w:fldChar w:fldCharType="end"/>
      </w:r>
      <w:r w:rsidRPr="008C305F">
        <w:t xml:space="preserve"> </w:t>
      </w:r>
      <w:r w:rsidRPr="00462332">
        <w:rPr>
          <w:sz w:val="22"/>
        </w:rPr>
        <w:t>Commonwealth of Australia 201</w:t>
      </w:r>
      <w:r>
        <w:rPr>
          <w:sz w:val="22"/>
        </w:rPr>
        <w:t>9</w:t>
      </w:r>
    </w:p>
    <w:p w:rsidR="00471B29" w:rsidRDefault="00471B29" w:rsidP="00471B29">
      <w:pPr>
        <w:pStyle w:val="BodyText"/>
        <w:spacing w:after="120"/>
      </w:pPr>
      <w:bookmarkStart w:id="2" w:name="ISSN"/>
      <w:bookmarkEnd w:id="2"/>
      <w:r w:rsidRPr="00862D8F">
        <w:rPr>
          <w:noProof/>
          <w:sz w:val="22"/>
          <w:szCs w:val="22"/>
        </w:rPr>
        <w:drawing>
          <wp:inline distT="0" distB="0" distL="0" distR="0" wp14:anchorId="09A3785B" wp14:editId="5F4D0323">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471B29" w:rsidRPr="00462332" w:rsidRDefault="00471B29" w:rsidP="00471B29">
      <w:pPr>
        <w:pStyle w:val="Copyrightbodytext"/>
        <w:rPr>
          <w:sz w:val="20"/>
        </w:rPr>
      </w:pPr>
      <w:r w:rsidRPr="00462332">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462332">
            <w:rPr>
              <w:sz w:val="20"/>
            </w:rPr>
            <w:t>http://creativecommons.org/licenses/by/3.0/au</w:t>
          </w:r>
        </w:hyperlink>
      </w:hyperlink>
      <w:r w:rsidRPr="00462332">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471B29" w:rsidRPr="008A3857" w:rsidRDefault="00471B29" w:rsidP="00471B29">
      <w:pPr>
        <w:pStyle w:val="Copyrightsubtitle"/>
      </w:pPr>
      <w:r w:rsidRPr="008A3857">
        <w:t>Use of the Commonwealth Coat of Arms</w:t>
      </w:r>
    </w:p>
    <w:p w:rsidR="00471B29" w:rsidRPr="00462332" w:rsidRDefault="00471B29" w:rsidP="00471B29">
      <w:pPr>
        <w:pStyle w:val="Copyrightbodytext"/>
        <w:rPr>
          <w:spacing w:val="-2"/>
          <w:sz w:val="20"/>
          <w:u w:val="single"/>
        </w:rPr>
      </w:pPr>
      <w:r w:rsidRPr="00462332">
        <w:rPr>
          <w:spacing w:val="-2"/>
          <w:sz w:val="20"/>
        </w:rPr>
        <w:t xml:space="preserve">Terms of use for the Coat of Arms are available from the Department of the Prime Minister and Cabinet’s website: </w:t>
      </w:r>
      <w:hyperlink r:id="rId12" w:history="1">
        <w:proofErr w:type="spellStart"/>
        <w:r w:rsidR="009E6943" w:rsidRPr="00E549B4">
          <w:rPr>
            <w:rStyle w:val="Hyperlink"/>
            <w:spacing w:val="-2"/>
            <w:sz w:val="20"/>
          </w:rPr>
          <w:t>www.pmc.gov.au</w:t>
        </w:r>
        <w:proofErr w:type="spellEnd"/>
        <w:r w:rsidR="009E6943" w:rsidRPr="00E549B4">
          <w:rPr>
            <w:rStyle w:val="Hyperlink"/>
            <w:spacing w:val="-2"/>
            <w:sz w:val="20"/>
          </w:rPr>
          <w:t>/government/commonwealth-coat-arms</w:t>
        </w:r>
      </w:hyperlink>
    </w:p>
    <w:p w:rsidR="00471B29" w:rsidRPr="008A3857" w:rsidRDefault="00471B29" w:rsidP="00471B29">
      <w:pPr>
        <w:pStyle w:val="Copyrightsubtitle"/>
      </w:pPr>
      <w:r w:rsidRPr="008A3857">
        <w:t>Third party copyright</w:t>
      </w:r>
    </w:p>
    <w:p w:rsidR="00471B29" w:rsidRPr="00462332" w:rsidRDefault="00471B29" w:rsidP="00471B29">
      <w:pPr>
        <w:pStyle w:val="Copyrightbodytext"/>
        <w:rPr>
          <w:sz w:val="20"/>
        </w:rPr>
      </w:pPr>
      <w:r w:rsidRPr="00462332">
        <w:rPr>
          <w:sz w:val="20"/>
        </w:rPr>
        <w:t>Wherever a third party holds copyright in this material, the copyright remains with that party. Their permission may be required to use the material, please contact them directly.</w:t>
      </w:r>
    </w:p>
    <w:p w:rsidR="00471B29" w:rsidRPr="008A3857" w:rsidRDefault="00471B29" w:rsidP="00471B29">
      <w:pPr>
        <w:pStyle w:val="Copyrightsubtitle"/>
      </w:pPr>
      <w:r w:rsidRPr="008A3857">
        <w:t xml:space="preserve">An appropriate </w:t>
      </w:r>
      <w:r>
        <w:t>reference</w:t>
      </w:r>
      <w:r w:rsidRPr="008A3857">
        <w:t xml:space="preserve"> for this publication is:</w:t>
      </w:r>
    </w:p>
    <w:p w:rsidR="00471B29" w:rsidRPr="00162C13" w:rsidRDefault="00471B29" w:rsidP="00471B29">
      <w:pPr>
        <w:pStyle w:val="Copyrightbodytext"/>
        <w:rPr>
          <w:sz w:val="20"/>
        </w:rPr>
      </w:pPr>
      <w:r w:rsidRPr="00162C13">
        <w:rPr>
          <w:sz w:val="20"/>
        </w:rPr>
        <w:t>Zhang, X</w:t>
      </w:r>
      <w:r>
        <w:rPr>
          <w:sz w:val="20"/>
        </w:rPr>
        <w:t>-G</w:t>
      </w:r>
      <w:r w:rsidRPr="00162C13">
        <w:rPr>
          <w:sz w:val="20"/>
        </w:rPr>
        <w:t>. 201</w:t>
      </w:r>
      <w:r>
        <w:rPr>
          <w:sz w:val="20"/>
        </w:rPr>
        <w:t>9</w:t>
      </w:r>
      <w:r w:rsidRPr="00162C13">
        <w:rPr>
          <w:sz w:val="20"/>
        </w:rPr>
        <w:t xml:space="preserve">, </w:t>
      </w:r>
      <w:r w:rsidR="000278C8" w:rsidRPr="000278C8">
        <w:rPr>
          <w:i/>
          <w:sz w:val="20"/>
        </w:rPr>
        <w:t>Using real expenditure to assess policy impacts</w:t>
      </w:r>
      <w:r w:rsidRPr="00162C13">
        <w:rPr>
          <w:sz w:val="20"/>
        </w:rPr>
        <w:t xml:space="preserve">, Productivity Commission Staff Research </w:t>
      </w:r>
      <w:r w:rsidR="009E6943">
        <w:rPr>
          <w:sz w:val="20"/>
        </w:rPr>
        <w:t>N</w:t>
      </w:r>
      <w:r w:rsidRPr="00162C13">
        <w:rPr>
          <w:sz w:val="20"/>
        </w:rPr>
        <w:t xml:space="preserve">ote, Canberra, </w:t>
      </w:r>
      <w:r w:rsidR="000278C8">
        <w:rPr>
          <w:sz w:val="20"/>
        </w:rPr>
        <w:t>December</w:t>
      </w:r>
      <w:r w:rsidRPr="00162C13">
        <w:rPr>
          <w:sz w:val="20"/>
        </w:rPr>
        <w:t>.</w:t>
      </w:r>
    </w:p>
    <w:p w:rsidR="00471B29" w:rsidRPr="008A3857" w:rsidRDefault="00471B29" w:rsidP="00471B29">
      <w:pPr>
        <w:pStyle w:val="Copyrightsubtitle"/>
      </w:pPr>
      <w:bookmarkStart w:id="3" w:name="JEL"/>
      <w:bookmarkEnd w:id="3"/>
      <w:r w:rsidRPr="008A3857">
        <w:t>Publications enquiries</w:t>
      </w:r>
    </w:p>
    <w:p w:rsidR="00471B29" w:rsidRPr="00162C13" w:rsidRDefault="00471B29" w:rsidP="00471B29">
      <w:pPr>
        <w:pStyle w:val="Copyrightbodytext"/>
        <w:rPr>
          <w:sz w:val="20"/>
        </w:rPr>
      </w:pPr>
      <w:r w:rsidRPr="00162C13">
        <w:rPr>
          <w:sz w:val="20"/>
        </w:rPr>
        <w:t xml:space="preserve">Media, Publications and Web, phone: (03) 9653 2244 or email: </w:t>
      </w:r>
      <w:proofErr w:type="spellStart"/>
      <w:r w:rsidRPr="00162C13">
        <w:rPr>
          <w:sz w:val="20"/>
        </w:rPr>
        <w:t>mpw@pc.gov.au</w:t>
      </w:r>
      <w:proofErr w:type="spellEnd"/>
    </w:p>
    <w:p w:rsidR="00471B29" w:rsidRDefault="00471B29" w:rsidP="00471B2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1B29" w:rsidTr="00471B29">
        <w:trPr>
          <w:tblHeader/>
        </w:trPr>
        <w:tc>
          <w:tcPr>
            <w:tcW w:w="5000" w:type="pct"/>
            <w:tcBorders>
              <w:top w:val="single" w:sz="6" w:space="0" w:color="78A22F"/>
              <w:left w:val="nil"/>
              <w:bottom w:val="nil"/>
              <w:right w:val="nil"/>
            </w:tcBorders>
            <w:shd w:val="clear" w:color="auto" w:fill="F2F2F2" w:themeFill="background1" w:themeFillShade="F2"/>
          </w:tcPr>
          <w:p w:rsidR="00471B29" w:rsidRPr="008A3857" w:rsidRDefault="00471B29" w:rsidP="00471B29">
            <w:pPr>
              <w:pStyle w:val="BoxTitle"/>
              <w:rPr>
                <w:sz w:val="22"/>
                <w:szCs w:val="22"/>
              </w:rPr>
            </w:pPr>
            <w:r w:rsidRPr="008A3857">
              <w:rPr>
                <w:sz w:val="22"/>
                <w:szCs w:val="22"/>
              </w:rPr>
              <w:t>The Productivity Commission</w:t>
            </w:r>
          </w:p>
        </w:tc>
      </w:tr>
      <w:tr w:rsidR="00471B29" w:rsidTr="00471B29">
        <w:tc>
          <w:tcPr>
            <w:tcW w:w="5000" w:type="pct"/>
            <w:tcBorders>
              <w:top w:val="nil"/>
              <w:left w:val="nil"/>
              <w:bottom w:val="nil"/>
              <w:right w:val="nil"/>
            </w:tcBorders>
            <w:shd w:val="clear" w:color="auto" w:fill="F2F2F2" w:themeFill="background1" w:themeFillShade="F2"/>
          </w:tcPr>
          <w:p w:rsidR="00471B29" w:rsidRDefault="00471B29" w:rsidP="00471B2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71B29" w:rsidRDefault="00471B29" w:rsidP="00471B29">
            <w:pPr>
              <w:pStyle w:val="Box"/>
            </w:pPr>
            <w:r w:rsidRPr="00BB5DCF">
              <w:t>The Commission’s independence is underpinned by an Act of Parliament. Its processes and outputs are open to public scrutiny and are driven by concern for the wellbeing of the community as a whole.</w:t>
            </w:r>
          </w:p>
          <w:p w:rsidR="00471B29" w:rsidRDefault="00471B29" w:rsidP="00471B29">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471B29" w:rsidTr="00471B29">
        <w:tc>
          <w:tcPr>
            <w:tcW w:w="5000" w:type="pct"/>
            <w:tcBorders>
              <w:top w:val="nil"/>
              <w:left w:val="nil"/>
              <w:bottom w:val="single" w:sz="6" w:space="0" w:color="78A22F"/>
              <w:right w:val="nil"/>
            </w:tcBorders>
            <w:shd w:val="clear" w:color="auto" w:fill="F2F2F2" w:themeFill="background1" w:themeFillShade="F2"/>
          </w:tcPr>
          <w:p w:rsidR="00471B29" w:rsidRDefault="00471B29" w:rsidP="00471B29">
            <w:pPr>
              <w:pStyle w:val="Box"/>
              <w:spacing w:before="0" w:line="120" w:lineRule="exact"/>
            </w:pPr>
          </w:p>
        </w:tc>
      </w:tr>
    </w:tbl>
    <w:p w:rsidR="00471B29" w:rsidRDefault="00471B29" w:rsidP="00471B29">
      <w:pPr>
        <w:pStyle w:val="BodyText"/>
        <w:sectPr w:rsidR="00471B29" w:rsidSect="00471B29">
          <w:pgSz w:w="11907" w:h="16840" w:code="9"/>
          <w:pgMar w:top="1304" w:right="1304" w:bottom="567" w:left="1814" w:header="1701" w:footer="397" w:gutter="0"/>
          <w:pgNumType w:fmt="lowerRoman" w:start="1"/>
          <w:cols w:space="720"/>
          <w:titlePg/>
        </w:sectPr>
      </w:pPr>
      <w:bookmarkStart w:id="4" w:name="cov"/>
      <w:bookmarkEnd w:id="4"/>
    </w:p>
    <w:p w:rsidR="00471B29" w:rsidRPr="008206EE" w:rsidRDefault="00471B29" w:rsidP="00471B29">
      <w:pPr>
        <w:pStyle w:val="Heading1NotTOC"/>
      </w:pPr>
      <w:bookmarkStart w:id="5" w:name="Contents"/>
      <w:bookmarkEnd w:id="5"/>
      <w:r w:rsidRPr="00B153C3">
        <w:lastRenderedPageBreak/>
        <w:t>Contents</w:t>
      </w:r>
      <w:bookmarkStart w:id="6" w:name="InsertContents"/>
      <w:bookmarkEnd w:id="6"/>
    </w:p>
    <w:p w:rsidR="00471B29" w:rsidRPr="00462332" w:rsidRDefault="00471B29" w:rsidP="00471B29">
      <w:pPr>
        <w:pStyle w:val="TOC1"/>
        <w:rPr>
          <w:rFonts w:asciiTheme="minorHAnsi" w:eastAsiaTheme="minorEastAsia" w:hAnsiTheme="minorHAnsi" w:cstheme="minorBidi"/>
          <w:b w:val="0"/>
          <w:noProof/>
          <w:sz w:val="22"/>
          <w:szCs w:val="22"/>
          <w:lang w:eastAsia="en-AU"/>
        </w:rPr>
      </w:pPr>
      <w:bookmarkStart w:id="7" w:name="Abbreviations"/>
      <w:bookmarkStart w:id="8" w:name="EndContents"/>
      <w:bookmarkStart w:id="9" w:name="RDnote"/>
      <w:bookmarkStart w:id="10" w:name="Glossary"/>
      <w:bookmarkEnd w:id="7"/>
      <w:bookmarkEnd w:id="8"/>
      <w:bookmarkEnd w:id="9"/>
      <w:bookmarkEnd w:id="10"/>
      <w:r w:rsidRPr="00462332">
        <w:rPr>
          <w:b w:val="0"/>
          <w:noProof/>
        </w:rPr>
        <w:t>Introduction</w:t>
      </w:r>
      <w:r w:rsidRPr="00462332">
        <w:rPr>
          <w:b w:val="0"/>
          <w:noProof/>
        </w:rPr>
        <w:tab/>
        <w:t>1</w:t>
      </w:r>
    </w:p>
    <w:p w:rsidR="00471B29" w:rsidRPr="00462332" w:rsidRDefault="00471B29" w:rsidP="00471B29">
      <w:pPr>
        <w:pStyle w:val="TOC1"/>
        <w:rPr>
          <w:rFonts w:asciiTheme="minorHAnsi" w:eastAsiaTheme="minorEastAsia" w:hAnsiTheme="minorHAnsi" w:cstheme="minorBidi"/>
          <w:b w:val="0"/>
          <w:noProof/>
          <w:sz w:val="22"/>
          <w:szCs w:val="22"/>
          <w:lang w:eastAsia="en-AU"/>
        </w:rPr>
      </w:pPr>
      <w:r w:rsidRPr="00462332">
        <w:rPr>
          <w:b w:val="0"/>
          <w:noProof/>
        </w:rPr>
        <w:t>Welfare results are reported in a number of ways</w:t>
      </w:r>
      <w:r w:rsidRPr="00462332">
        <w:rPr>
          <w:b w:val="0"/>
          <w:noProof/>
        </w:rPr>
        <w:tab/>
        <w:t>2</w:t>
      </w:r>
    </w:p>
    <w:p w:rsidR="00471B29" w:rsidRPr="00462332" w:rsidRDefault="009E6943" w:rsidP="00471B29">
      <w:pPr>
        <w:pStyle w:val="TOC1"/>
        <w:rPr>
          <w:rFonts w:asciiTheme="minorHAnsi" w:eastAsiaTheme="minorEastAsia" w:hAnsiTheme="minorHAnsi" w:cstheme="minorBidi"/>
          <w:b w:val="0"/>
          <w:noProof/>
          <w:sz w:val="22"/>
          <w:szCs w:val="22"/>
          <w:lang w:eastAsia="en-AU"/>
        </w:rPr>
      </w:pPr>
      <w:r w:rsidRPr="009E6943">
        <w:rPr>
          <w:b w:val="0"/>
          <w:noProof/>
        </w:rPr>
        <w:t>An alternative national-accounts-based measure: real expenditure</w:t>
      </w:r>
      <w:r w:rsidR="00471B29" w:rsidRPr="00462332">
        <w:rPr>
          <w:b w:val="0"/>
          <w:noProof/>
        </w:rPr>
        <w:tab/>
        <w:t>3</w:t>
      </w:r>
    </w:p>
    <w:p w:rsidR="00471B29" w:rsidRDefault="00471B29" w:rsidP="00471B29">
      <w:pPr>
        <w:pStyle w:val="TOC1"/>
        <w:spacing w:before="240"/>
        <w:rPr>
          <w:b w:val="0"/>
          <w:noProof/>
        </w:rPr>
      </w:pPr>
      <w:r w:rsidRPr="00C84CFF">
        <w:rPr>
          <w:noProof/>
        </w:rPr>
        <w:t>Appendixes</w:t>
      </w:r>
    </w:p>
    <w:p w:rsidR="00471B29" w:rsidRPr="00462332" w:rsidRDefault="00471B29" w:rsidP="00471B29">
      <w:pPr>
        <w:pStyle w:val="TOC1"/>
        <w:rPr>
          <w:rFonts w:asciiTheme="minorHAnsi" w:eastAsiaTheme="minorEastAsia" w:hAnsiTheme="minorHAnsi" w:cstheme="minorBidi"/>
          <w:b w:val="0"/>
          <w:noProof/>
          <w:sz w:val="22"/>
          <w:szCs w:val="22"/>
          <w:lang w:eastAsia="en-AU"/>
        </w:rPr>
      </w:pPr>
      <w:r>
        <w:rPr>
          <w:b w:val="0"/>
          <w:noProof/>
        </w:rPr>
        <w:t>A</w:t>
      </w:r>
      <w:r>
        <w:rPr>
          <w:b w:val="0"/>
          <w:noProof/>
        </w:rPr>
        <w:tab/>
      </w:r>
      <w:r w:rsidR="00505849" w:rsidRPr="00505849">
        <w:rPr>
          <w:b w:val="0"/>
          <w:noProof/>
          <w:spacing w:val="-4"/>
        </w:rPr>
        <w:t>Measuring real GNA in a global CGE model with full BoP data</w:t>
      </w:r>
      <w:r w:rsidRPr="00462332">
        <w:rPr>
          <w:b w:val="0"/>
          <w:noProof/>
        </w:rPr>
        <w:tab/>
      </w:r>
      <w:r w:rsidR="009E6943">
        <w:rPr>
          <w:b w:val="0"/>
          <w:noProof/>
        </w:rPr>
        <w:t>9</w:t>
      </w:r>
    </w:p>
    <w:p w:rsidR="00471B29" w:rsidRPr="00462332" w:rsidRDefault="00471B29" w:rsidP="00471B29">
      <w:pPr>
        <w:pStyle w:val="TOC1"/>
        <w:rPr>
          <w:rFonts w:asciiTheme="minorHAnsi" w:eastAsiaTheme="minorEastAsia" w:hAnsiTheme="minorHAnsi" w:cstheme="minorBidi"/>
          <w:b w:val="0"/>
          <w:noProof/>
          <w:sz w:val="22"/>
          <w:szCs w:val="22"/>
          <w:lang w:eastAsia="en-AU"/>
        </w:rPr>
      </w:pPr>
      <w:r>
        <w:rPr>
          <w:b w:val="0"/>
          <w:noProof/>
        </w:rPr>
        <w:t>B</w:t>
      </w:r>
      <w:r>
        <w:rPr>
          <w:b w:val="0"/>
          <w:noProof/>
        </w:rPr>
        <w:tab/>
      </w:r>
      <w:r w:rsidR="00505849" w:rsidRPr="00505849">
        <w:rPr>
          <w:b w:val="0"/>
          <w:noProof/>
        </w:rPr>
        <w:t>Measuring real GNA in CGE models with limited BoP data</w:t>
      </w:r>
      <w:r w:rsidRPr="00462332">
        <w:rPr>
          <w:b w:val="0"/>
          <w:noProof/>
        </w:rPr>
        <w:tab/>
        <w:t>1</w:t>
      </w:r>
      <w:r w:rsidR="009E6943">
        <w:rPr>
          <w:b w:val="0"/>
          <w:noProof/>
        </w:rPr>
        <w:t>4</w:t>
      </w:r>
    </w:p>
    <w:p w:rsidR="00471B29" w:rsidRPr="00462332" w:rsidRDefault="00471B29" w:rsidP="00471B29">
      <w:pPr>
        <w:pStyle w:val="TOC1"/>
        <w:spacing w:before="240"/>
        <w:rPr>
          <w:b w:val="0"/>
          <w:noProof/>
        </w:rPr>
      </w:pPr>
      <w:r w:rsidRPr="00462332">
        <w:rPr>
          <w:b w:val="0"/>
          <w:noProof/>
        </w:rPr>
        <w:t>References</w:t>
      </w:r>
      <w:r w:rsidRPr="00462332">
        <w:rPr>
          <w:b w:val="0"/>
          <w:noProof/>
        </w:rPr>
        <w:tab/>
        <w:t>19</w:t>
      </w:r>
    </w:p>
    <w:p w:rsidR="00471B29" w:rsidRDefault="00471B29" w:rsidP="00471B29">
      <w:pPr>
        <w:pStyle w:val="BodyText"/>
      </w:pPr>
    </w:p>
    <w:p w:rsidR="00471B29" w:rsidRDefault="00471B29" w:rsidP="00471B29">
      <w:pPr>
        <w:pStyle w:val="BodyText"/>
        <w:rPr>
          <w:rFonts w:ascii="Arial" w:hAnsi="Arial" w:cs="Arial"/>
          <w:i/>
        </w:rPr>
        <w:sectPr w:rsidR="00471B29" w:rsidSect="00471B29">
          <w:headerReference w:type="even" r:id="rId14"/>
          <w:headerReference w:type="default" r:id="rId15"/>
          <w:footerReference w:type="even" r:id="rId16"/>
          <w:footerReference w:type="default" r:id="rId17"/>
          <w:pgSz w:w="11907" w:h="16840" w:code="9"/>
          <w:pgMar w:top="1332" w:right="1304" w:bottom="1247" w:left="1814" w:header="1701" w:footer="397" w:gutter="0"/>
          <w:pgNumType w:fmt="lowerRoman"/>
          <w:cols w:space="720"/>
        </w:sectPr>
      </w:pPr>
    </w:p>
    <w:p w:rsidR="00C73D07" w:rsidRDefault="00B30062" w:rsidP="000C55A5">
      <w:pPr>
        <w:pStyle w:val="Heading1"/>
        <w:spacing w:before="0"/>
        <w:ind w:left="0" w:firstLine="0"/>
      </w:pPr>
      <w:bookmarkStart w:id="11" w:name="_Toc26430220"/>
      <w:r>
        <w:lastRenderedPageBreak/>
        <w:t>Using r</w:t>
      </w:r>
      <w:r w:rsidR="00FE3052">
        <w:t>eal expenditure</w:t>
      </w:r>
      <w:r w:rsidR="007A5E92">
        <w:t xml:space="preserve"> </w:t>
      </w:r>
      <w:r w:rsidR="00606A9D">
        <w:t xml:space="preserve">to assess </w:t>
      </w:r>
      <w:r w:rsidR="00D54EC7">
        <w:t xml:space="preserve">policy </w:t>
      </w:r>
      <w:r w:rsidR="0055677E">
        <w:t>impact</w:t>
      </w:r>
      <w:r w:rsidR="00D54EC7">
        <w:t>s</w:t>
      </w:r>
      <w:r w:rsidR="00BE6707" w:rsidRPr="00527EC5">
        <w:rPr>
          <w:rStyle w:val="FootnoteReference"/>
          <w:position w:val="16"/>
          <w:sz w:val="32"/>
        </w:rPr>
        <w:footnoteReference w:customMarkFollows="1" w:id="1"/>
        <w:t>*</w:t>
      </w:r>
      <w:bookmarkEnd w:id="1"/>
      <w:bookmarkEnd w:id="11"/>
    </w:p>
    <w:p w:rsidR="00C73D07" w:rsidRDefault="00C73D07" w:rsidP="00C73D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C73D07" w:rsidTr="00C73D07">
        <w:trPr>
          <w:tblHeader/>
        </w:trPr>
        <w:tc>
          <w:tcPr>
            <w:tcW w:w="5000" w:type="pct"/>
            <w:tcBorders>
              <w:top w:val="single" w:sz="6" w:space="0" w:color="78A22F"/>
              <w:left w:val="nil"/>
              <w:bottom w:val="nil"/>
              <w:right w:val="nil"/>
            </w:tcBorders>
            <w:shd w:val="clear" w:color="auto" w:fill="F2F2F2"/>
          </w:tcPr>
          <w:p w:rsidR="00C73D07" w:rsidRDefault="00C73D07" w:rsidP="00C73D07">
            <w:pPr>
              <w:pStyle w:val="BoxTitle"/>
            </w:pPr>
            <w:r>
              <w:t>Key points</w:t>
            </w:r>
          </w:p>
        </w:tc>
      </w:tr>
      <w:tr w:rsidR="00C73D07" w:rsidTr="00C73D07">
        <w:tc>
          <w:tcPr>
            <w:tcW w:w="5000" w:type="pct"/>
            <w:tcBorders>
              <w:top w:val="nil"/>
              <w:left w:val="nil"/>
              <w:bottom w:val="nil"/>
              <w:right w:val="nil"/>
            </w:tcBorders>
            <w:shd w:val="clear" w:color="auto" w:fill="F2F2F2"/>
          </w:tcPr>
          <w:p w:rsidR="005E2BB8" w:rsidRDefault="00AB3F9D" w:rsidP="00D54EC7">
            <w:pPr>
              <w:pStyle w:val="BoxListBullet"/>
            </w:pPr>
            <w:r>
              <w:t>N</w:t>
            </w:r>
            <w:r w:rsidR="00E777C4">
              <w:t xml:space="preserve">ational-accounts-based measures </w:t>
            </w:r>
            <w:r>
              <w:t>of activity</w:t>
            </w:r>
            <w:r w:rsidR="00FE3052">
              <w:t xml:space="preserve"> or income</w:t>
            </w:r>
            <w:r>
              <w:t xml:space="preserve"> are not suitable as measures </w:t>
            </w:r>
            <w:r w:rsidR="00E777C4">
              <w:t>of welfare.</w:t>
            </w:r>
          </w:p>
          <w:p w:rsidR="00E777C4" w:rsidRDefault="00E777C4" w:rsidP="00D54EC7">
            <w:pPr>
              <w:pStyle w:val="BoxListBullet"/>
            </w:pPr>
            <w:r>
              <w:t xml:space="preserve">Utility-based measures require a number of theoretical assumptions, cannot be reconciled with data, and are hard to explain to </w:t>
            </w:r>
            <w:proofErr w:type="spellStart"/>
            <w:r>
              <w:t>non-technical</w:t>
            </w:r>
            <w:proofErr w:type="spellEnd"/>
            <w:r>
              <w:t xml:space="preserve"> audiences.</w:t>
            </w:r>
          </w:p>
          <w:p w:rsidR="00E777C4" w:rsidRDefault="00E777C4" w:rsidP="00D54EC7">
            <w:pPr>
              <w:pStyle w:val="BoxListBullet"/>
            </w:pPr>
            <w:r>
              <w:t>Real Gross National Absorption (</w:t>
            </w:r>
            <w:proofErr w:type="spellStart"/>
            <w:r>
              <w:t>GNA</w:t>
            </w:r>
            <w:proofErr w:type="spellEnd"/>
            <w:r>
              <w:t xml:space="preserve">) is a national-accounts-based measure of </w:t>
            </w:r>
            <w:r w:rsidR="00AB3F9D">
              <w:t xml:space="preserve">expenditure and can be interpreted as a measure of </w:t>
            </w:r>
            <w:r>
              <w:t>welfare.</w:t>
            </w:r>
          </w:p>
          <w:p w:rsidR="00C73D07" w:rsidRDefault="00E777C4" w:rsidP="00D54EC7">
            <w:pPr>
              <w:pStyle w:val="BoxListBullet"/>
            </w:pPr>
            <w:r>
              <w:t>It measures the purchasing power of income earned by residents (from domestic and overseas sources), reflecting net payments overseas and relative prices.</w:t>
            </w:r>
          </w:p>
          <w:p w:rsidR="00E777C4" w:rsidRDefault="001254AD" w:rsidP="00D54EC7">
            <w:pPr>
              <w:pStyle w:val="BoxListBullet"/>
            </w:pPr>
            <w:r>
              <w:t xml:space="preserve">It offers an intuitive framework for explaining and decomposing changes in national </w:t>
            </w:r>
            <w:r w:rsidR="00D54EC7">
              <w:t>expenditure</w:t>
            </w:r>
            <w:r>
              <w:t xml:space="preserve">, whether in </w:t>
            </w:r>
            <w:proofErr w:type="spellStart"/>
            <w:r>
              <w:t>CGE</w:t>
            </w:r>
            <w:proofErr w:type="spellEnd"/>
            <w:r>
              <w:t xml:space="preserve"> or macroeconomic models.</w:t>
            </w:r>
          </w:p>
        </w:tc>
      </w:tr>
      <w:tr w:rsidR="00C73D07" w:rsidTr="00C73D07">
        <w:tc>
          <w:tcPr>
            <w:tcW w:w="5000" w:type="pct"/>
            <w:tcBorders>
              <w:top w:val="nil"/>
              <w:left w:val="nil"/>
              <w:bottom w:val="single" w:sz="6" w:space="0" w:color="78A22F"/>
              <w:right w:val="nil"/>
            </w:tcBorders>
            <w:shd w:val="clear" w:color="auto" w:fill="F2F2F2"/>
          </w:tcPr>
          <w:p w:rsidR="00C73D07" w:rsidRDefault="00C73D07" w:rsidP="00C73D07">
            <w:pPr>
              <w:pStyle w:val="Box"/>
              <w:spacing w:before="0" w:line="120" w:lineRule="exact"/>
            </w:pPr>
          </w:p>
        </w:tc>
      </w:tr>
      <w:tr w:rsidR="00C73D07" w:rsidRPr="000863A5" w:rsidTr="00C73D07">
        <w:tc>
          <w:tcPr>
            <w:tcW w:w="5000" w:type="pct"/>
            <w:tcBorders>
              <w:top w:val="single" w:sz="6" w:space="0" w:color="78A22F"/>
              <w:left w:val="nil"/>
              <w:bottom w:val="nil"/>
              <w:right w:val="nil"/>
            </w:tcBorders>
          </w:tcPr>
          <w:p w:rsidR="00C73D07" w:rsidRPr="00626D32" w:rsidRDefault="00C73D07" w:rsidP="00C73D07">
            <w:pPr>
              <w:pStyle w:val="BoxSpaceBelow"/>
            </w:pPr>
          </w:p>
        </w:tc>
      </w:tr>
    </w:tbl>
    <w:p w:rsidR="00BE6707" w:rsidRDefault="00BE6707" w:rsidP="00BE6707">
      <w:pPr>
        <w:pStyle w:val="Heading2"/>
      </w:pPr>
      <w:bookmarkStart w:id="12" w:name="begin"/>
      <w:bookmarkStart w:id="13" w:name="_Toc26430221"/>
      <w:bookmarkStart w:id="14" w:name="_Toc512845659"/>
      <w:bookmarkEnd w:id="12"/>
      <w:r>
        <w:t>Introduction</w:t>
      </w:r>
      <w:bookmarkEnd w:id="13"/>
    </w:p>
    <w:p w:rsidR="000E6F44" w:rsidRPr="000E6F44" w:rsidRDefault="000E6F44" w:rsidP="000E6F44">
      <w:pPr>
        <w:pStyle w:val="BodyText"/>
      </w:pPr>
      <w:r>
        <w:t>Measuring the economy</w:t>
      </w:r>
      <w:r w:rsidR="007D4868">
        <w:t>-</w:t>
      </w:r>
      <w:r>
        <w:t xml:space="preserve">wide welfare impact of policy and other changes </w:t>
      </w:r>
      <w:r w:rsidR="00D54EC7">
        <w:t>remains a challenge</w:t>
      </w:r>
      <w:r>
        <w:t>. With changing trade policies in foreign markets, patterns of productivity slowdown</w:t>
      </w:r>
      <w:r w:rsidR="00EF1DF7">
        <w:t xml:space="preserve"> in developed countries</w:t>
      </w:r>
      <w:r>
        <w:t xml:space="preserve">, </w:t>
      </w:r>
      <w:r w:rsidR="00EF1DF7">
        <w:t xml:space="preserve">and </w:t>
      </w:r>
      <w:r w:rsidR="00DB2029">
        <w:t>debate on the relative merits of competing public infrastructure investments</w:t>
      </w:r>
      <w:r w:rsidR="00EF1DF7">
        <w:t xml:space="preserve">, </w:t>
      </w:r>
      <w:r w:rsidR="00DB2029">
        <w:t>accurately gauging welfare implications for Australians is important. Simple national-accounting aggregates (such as GDP</w:t>
      </w:r>
      <w:r w:rsidR="00735A9B">
        <w:t xml:space="preserve"> or private consumption</w:t>
      </w:r>
      <w:r w:rsidR="00DB2029">
        <w:t>) tell only part of the story, while more theoretically complete</w:t>
      </w:r>
      <w:r w:rsidR="00D54EC7">
        <w:t>, utility-based</w:t>
      </w:r>
      <w:r w:rsidR="00DB2029">
        <w:t xml:space="preserve"> </w:t>
      </w:r>
      <w:r w:rsidR="00D54EC7">
        <w:t xml:space="preserve">measures </w:t>
      </w:r>
      <w:r w:rsidR="00DB2029">
        <w:t>are harder to relate to policy</w:t>
      </w:r>
      <w:r w:rsidR="00534C29">
        <w:noBreakHyphen/>
      </w:r>
      <w:r w:rsidR="00DB2029">
        <w:t xml:space="preserve">makers and </w:t>
      </w:r>
      <w:proofErr w:type="spellStart"/>
      <w:r w:rsidR="00DB2029">
        <w:t>non</w:t>
      </w:r>
      <w:r w:rsidR="00534C29">
        <w:noBreakHyphen/>
      </w:r>
      <w:r w:rsidR="00DB2029">
        <w:t>technical</w:t>
      </w:r>
      <w:proofErr w:type="spellEnd"/>
      <w:r w:rsidR="00DB2029">
        <w:t xml:space="preserve"> audiences.</w:t>
      </w:r>
    </w:p>
    <w:p w:rsidR="00BE6707" w:rsidRDefault="00BE6707" w:rsidP="00BE6707">
      <w:pPr>
        <w:pStyle w:val="BodyText"/>
      </w:pPr>
      <w:r>
        <w:t xml:space="preserve">This note proposes </w:t>
      </w:r>
      <w:r w:rsidR="00375473">
        <w:t>real Gross National Absorption (</w:t>
      </w:r>
      <w:proofErr w:type="spellStart"/>
      <w:r w:rsidR="00375473">
        <w:t>GNA</w:t>
      </w:r>
      <w:proofErr w:type="spellEnd"/>
      <w:r w:rsidR="00375473">
        <w:t>) as a</w:t>
      </w:r>
      <w:r>
        <w:t xml:space="preserve"> measure </w:t>
      </w:r>
      <w:r w:rsidR="00EC791B">
        <w:t xml:space="preserve">of </w:t>
      </w:r>
      <w:r w:rsidR="00B30062">
        <w:t>the overall impact</w:t>
      </w:r>
      <w:r w:rsidR="00D54EC7">
        <w:t>s</w:t>
      </w:r>
      <w:r w:rsidR="00B30062">
        <w:t xml:space="preserve"> on a national economy </w:t>
      </w:r>
      <w:r w:rsidR="00D54EC7">
        <w:t xml:space="preserve">of </w:t>
      </w:r>
      <w:r>
        <w:t xml:space="preserve">policy </w:t>
      </w:r>
      <w:r w:rsidR="00D54EC7">
        <w:t xml:space="preserve">changes in applied </w:t>
      </w:r>
      <w:r>
        <w:t xml:space="preserve">analyses. </w:t>
      </w:r>
      <w:r w:rsidR="00375473">
        <w:t>It</w:t>
      </w:r>
      <w:r>
        <w:t xml:space="preserve"> is derived from national accounts data, and shows the extent to which changes in national income increase the purchasing power of residents. Being based in national accounts, it is easily calculated and decomposed, aiding interpretation and explanation of results to </w:t>
      </w:r>
      <w:proofErr w:type="spellStart"/>
      <w:r>
        <w:t>non</w:t>
      </w:r>
      <w:r>
        <w:noBreakHyphen/>
        <w:t>technical</w:t>
      </w:r>
      <w:proofErr w:type="spellEnd"/>
      <w:r>
        <w:t xml:space="preserve"> audiences (an advantage over utility-based measures such as </w:t>
      </w:r>
      <w:r w:rsidR="00534C29">
        <w:t xml:space="preserve">equivalent variation </w:t>
      </w:r>
      <w:r w:rsidR="003C63A0">
        <w:t>(</w:t>
      </w:r>
      <w:r>
        <w:t>EV</w:t>
      </w:r>
      <w:r w:rsidR="003C63A0">
        <w:t>),</w:t>
      </w:r>
      <w:r>
        <w:t xml:space="preserve"> which cannot be easily linked to </w:t>
      </w:r>
      <w:r w:rsidR="00D54EC7">
        <w:t>national accounting aggregates</w:t>
      </w:r>
      <w:r>
        <w:t xml:space="preserve">). By design </w:t>
      </w:r>
      <w:proofErr w:type="spellStart"/>
      <w:r w:rsidR="00D54EC7">
        <w:t>GNA</w:t>
      </w:r>
      <w:proofErr w:type="spellEnd"/>
      <w:r w:rsidR="00D54EC7">
        <w:t xml:space="preserve"> </w:t>
      </w:r>
      <w:r>
        <w:t xml:space="preserve">includes factors </w:t>
      </w:r>
      <w:r>
        <w:lastRenderedPageBreak/>
        <w:t xml:space="preserve">typically omitted from other national accounts indicators, </w:t>
      </w:r>
      <w:r w:rsidR="00EC791B">
        <w:t xml:space="preserve">including </w:t>
      </w:r>
      <w:r>
        <w:t xml:space="preserve">savings, </w:t>
      </w:r>
      <w:r w:rsidR="003C63A0">
        <w:t xml:space="preserve">net </w:t>
      </w:r>
      <w:r>
        <w:t xml:space="preserve">income </w:t>
      </w:r>
      <w:r w:rsidR="003C63A0">
        <w:t xml:space="preserve">from </w:t>
      </w:r>
      <w:r>
        <w:t>overseas, and changes in relative prices (an advantage over other macro</w:t>
      </w:r>
      <w:r>
        <w:noBreakHyphen/>
        <w:t>aggregates such as GDP and consumption).</w:t>
      </w:r>
      <w:r w:rsidRPr="00B84C50">
        <w:t xml:space="preserve"> </w:t>
      </w:r>
    </w:p>
    <w:p w:rsidR="00BE6707" w:rsidRDefault="00BE6707" w:rsidP="00BE6707">
      <w:pPr>
        <w:pStyle w:val="BodyText"/>
      </w:pPr>
      <w:r>
        <w:t>The first section of this note outlines two widely-used approaches to measuring welfare: utility-based measures and national-accounts-based measures. The next sectio</w:t>
      </w:r>
      <w:r w:rsidR="000E6F44">
        <w:t xml:space="preserve">n explains the </w:t>
      </w:r>
      <w:proofErr w:type="spellStart"/>
      <w:r w:rsidR="00EC791B">
        <w:t>GNA</w:t>
      </w:r>
      <w:proofErr w:type="spellEnd"/>
      <w:r w:rsidR="00EC791B">
        <w:t xml:space="preserve"> </w:t>
      </w:r>
      <w:r w:rsidR="000E6F44">
        <w:t>approach, it</w:t>
      </w:r>
      <w:r>
        <w:t>s derivation and interpretation. Technical material in the appendix</w:t>
      </w:r>
      <w:r w:rsidR="005D46F2">
        <w:t>es</w:t>
      </w:r>
      <w:r>
        <w:t xml:space="preserve"> provides examples using applied models (code and data), and compares the results to other national accounting aggregates.</w:t>
      </w:r>
      <w:r w:rsidRPr="00B84C50">
        <w:t xml:space="preserve"> </w:t>
      </w:r>
    </w:p>
    <w:p w:rsidR="00BE6707" w:rsidRDefault="00BE6707" w:rsidP="00BE6707">
      <w:pPr>
        <w:pStyle w:val="Heading2"/>
      </w:pPr>
      <w:bookmarkStart w:id="15" w:name="_Toc26430222"/>
      <w:r>
        <w:t>Welfare results are reported in a number of ways</w:t>
      </w:r>
      <w:bookmarkEnd w:id="15"/>
    </w:p>
    <w:p w:rsidR="00BE6707" w:rsidRDefault="00BE6707" w:rsidP="00BE6707">
      <w:pPr>
        <w:pStyle w:val="BodyText"/>
      </w:pPr>
      <w:proofErr w:type="spellStart"/>
      <w:r>
        <w:t>CGE</w:t>
      </w:r>
      <w:proofErr w:type="spellEnd"/>
      <w:r w:rsidRPr="000A356D">
        <w:t xml:space="preserve"> </w:t>
      </w:r>
      <w:r>
        <w:t xml:space="preserve">models are used to assess the impacts of policy changes on a country. A number of results are typically reported to support these assessments, including </w:t>
      </w:r>
      <w:r w:rsidR="002B1F0A">
        <w:t xml:space="preserve">industry-level </w:t>
      </w:r>
      <w:r>
        <w:t xml:space="preserve"> variables </w:t>
      </w:r>
      <w:r w:rsidR="002B1F0A">
        <w:t>l</w:t>
      </w:r>
      <w:r>
        <w:t xml:space="preserve">ike </w:t>
      </w:r>
      <w:r w:rsidR="002B1F0A">
        <w:t>output</w:t>
      </w:r>
      <w:r>
        <w:t xml:space="preserve">, employment and prices, as well as macroeconomic variables like GDP, consumption and the trade balance. Measuring welfare is more challenging, and </w:t>
      </w:r>
      <w:r w:rsidR="005921EA">
        <w:t xml:space="preserve">analysts use </w:t>
      </w:r>
      <w:r>
        <w:t>two main approaches , each with their own advantages and limitations.</w:t>
      </w:r>
      <w:r w:rsidRPr="00B84C50">
        <w:t xml:space="preserve"> </w:t>
      </w:r>
    </w:p>
    <w:p w:rsidR="00BE6707" w:rsidRDefault="00BE6707" w:rsidP="00BE6707">
      <w:pPr>
        <w:pStyle w:val="Heading3"/>
      </w:pPr>
      <w:r>
        <w:t>Utility</w:t>
      </w:r>
      <w:r>
        <w:noBreakHyphen/>
        <w:t>based measures</w:t>
      </w:r>
    </w:p>
    <w:p w:rsidR="00BE6707" w:rsidRDefault="00BE6707" w:rsidP="00BE6707">
      <w:pPr>
        <w:pStyle w:val="BodyText"/>
      </w:pPr>
      <w:r>
        <w:t xml:space="preserve">Applied </w:t>
      </w:r>
      <w:proofErr w:type="spellStart"/>
      <w:r>
        <w:t>CGE</w:t>
      </w:r>
      <w:proofErr w:type="spellEnd"/>
      <w:r>
        <w:t xml:space="preserve"> modellers frequently use utility-based measures to show the welfare impacts of policy changes.  For example, EV is one such welfare measure, showing the money</w:t>
      </w:r>
      <w:r w:rsidR="002B1F0A">
        <w:noBreakHyphen/>
      </w:r>
      <w:r>
        <w:t>metric utility that households obtain from the consumption of goods and services</w:t>
      </w:r>
      <w:r w:rsidR="000278C8">
        <w:t>.</w:t>
      </w:r>
      <w:r w:rsidRPr="00E426ED">
        <w:rPr>
          <w:rStyle w:val="FootnoteReference"/>
        </w:rPr>
        <w:footnoteReference w:id="2"/>
      </w:r>
      <w:r>
        <w:t xml:space="preserve"> These types of indicators are complicated to measure and explain, because they rely on assumptions about people’s preferences. Not being linked to national accounts data, exposition of the mechanisms driving changes, and attempts to reconcile those changes with other reported results, can be difficult.</w:t>
      </w:r>
      <w:r w:rsidRPr="00B84C50">
        <w:t xml:space="preserve"> </w:t>
      </w:r>
    </w:p>
    <w:p w:rsidR="00BE6707" w:rsidRDefault="00BE6707" w:rsidP="00BE6707">
      <w:pPr>
        <w:pStyle w:val="BodyText"/>
      </w:pPr>
      <w:r>
        <w:t xml:space="preserve">Utility-based measures omit important components of domestic welfare. </w:t>
      </w:r>
      <w:r w:rsidR="004172EA">
        <w:t>The EV measure, derived from h</w:t>
      </w:r>
      <w:r>
        <w:t>ousehold consumption</w:t>
      </w:r>
      <w:r w:rsidR="004172EA">
        <w:t>,</w:t>
      </w:r>
      <w:r>
        <w:t xml:space="preserve"> does not </w:t>
      </w:r>
      <w:r w:rsidR="00EC791B">
        <w:t xml:space="preserve">account for </w:t>
      </w:r>
      <w:r>
        <w:t xml:space="preserve">taxes paid to the government (which finances </w:t>
      </w:r>
      <w:r w:rsidR="00EC791B">
        <w:t xml:space="preserve">valuable </w:t>
      </w:r>
      <w:r>
        <w:t>services) and savings used for investment (which support</w:t>
      </w:r>
      <w:r w:rsidR="00EC791B">
        <w:t>s</w:t>
      </w:r>
      <w:r>
        <w:t xml:space="preserve"> future consumption). One method used to address these omissions is to combine household, government and </w:t>
      </w:r>
      <w:r w:rsidR="004172EA">
        <w:t xml:space="preserve">the </w:t>
      </w:r>
      <w:r>
        <w:t xml:space="preserve">investment </w:t>
      </w:r>
      <w:r w:rsidR="004172EA">
        <w:t xml:space="preserve">of savings </w:t>
      </w:r>
      <w:r>
        <w:t>to form a “super household”, so that a national welfare measure of EV can be derived from the super household’s utility.</w:t>
      </w:r>
      <w:r w:rsidRPr="0094200C">
        <w:rPr>
          <w:rStyle w:val="FootnoteReference"/>
        </w:rPr>
        <w:footnoteReference w:id="3"/>
      </w:r>
      <w:r>
        <w:t xml:space="preserve"> This approach, however, is not based on the theory underpinning the </w:t>
      </w:r>
      <w:proofErr w:type="spellStart"/>
      <w:r>
        <w:t>CGE</w:t>
      </w:r>
      <w:proofErr w:type="spellEnd"/>
      <w:r>
        <w:t xml:space="preserve"> models, as the investment and government demands are not derived from the same utility-maximising behaviour as </w:t>
      </w:r>
      <w:r>
        <w:lastRenderedPageBreak/>
        <w:t>household consumption. This exacerbates the challenges associated with reconciling the measures with national accounts data, and further complicates exposition and interpretation.</w:t>
      </w:r>
      <w:r w:rsidRPr="00B84C50">
        <w:t xml:space="preserve"> </w:t>
      </w:r>
    </w:p>
    <w:p w:rsidR="00BE6707" w:rsidRDefault="00BE6707" w:rsidP="00BE6707">
      <w:pPr>
        <w:pStyle w:val="Heading3"/>
      </w:pPr>
      <w:r>
        <w:t>National-accounts-based measures</w:t>
      </w:r>
    </w:p>
    <w:p w:rsidR="00BE6707" w:rsidRDefault="00BE6707" w:rsidP="00BE6707">
      <w:pPr>
        <w:pStyle w:val="BodyText"/>
      </w:pPr>
      <w:r>
        <w:t xml:space="preserve">National-accounts aggregates are also used to gauge the welfare impacts of policy change. GDP and other indicators </w:t>
      </w:r>
      <w:r w:rsidR="001A15BA">
        <w:t xml:space="preserve">of national income </w:t>
      </w:r>
      <w:r>
        <w:t xml:space="preserve">are straightforward to calculate and frequently reported in </w:t>
      </w:r>
      <w:proofErr w:type="spellStart"/>
      <w:r>
        <w:t>CGE</w:t>
      </w:r>
      <w:proofErr w:type="spellEnd"/>
      <w:r>
        <w:t xml:space="preserve"> model results. However</w:t>
      </w:r>
      <w:r w:rsidR="002B1F0A">
        <w:t>,</w:t>
      </w:r>
      <w:r>
        <w:t xml:space="preserve"> GDP shows the goods and services that are produced by a country (or the factor payments made in a country), which are not necessarily consumed (or received) in full </w:t>
      </w:r>
      <w:r w:rsidR="00621631">
        <w:t>by residents</w:t>
      </w:r>
      <w:r>
        <w:t xml:space="preserve">. Welfare is determined not only by how much income a country can generate, but by how many goods and services residents could purchase with that income. Purchasing power has to be taken into account if national income is used as a welfare measure. </w:t>
      </w:r>
    </w:p>
    <w:p w:rsidR="00BE6707" w:rsidRPr="000278C8" w:rsidRDefault="009814CF" w:rsidP="00487D33">
      <w:pPr>
        <w:pStyle w:val="BodyText"/>
        <w:rPr>
          <w:spacing w:val="-2"/>
        </w:rPr>
      </w:pPr>
      <w:r w:rsidRPr="000278C8">
        <w:rPr>
          <w:spacing w:val="-2"/>
        </w:rPr>
        <w:t>A</w:t>
      </w:r>
      <w:r w:rsidR="00BE6707" w:rsidRPr="000278C8">
        <w:rPr>
          <w:spacing w:val="-2"/>
        </w:rPr>
        <w:t xml:space="preserve"> measure of the purchasing power </w:t>
      </w:r>
      <w:r w:rsidRPr="000278C8">
        <w:rPr>
          <w:spacing w:val="-2"/>
        </w:rPr>
        <w:t>must relate income to a relevant price index</w:t>
      </w:r>
      <w:r w:rsidR="00BE6707" w:rsidRPr="000278C8">
        <w:rPr>
          <w:spacing w:val="-2"/>
        </w:rPr>
        <w:t xml:space="preserve">. For example, Dixon (2016) defines a measure of real income as nominal GDP deflated by the consumer price index (CPI), instead of the GDP deflator. </w:t>
      </w:r>
      <w:r w:rsidR="00621631" w:rsidRPr="000278C8">
        <w:rPr>
          <w:spacing w:val="-2"/>
        </w:rPr>
        <w:t xml:space="preserve">It is </w:t>
      </w:r>
      <w:r w:rsidR="00BE6707" w:rsidRPr="000278C8">
        <w:rPr>
          <w:spacing w:val="-2"/>
        </w:rPr>
        <w:t>argue</w:t>
      </w:r>
      <w:r w:rsidR="00621631" w:rsidRPr="000278C8">
        <w:rPr>
          <w:spacing w:val="-2"/>
        </w:rPr>
        <w:t>d that</w:t>
      </w:r>
      <w:r w:rsidR="00BE6707" w:rsidRPr="000278C8">
        <w:rPr>
          <w:spacing w:val="-2"/>
        </w:rPr>
        <w:t xml:space="preserve"> the CPI captures terms of trade effects, which are absent from the GDP deflator. However, the CPI is based on private household expenditure, which uses only part of a country’s total income. Further, as an income measure</w:t>
      </w:r>
      <w:r w:rsidR="00621631" w:rsidRPr="000278C8">
        <w:rPr>
          <w:spacing w:val="-2"/>
        </w:rPr>
        <w:t xml:space="preserve">, GDP </w:t>
      </w:r>
      <w:r w:rsidR="00BE6707" w:rsidRPr="000278C8">
        <w:rPr>
          <w:spacing w:val="-2"/>
        </w:rPr>
        <w:t>include</w:t>
      </w:r>
      <w:r w:rsidRPr="000278C8">
        <w:rPr>
          <w:spacing w:val="-2"/>
        </w:rPr>
        <w:t>s</w:t>
      </w:r>
      <w:r w:rsidR="00BE6707" w:rsidRPr="000278C8">
        <w:rPr>
          <w:spacing w:val="-2"/>
        </w:rPr>
        <w:t xml:space="preserve"> returns accruing overseas, so further corrections are required. </w:t>
      </w:r>
    </w:p>
    <w:p w:rsidR="00BE6707" w:rsidRDefault="00BE6707" w:rsidP="00471B29">
      <w:pPr>
        <w:pStyle w:val="Heading2"/>
        <w:ind w:left="0" w:firstLine="0"/>
      </w:pPr>
      <w:bookmarkStart w:id="16" w:name="_Toc26430223"/>
      <w:r>
        <w:t>A</w:t>
      </w:r>
      <w:r w:rsidR="00B2763E">
        <w:t>n alternative</w:t>
      </w:r>
      <w:r>
        <w:t xml:space="preserve"> national-accounts-based measure</w:t>
      </w:r>
      <w:r w:rsidR="00C740FA">
        <w:t>: real expenditure</w:t>
      </w:r>
      <w:bookmarkEnd w:id="16"/>
    </w:p>
    <w:p w:rsidR="00BE6707" w:rsidRDefault="00C740FA" w:rsidP="00BE6707">
      <w:pPr>
        <w:pStyle w:val="BodyText"/>
      </w:pPr>
      <w:r>
        <w:t>An alternative measure, prop</w:t>
      </w:r>
      <w:r w:rsidR="007626DE">
        <w:t xml:space="preserve">osed in this paper, is real </w:t>
      </w:r>
      <w:proofErr w:type="spellStart"/>
      <w:r w:rsidR="007626DE">
        <w:t>GNA</w:t>
      </w:r>
      <w:proofErr w:type="spellEnd"/>
      <w:r w:rsidR="007626DE">
        <w:t>, a</w:t>
      </w:r>
      <w:r>
        <w:t xml:space="preserve"> measure of real national expenditure. This measure</w:t>
      </w:r>
      <w:r w:rsidR="00BE6707">
        <w:t xml:space="preserve"> combines the strengths of utility-based and national-accounts-based approaches. It incorporates all of the components found in utility</w:t>
      </w:r>
      <w:r w:rsidR="00BE6707">
        <w:noBreakHyphen/>
        <w:t xml:space="preserve">based measures — the amount of household and government consumption national income can generate, domestically sourced savings and investment net of overseas payments, all converted to </w:t>
      </w:r>
      <w:r w:rsidR="00487D33">
        <w:t xml:space="preserve">implicit </w:t>
      </w:r>
      <w:r w:rsidR="00BE6707">
        <w:t xml:space="preserve">quantities </w:t>
      </w:r>
      <w:r w:rsidR="00487D33">
        <w:t xml:space="preserve">or real values </w:t>
      </w:r>
      <w:r w:rsidR="00BE6707">
        <w:t>through appropriately defined deflators — but it calculates those components from pre-existing national-accounting aggregates.</w:t>
      </w:r>
      <w:r w:rsidR="00BE6707" w:rsidRPr="00B84C50">
        <w:t xml:space="preserve"> </w:t>
      </w:r>
    </w:p>
    <w:p w:rsidR="00BE6707" w:rsidRDefault="00BE6707" w:rsidP="00BE6707">
      <w:pPr>
        <w:pStyle w:val="BodyText"/>
      </w:pPr>
      <w:r>
        <w:rPr>
          <w:bCs/>
        </w:rPr>
        <w:t xml:space="preserve">The measure </w:t>
      </w:r>
      <w:r w:rsidR="001254AD">
        <w:rPr>
          <w:bCs/>
        </w:rPr>
        <w:t xml:space="preserve">of </w:t>
      </w:r>
      <w:r>
        <w:rPr>
          <w:bCs/>
        </w:rPr>
        <w:t xml:space="preserve">real </w:t>
      </w:r>
      <w:proofErr w:type="spellStart"/>
      <w:r>
        <w:rPr>
          <w:bCs/>
        </w:rPr>
        <w:t>GNA</w:t>
      </w:r>
      <w:proofErr w:type="spellEnd"/>
      <w:r>
        <w:rPr>
          <w:bCs/>
        </w:rPr>
        <w:t xml:space="preserve"> is explained in th</w:t>
      </w:r>
      <w:r w:rsidR="00C740FA">
        <w:rPr>
          <w:bCs/>
        </w:rPr>
        <w:t>is</w:t>
      </w:r>
      <w:r>
        <w:rPr>
          <w:bCs/>
        </w:rPr>
        <w:t xml:space="preserve"> section. The explanation starts with a derivation from the nominal national</w:t>
      </w:r>
      <w:r>
        <w:rPr>
          <w:bCs/>
        </w:rPr>
        <w:noBreakHyphen/>
        <w:t>accounting variables, and then uses deflators to illustrate the</w:t>
      </w:r>
      <w:r w:rsidR="001254AD">
        <w:rPr>
          <w:bCs/>
        </w:rPr>
        <w:t>ir</w:t>
      </w:r>
      <w:r>
        <w:rPr>
          <w:bCs/>
        </w:rPr>
        <w:t xml:space="preserve"> real components. The process setting out the derivation not only provides a foundation for the measure, but also provides an intuitive guide for exposi</w:t>
      </w:r>
      <w:r w:rsidR="009814CF">
        <w:rPr>
          <w:bCs/>
        </w:rPr>
        <w:t>ng</w:t>
      </w:r>
      <w:r>
        <w:rPr>
          <w:bCs/>
        </w:rPr>
        <w:t xml:space="preserve"> results</w:t>
      </w:r>
      <w:r w:rsidR="00487D33">
        <w:rPr>
          <w:bCs/>
        </w:rPr>
        <w:t xml:space="preserve"> (both in terms of results from models, as well as changes in reported macro-statistics)</w:t>
      </w:r>
      <w:r>
        <w:rPr>
          <w:bCs/>
        </w:rPr>
        <w:t xml:space="preserve">. By tracking through the components of real </w:t>
      </w:r>
      <w:proofErr w:type="spellStart"/>
      <w:r>
        <w:rPr>
          <w:bCs/>
        </w:rPr>
        <w:t>GNA</w:t>
      </w:r>
      <w:proofErr w:type="spellEnd"/>
      <w:r>
        <w:rPr>
          <w:bCs/>
        </w:rPr>
        <w:t xml:space="preserve"> via the sequence of macro</w:t>
      </w:r>
      <w:r>
        <w:rPr>
          <w:bCs/>
        </w:rPr>
        <w:noBreakHyphen/>
        <w:t xml:space="preserve">accounting identities and price differentials, policy analysts have a structured way of </w:t>
      </w:r>
      <w:r w:rsidR="009814CF">
        <w:rPr>
          <w:bCs/>
        </w:rPr>
        <w:t xml:space="preserve">explaining </w:t>
      </w:r>
      <w:r>
        <w:rPr>
          <w:bCs/>
        </w:rPr>
        <w:t xml:space="preserve">the mechanisms driving the impacts on </w:t>
      </w:r>
      <w:r w:rsidR="001254AD">
        <w:rPr>
          <w:bCs/>
        </w:rPr>
        <w:t xml:space="preserve">the whole economy </w:t>
      </w:r>
      <w:r>
        <w:rPr>
          <w:bCs/>
        </w:rPr>
        <w:t>that could result from policy changes.</w:t>
      </w:r>
      <w:r w:rsidRPr="00B84C50">
        <w:t xml:space="preserve"> </w:t>
      </w:r>
    </w:p>
    <w:p w:rsidR="00BE6707" w:rsidRPr="00B56801" w:rsidRDefault="00BE6707" w:rsidP="00BE6707">
      <w:pPr>
        <w:pStyle w:val="Heading3"/>
      </w:pPr>
      <w:r>
        <w:lastRenderedPageBreak/>
        <w:t xml:space="preserve">Deriving a measure of </w:t>
      </w:r>
      <w:r w:rsidR="000C534A">
        <w:t xml:space="preserve">real expenditure </w:t>
      </w:r>
      <w:r>
        <w:t>from national accounting relationships</w:t>
      </w:r>
    </w:p>
    <w:p w:rsidR="00BE6707" w:rsidRDefault="00BE6707" w:rsidP="00BE6707">
      <w:pPr>
        <w:pStyle w:val="BodyText"/>
      </w:pPr>
      <w:r>
        <w:rPr>
          <w:bCs/>
        </w:rPr>
        <w:t xml:space="preserve">National income can be measured from the production and consumption sides. On the production side, national income is equal to the value of sales of all goods and services that a country produced for final users. In the </w:t>
      </w:r>
      <w:r w:rsidR="00F747E0">
        <w:rPr>
          <w:bCs/>
        </w:rPr>
        <w:t xml:space="preserve">system of </w:t>
      </w:r>
      <w:r>
        <w:rPr>
          <w:bCs/>
        </w:rPr>
        <w:t>national account</w:t>
      </w:r>
      <w:r w:rsidR="00F747E0">
        <w:rPr>
          <w:bCs/>
        </w:rPr>
        <w:t>s</w:t>
      </w:r>
      <w:r>
        <w:rPr>
          <w:bCs/>
        </w:rPr>
        <w:t xml:space="preserve">, this is </w:t>
      </w:r>
      <w:r w:rsidR="00F747E0">
        <w:rPr>
          <w:bCs/>
        </w:rPr>
        <w:t xml:space="preserve">called </w:t>
      </w:r>
      <w:r>
        <w:rPr>
          <w:bCs/>
        </w:rPr>
        <w:t>Gross Domestic Product (GDP)</w:t>
      </w:r>
      <w:r w:rsidR="00F747E0">
        <w:rPr>
          <w:bCs/>
        </w:rPr>
        <w:t xml:space="preserve">, </w:t>
      </w:r>
      <w:r>
        <w:rPr>
          <w:bCs/>
        </w:rPr>
        <w:t>defined as the value of goods and services used by households (C) and government (G), for final consumption and investment (I), and for export (X), net of imports (M):</w:t>
      </w:r>
      <w:r w:rsidRPr="00B84C50">
        <w:t xml:space="preserve"> </w:t>
      </w:r>
    </w:p>
    <w:p w:rsidR="00BE6707" w:rsidRDefault="00BE6707" w:rsidP="00BE6707">
      <w:pPr>
        <w:pStyle w:val="BodyText"/>
      </w:pPr>
      <w:r w:rsidRPr="009A4365">
        <w:tab/>
      </w:r>
      <m:oMath>
        <m:r>
          <w:rPr>
            <w:rFonts w:ascii="Cambria Math" w:hAnsi="Cambria Math"/>
          </w:rPr>
          <m:t>GDP=C+G+I+</m:t>
        </m:r>
        <m:d>
          <m:dPr>
            <m:ctrlPr>
              <w:rPr>
                <w:rFonts w:ascii="Cambria Math" w:hAnsi="Cambria Math"/>
                <w:i/>
              </w:rPr>
            </m:ctrlPr>
          </m:dPr>
          <m:e>
            <m:r>
              <w:rPr>
                <w:rFonts w:ascii="Cambria Math" w:hAnsi="Cambria Math"/>
              </w:rPr>
              <m:t>X-M</m:t>
            </m:r>
          </m:e>
        </m:d>
        <m:r>
          <w:rPr>
            <w:rFonts w:ascii="Cambria Math" w:hAnsi="Cambria Math"/>
          </w:rPr>
          <m:t>=GDA+TAB</m:t>
        </m:r>
      </m:oMath>
      <w:r>
        <w:tab/>
      </w:r>
      <w:r>
        <w:tab/>
      </w:r>
      <w:r>
        <w:tab/>
        <w:t>(1)</w:t>
      </w:r>
      <w:r w:rsidRPr="00B84C50">
        <w:t xml:space="preserve"> </w:t>
      </w:r>
    </w:p>
    <w:p w:rsidR="00BE6707" w:rsidRDefault="00BE6707" w:rsidP="00BE6707">
      <w:pPr>
        <w:pStyle w:val="BodyText"/>
      </w:pPr>
      <w:r>
        <w:rPr>
          <w:bCs/>
        </w:rPr>
        <w:t>The sum of consumption, government and investment is referred to as Gross Domestic Absorption (</w:t>
      </w:r>
      <w:proofErr w:type="spellStart"/>
      <w:r>
        <w:rPr>
          <w:bCs/>
        </w:rPr>
        <w:t>GDA</w:t>
      </w:r>
      <w:proofErr w:type="spellEnd"/>
      <w:r>
        <w:rPr>
          <w:bCs/>
        </w:rPr>
        <w:t>)</w:t>
      </w:r>
      <w:r w:rsidRPr="00D90CF0">
        <w:rPr>
          <w:rStyle w:val="FootnoteReference"/>
          <w:bCs/>
        </w:rPr>
        <w:footnoteReference w:id="4"/>
      </w:r>
      <w:r>
        <w:rPr>
          <w:bCs/>
        </w:rPr>
        <w:t xml:space="preserve"> and the difference between exports and imports is the trade account balance (TAB) (set out in a country’s balance of payments (</w:t>
      </w:r>
      <w:proofErr w:type="spellStart"/>
      <w:r>
        <w:rPr>
          <w:bCs/>
        </w:rPr>
        <w:t>BoP</w:t>
      </w:r>
      <w:proofErr w:type="spellEnd"/>
      <w:r>
        <w:rPr>
          <w:bCs/>
        </w:rPr>
        <w:t xml:space="preserve">)). </w:t>
      </w:r>
    </w:p>
    <w:p w:rsidR="00BE6707" w:rsidRDefault="00BE6707" w:rsidP="00BE6707">
      <w:pPr>
        <w:pStyle w:val="BodyText"/>
      </w:pPr>
      <w:r>
        <w:rPr>
          <w:bCs/>
        </w:rPr>
        <w:t xml:space="preserve">Nominal GDP is </w:t>
      </w:r>
      <w:r w:rsidR="00487D33">
        <w:rPr>
          <w:bCs/>
        </w:rPr>
        <w:t xml:space="preserve">also </w:t>
      </w:r>
      <w:r w:rsidR="00280E36">
        <w:rPr>
          <w:bCs/>
        </w:rPr>
        <w:t xml:space="preserve">equal to </w:t>
      </w:r>
      <w:r>
        <w:rPr>
          <w:bCs/>
        </w:rPr>
        <w:t xml:space="preserve">the sum of factor incomes, which is the same as industry value added. If imports are subtracted from C, G and I, GDP can be </w:t>
      </w:r>
      <w:r w:rsidR="00487D33">
        <w:rPr>
          <w:bCs/>
        </w:rPr>
        <w:t>rearranged</w:t>
      </w:r>
      <w:r>
        <w:rPr>
          <w:bCs/>
        </w:rPr>
        <w:t xml:space="preserve"> as the value of domestic production:</w:t>
      </w:r>
    </w:p>
    <w:p w:rsidR="00BE6707" w:rsidRDefault="00BE6707" w:rsidP="00BE6707">
      <w:pPr>
        <w:pStyle w:val="BodyText"/>
      </w:pPr>
      <w:r w:rsidRPr="009A4365">
        <w:tab/>
      </w:r>
      <m:oMath>
        <m:r>
          <w:rPr>
            <w:rFonts w:ascii="Cambria Math" w:hAnsi="Cambria Math"/>
          </w:rPr>
          <m:t>GDP=</m:t>
        </m:r>
        <m:sSup>
          <m:sSupPr>
            <m:ctrlPr>
              <w:rPr>
                <w:rFonts w:ascii="Cambria Math" w:hAnsi="Cambria Math"/>
                <w:i/>
              </w:rPr>
            </m:ctrlPr>
          </m:sSupPr>
          <m:e>
            <m:r>
              <w:rPr>
                <w:rFonts w:ascii="Cambria Math" w:hAnsi="Cambria Math"/>
              </w:rPr>
              <m:t>C</m:t>
            </m:r>
          </m:e>
          <m:sup>
            <m:r>
              <w:rPr>
                <w:rFonts w:ascii="Cambria Math" w:hAnsi="Cambria Math"/>
              </w:rPr>
              <m:t>Dom</m:t>
            </m:r>
          </m:sup>
        </m:sSup>
        <m:r>
          <w:rPr>
            <w:rFonts w:ascii="Cambria Math" w:hAnsi="Cambria Math"/>
          </w:rPr>
          <m:t>+</m:t>
        </m:r>
        <m:sSup>
          <m:sSupPr>
            <m:ctrlPr>
              <w:rPr>
                <w:rFonts w:ascii="Cambria Math" w:hAnsi="Cambria Math"/>
                <w:i/>
              </w:rPr>
            </m:ctrlPr>
          </m:sSupPr>
          <m:e>
            <m:r>
              <w:rPr>
                <w:rFonts w:ascii="Cambria Math" w:hAnsi="Cambria Math"/>
              </w:rPr>
              <m:t>G</m:t>
            </m:r>
          </m:e>
          <m:sup>
            <m:r>
              <w:rPr>
                <w:rFonts w:ascii="Cambria Math" w:hAnsi="Cambria Math"/>
              </w:rPr>
              <m:t>Dom</m:t>
            </m:r>
          </m:sup>
        </m:sSup>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Dom</m:t>
            </m:r>
          </m:sup>
        </m:sSup>
        <m:r>
          <w:rPr>
            <w:rFonts w:ascii="Cambria Math" w:hAnsi="Cambria Math"/>
          </w:rPr>
          <m:t>+X</m:t>
        </m:r>
      </m:oMath>
      <w:r>
        <w:tab/>
      </w:r>
      <w:r>
        <w:tab/>
      </w:r>
      <w:r>
        <w:tab/>
      </w:r>
      <w:r>
        <w:tab/>
      </w:r>
      <w:r>
        <w:tab/>
        <w:t>(2)</w:t>
      </w:r>
      <w:r w:rsidRPr="00B84C50">
        <w:t xml:space="preserve"> </w:t>
      </w:r>
    </w:p>
    <w:p w:rsidR="00BE6707" w:rsidRDefault="00BE6707" w:rsidP="00BE6707">
      <w:pPr>
        <w:pStyle w:val="BodyText"/>
      </w:pPr>
      <w:r>
        <w:rPr>
          <w:bCs/>
        </w:rPr>
        <w:t>Equation (2) shows the sources of national income in terms of sales of produced goods and services. It does not show how such income is spent</w:t>
      </w:r>
      <w:r w:rsidR="002B1F0A">
        <w:rPr>
          <w:bCs/>
        </w:rPr>
        <w:t xml:space="preserve"> by</w:t>
      </w:r>
      <w:r>
        <w:rPr>
          <w:bCs/>
        </w:rPr>
        <w:t xml:space="preserve"> residents.</w:t>
      </w:r>
      <w:r w:rsidRPr="00B84C50">
        <w:t xml:space="preserve"> </w:t>
      </w:r>
    </w:p>
    <w:p w:rsidR="00BE6707" w:rsidRDefault="00280E36" w:rsidP="00BE6707">
      <w:pPr>
        <w:pStyle w:val="BodyText"/>
      </w:pPr>
      <w:r>
        <w:rPr>
          <w:bCs/>
        </w:rPr>
        <w:t>GDP is an accurate measure of national income if no foreign income is included</w:t>
      </w:r>
      <w:r w:rsidR="00BE6707">
        <w:rPr>
          <w:bCs/>
        </w:rPr>
        <w:t>. In an open economy</w:t>
      </w:r>
      <w:r>
        <w:rPr>
          <w:bCs/>
        </w:rPr>
        <w:t xml:space="preserve"> where foreign factors may be used in domestic production</w:t>
      </w:r>
      <w:r w:rsidR="00BE6707">
        <w:rPr>
          <w:bCs/>
        </w:rPr>
        <w:t>, a more accurate measure of national income is given by Gross National Product (GNP)</w:t>
      </w:r>
      <w:r>
        <w:rPr>
          <w:rStyle w:val="FootnoteReference"/>
          <w:bCs/>
        </w:rPr>
        <w:footnoteReference w:id="5"/>
      </w:r>
      <w:r w:rsidR="00BE6707">
        <w:rPr>
          <w:bCs/>
        </w:rPr>
        <w:t>, which is defined as GDP plus the income accruing domestically for locally</w:t>
      </w:r>
      <w:r w:rsidR="002B1F0A">
        <w:rPr>
          <w:bCs/>
        </w:rPr>
        <w:noBreakHyphen/>
      </w:r>
      <w:r w:rsidR="00BE6707">
        <w:rPr>
          <w:bCs/>
        </w:rPr>
        <w:t>owned factors used in foreign countries (D), minus the income paid to foreigners for the factors they own locally (F). The difference between the receipts (D) and payments (F) is a country’s income account balance (</w:t>
      </w:r>
      <w:proofErr w:type="spellStart"/>
      <w:r w:rsidR="00BE6707">
        <w:rPr>
          <w:bCs/>
        </w:rPr>
        <w:t>IAB</w:t>
      </w:r>
      <w:proofErr w:type="spellEnd"/>
      <w:r w:rsidR="00BE6707">
        <w:rPr>
          <w:bCs/>
        </w:rPr>
        <w:t xml:space="preserve">) in its </w:t>
      </w:r>
      <w:proofErr w:type="spellStart"/>
      <w:r w:rsidR="00BE6707">
        <w:rPr>
          <w:bCs/>
        </w:rPr>
        <w:t>BoP</w:t>
      </w:r>
      <w:proofErr w:type="spellEnd"/>
      <w:r w:rsidR="00BE6707">
        <w:rPr>
          <w:bCs/>
        </w:rPr>
        <w:t>:</w:t>
      </w:r>
      <w:r w:rsidR="00BE6707" w:rsidRPr="00B84C50">
        <w:t xml:space="preserve"> </w:t>
      </w:r>
    </w:p>
    <w:p w:rsidR="00BE6707" w:rsidRDefault="00BE6707" w:rsidP="00BE6707">
      <w:pPr>
        <w:pStyle w:val="BodyText"/>
      </w:pPr>
      <w:r w:rsidRPr="009A4365">
        <w:tab/>
      </w:r>
      <m:oMath>
        <m:r>
          <w:rPr>
            <w:rFonts w:ascii="Cambria Math" w:hAnsi="Cambria Math"/>
          </w:rPr>
          <m:t>GNP=GDA+</m:t>
        </m:r>
        <m:d>
          <m:dPr>
            <m:ctrlPr>
              <w:rPr>
                <w:rFonts w:ascii="Cambria Math" w:hAnsi="Cambria Math"/>
                <w:i/>
              </w:rPr>
            </m:ctrlPr>
          </m:dPr>
          <m:e>
            <m:r>
              <w:rPr>
                <w:rFonts w:ascii="Cambria Math" w:hAnsi="Cambria Math"/>
              </w:rPr>
              <m:t>X-M</m:t>
            </m:r>
          </m:e>
        </m:d>
        <m:r>
          <w:rPr>
            <w:rFonts w:ascii="Cambria Math" w:hAnsi="Cambria Math"/>
          </w:rPr>
          <m:t>+(D-F)=GDP+IAB</m:t>
        </m:r>
      </m:oMath>
      <w:r>
        <w:tab/>
      </w:r>
      <w:r>
        <w:tab/>
      </w:r>
      <w:r>
        <w:tab/>
        <w:t>(3)</w:t>
      </w:r>
      <w:r w:rsidRPr="00B84C50">
        <w:t xml:space="preserve"> </w:t>
      </w:r>
    </w:p>
    <w:p w:rsidR="00BE6707" w:rsidRDefault="00BE6707" w:rsidP="00BE6707">
      <w:pPr>
        <w:pStyle w:val="BodyText"/>
      </w:pPr>
      <w:r>
        <w:rPr>
          <w:bCs/>
        </w:rPr>
        <w:t xml:space="preserve">If </w:t>
      </w:r>
      <w:r w:rsidR="009814CF">
        <w:rPr>
          <w:bCs/>
        </w:rPr>
        <w:t>the</w:t>
      </w:r>
      <w:r>
        <w:rPr>
          <w:bCs/>
        </w:rPr>
        <w:t xml:space="preserve"> current account </w:t>
      </w:r>
      <w:r w:rsidR="009814CF">
        <w:rPr>
          <w:bCs/>
        </w:rPr>
        <w:t xml:space="preserve">is not balanced, the difference is made up by net investment; for example, a </w:t>
      </w:r>
      <w:r>
        <w:rPr>
          <w:bCs/>
        </w:rPr>
        <w:t xml:space="preserve">deficit is financed by </w:t>
      </w:r>
      <w:r w:rsidR="009814CF">
        <w:rPr>
          <w:bCs/>
        </w:rPr>
        <w:t xml:space="preserve">net </w:t>
      </w:r>
      <w:r>
        <w:rPr>
          <w:bCs/>
        </w:rPr>
        <w:t>inflows of investment from overseas</w:t>
      </w:r>
      <w:r w:rsidR="009814CF">
        <w:rPr>
          <w:bCs/>
        </w:rPr>
        <w:t xml:space="preserve">, with </w:t>
      </w:r>
      <w:r>
        <w:rPr>
          <w:bCs/>
        </w:rPr>
        <w:t>national investment (I) greater than national savings (S),</w:t>
      </w:r>
      <w:r w:rsidRPr="00B84C50">
        <w:t xml:space="preserve"> </w:t>
      </w:r>
    </w:p>
    <w:p w:rsidR="00BE6707" w:rsidRDefault="00BE6707" w:rsidP="00BE6707">
      <w:pPr>
        <w:pStyle w:val="BodyText"/>
      </w:pPr>
      <w:r w:rsidRPr="009A4365">
        <w:tab/>
      </w:r>
      <m:oMath>
        <m:d>
          <m:dPr>
            <m:ctrlPr>
              <w:rPr>
                <w:rFonts w:ascii="Cambria Math" w:hAnsi="Cambria Math"/>
                <w:i/>
              </w:rPr>
            </m:ctrlPr>
          </m:dPr>
          <m:e>
            <m:r>
              <w:rPr>
                <w:rFonts w:ascii="Cambria Math" w:hAnsi="Cambria Math"/>
              </w:rPr>
              <m:t>M-X</m:t>
            </m:r>
          </m:e>
        </m:d>
        <m:r>
          <w:rPr>
            <w:rFonts w:ascii="Cambria Math" w:hAnsi="Cambria Math"/>
          </w:rPr>
          <m:t>+(F-D)=I-S</m:t>
        </m:r>
      </m:oMath>
      <w:r w:rsidRPr="006A46E2">
        <w:rPr>
          <w:rFonts w:ascii="Cambria Math" w:hAnsi="Cambria Math"/>
          <w:bCs/>
          <w:i/>
        </w:rPr>
        <w:t xml:space="preserve"> </w:t>
      </w:r>
      <w:r w:rsidRPr="00D7743D">
        <w:rPr>
          <w:bCs/>
        </w:rPr>
        <w:tab/>
      </w:r>
      <w:r w:rsidRPr="00D7743D">
        <w:rPr>
          <w:bCs/>
        </w:rPr>
        <w:tab/>
      </w:r>
      <w:r w:rsidRPr="00D7743D">
        <w:rPr>
          <w:bCs/>
        </w:rPr>
        <w:tab/>
      </w:r>
      <w:r w:rsidRPr="00D7743D">
        <w:rPr>
          <w:bCs/>
        </w:rPr>
        <w:tab/>
      </w:r>
      <w:r>
        <w:rPr>
          <w:bCs/>
        </w:rPr>
        <w:tab/>
      </w:r>
      <w:r w:rsidRPr="00D7743D">
        <w:rPr>
          <w:bCs/>
        </w:rPr>
        <w:tab/>
        <w:t>(</w:t>
      </w:r>
      <w:r>
        <w:rPr>
          <w:bCs/>
        </w:rPr>
        <w:t>4</w:t>
      </w:r>
      <w:r w:rsidRPr="00D7743D">
        <w:rPr>
          <w:bCs/>
        </w:rPr>
        <w:t>)</w:t>
      </w:r>
      <w:r w:rsidRPr="00B84C50">
        <w:t xml:space="preserve"> </w:t>
      </w:r>
    </w:p>
    <w:p w:rsidR="00BE6707" w:rsidRDefault="00BE6707" w:rsidP="00BE6707">
      <w:pPr>
        <w:pStyle w:val="BodyText"/>
      </w:pPr>
      <w:r>
        <w:rPr>
          <w:bCs/>
        </w:rPr>
        <w:t xml:space="preserve">Equation (4) shows that national income can be measured in two ways. On the left-hand side, the current account balance (CAB) plus </w:t>
      </w:r>
      <w:proofErr w:type="spellStart"/>
      <w:r>
        <w:rPr>
          <w:bCs/>
        </w:rPr>
        <w:t>GDA</w:t>
      </w:r>
      <w:proofErr w:type="spellEnd"/>
      <w:r>
        <w:rPr>
          <w:bCs/>
        </w:rPr>
        <w:t xml:space="preserve"> gives the production-side measure of national income, GNP. On the right-hand side of the equation, </w:t>
      </w:r>
      <w:r w:rsidR="009814CF">
        <w:rPr>
          <w:bCs/>
        </w:rPr>
        <w:t xml:space="preserve">the </w:t>
      </w:r>
      <w:r>
        <w:rPr>
          <w:bCs/>
        </w:rPr>
        <w:t>capital account balance (</w:t>
      </w:r>
      <w:proofErr w:type="spellStart"/>
      <w:r>
        <w:rPr>
          <w:bCs/>
        </w:rPr>
        <w:t>KAB</w:t>
      </w:r>
      <w:proofErr w:type="spellEnd"/>
      <w:r>
        <w:rPr>
          <w:bCs/>
        </w:rPr>
        <w:t xml:space="preserve">) </w:t>
      </w:r>
      <w:r>
        <w:rPr>
          <w:bCs/>
        </w:rPr>
        <w:lastRenderedPageBreak/>
        <w:t xml:space="preserve">plus </w:t>
      </w:r>
      <w:proofErr w:type="spellStart"/>
      <w:r>
        <w:rPr>
          <w:bCs/>
        </w:rPr>
        <w:t>GDA</w:t>
      </w:r>
      <w:proofErr w:type="spellEnd"/>
      <w:r>
        <w:rPr>
          <w:bCs/>
        </w:rPr>
        <w:t xml:space="preserve"> produces a consumption-side measure of national income. The two measures of national income </w:t>
      </w:r>
      <w:r w:rsidR="00A0258E">
        <w:rPr>
          <w:bCs/>
        </w:rPr>
        <w:t>are identical</w:t>
      </w:r>
      <w:r>
        <w:rPr>
          <w:bCs/>
        </w:rPr>
        <w:t xml:space="preserve"> in nominal terms. However, they are not necessarily the same</w:t>
      </w:r>
      <w:r w:rsidRPr="00A462C1">
        <w:rPr>
          <w:bCs/>
        </w:rPr>
        <w:t xml:space="preserve"> </w:t>
      </w:r>
      <w:r>
        <w:rPr>
          <w:bCs/>
        </w:rPr>
        <w:t xml:space="preserve">in real terms. This is because the product composition of a country’s capital account is </w:t>
      </w:r>
      <w:r w:rsidR="009814CF">
        <w:rPr>
          <w:bCs/>
        </w:rPr>
        <w:t xml:space="preserve">not the same as the composition </w:t>
      </w:r>
      <w:r>
        <w:rPr>
          <w:bCs/>
        </w:rPr>
        <w:t xml:space="preserve">of its current account, and therefore the price deflators </w:t>
      </w:r>
      <w:r w:rsidR="009814CF">
        <w:rPr>
          <w:bCs/>
        </w:rPr>
        <w:t xml:space="preserve">are likely to </w:t>
      </w:r>
      <w:r>
        <w:rPr>
          <w:bCs/>
        </w:rPr>
        <w:t>be different. To distinguish it from GNP, the consumption side measure of national income is referred to in this paper as Gross National Absorption (</w:t>
      </w:r>
      <w:proofErr w:type="spellStart"/>
      <w:r>
        <w:rPr>
          <w:bCs/>
        </w:rPr>
        <w:t>GNA</w:t>
      </w:r>
      <w:proofErr w:type="spellEnd"/>
      <w:r>
        <w:rPr>
          <w:bCs/>
        </w:rPr>
        <w:t xml:space="preserve">). It is defined as </w:t>
      </w:r>
      <w:proofErr w:type="spellStart"/>
      <w:r>
        <w:rPr>
          <w:bCs/>
        </w:rPr>
        <w:t>GDA</w:t>
      </w:r>
      <w:proofErr w:type="spellEnd"/>
      <w:r>
        <w:rPr>
          <w:bCs/>
        </w:rPr>
        <w:t xml:space="preserve"> plus savings</w:t>
      </w:r>
      <w:r w:rsidR="00FD0036" w:rsidRPr="00FD0036">
        <w:rPr>
          <w:bCs/>
        </w:rPr>
        <w:t xml:space="preserve"> </w:t>
      </w:r>
      <w:r w:rsidR="00FD0036">
        <w:rPr>
          <w:bCs/>
        </w:rPr>
        <w:t xml:space="preserve">net of investment, or </w:t>
      </w:r>
      <w:r w:rsidR="009814CF">
        <w:rPr>
          <w:bCs/>
        </w:rPr>
        <w:t xml:space="preserve">the </w:t>
      </w:r>
      <w:proofErr w:type="spellStart"/>
      <w:r w:rsidR="00FD0036">
        <w:rPr>
          <w:bCs/>
        </w:rPr>
        <w:t>KAB</w:t>
      </w:r>
      <w:proofErr w:type="spellEnd"/>
      <w:r>
        <w:rPr>
          <w:bCs/>
        </w:rPr>
        <w:t>:</w:t>
      </w:r>
      <w:r w:rsidRPr="00B84C50">
        <w:t xml:space="preserve"> </w:t>
      </w:r>
    </w:p>
    <w:p w:rsidR="00BE6707" w:rsidRDefault="00BE6707" w:rsidP="00BE6707">
      <w:pPr>
        <w:pStyle w:val="BodyText"/>
      </w:pPr>
      <w:r w:rsidRPr="009A4365">
        <w:tab/>
      </w:r>
      <m:oMath>
        <m:r>
          <w:rPr>
            <w:rFonts w:ascii="Cambria Math" w:hAnsi="Cambria Math"/>
          </w:rPr>
          <m:t>GNA=GDA+</m:t>
        </m:r>
        <m:d>
          <m:dPr>
            <m:ctrlPr>
              <w:rPr>
                <w:rFonts w:ascii="Cambria Math" w:hAnsi="Cambria Math"/>
                <w:i/>
              </w:rPr>
            </m:ctrlPr>
          </m:dPr>
          <m:e>
            <m:r>
              <w:rPr>
                <w:rFonts w:ascii="Cambria Math" w:hAnsi="Cambria Math"/>
              </w:rPr>
              <m:t>S-I</m:t>
            </m:r>
          </m:e>
        </m:d>
        <m:r>
          <w:rPr>
            <w:rFonts w:ascii="Cambria Math" w:hAnsi="Cambria Math"/>
          </w:rPr>
          <m:t>= C+G+S</m:t>
        </m:r>
      </m:oMath>
      <w:r>
        <w:tab/>
      </w:r>
      <w:r>
        <w:tab/>
        <w:t xml:space="preserve"> </w:t>
      </w:r>
      <w:r>
        <w:tab/>
        <w:t xml:space="preserve"> </w:t>
      </w:r>
      <w:r>
        <w:tab/>
        <w:t xml:space="preserve"> (5)</w:t>
      </w:r>
      <w:r w:rsidRPr="00B84C50">
        <w:t xml:space="preserve"> </w:t>
      </w:r>
    </w:p>
    <w:p w:rsidR="00BE6707" w:rsidRDefault="00FD0036" w:rsidP="00BE6707">
      <w:pPr>
        <w:pStyle w:val="BodyText"/>
      </w:pPr>
      <w:r>
        <w:t>As</w:t>
      </w:r>
      <w:r w:rsidR="00BE6707">
        <w:t xml:space="preserve"> a component of </w:t>
      </w:r>
      <w:proofErr w:type="spellStart"/>
      <w:r w:rsidR="00BE6707">
        <w:t>GDA</w:t>
      </w:r>
      <w:proofErr w:type="spellEnd"/>
      <w:r w:rsidR="00BE6707">
        <w:t xml:space="preserve">, </w:t>
      </w:r>
      <w:r>
        <w:t>investment (I)</w:t>
      </w:r>
      <w:r w:rsidR="00BE6707">
        <w:t xml:space="preserve"> can be cancelled out </w:t>
      </w:r>
      <w:r>
        <w:t xml:space="preserve">on </w:t>
      </w:r>
      <w:r w:rsidR="00BE6707">
        <w:t xml:space="preserve">the </w:t>
      </w:r>
      <w:r w:rsidR="009814CF">
        <w:t>middle</w:t>
      </w:r>
      <w:r w:rsidR="00BE6707">
        <w:t xml:space="preserve"> of equation (5), leaving </w:t>
      </w:r>
      <w:proofErr w:type="spellStart"/>
      <w:r w:rsidR="00BE6707">
        <w:t>GNA</w:t>
      </w:r>
      <w:proofErr w:type="spellEnd"/>
      <w:r w:rsidR="00BE6707">
        <w:t xml:space="preserve"> expressed as a measure of national expenditure on C, G and S only. National saving (S) represents the expenditure on capital goods, invested in the home or foreign countries. S is not necessarily equal to I, as saving can be invested overseas.</w:t>
      </w:r>
      <w:r w:rsidR="00BE6707" w:rsidRPr="00B84C50">
        <w:t xml:space="preserve"> </w:t>
      </w:r>
    </w:p>
    <w:p w:rsidR="00BE6707" w:rsidRDefault="00BE6707" w:rsidP="00BE6707">
      <w:pPr>
        <w:pStyle w:val="BodyText"/>
      </w:pPr>
      <w:r>
        <w:t>The equations above show the relationship between national income (GNP) and expenditure (</w:t>
      </w:r>
      <w:proofErr w:type="spellStart"/>
      <w:r>
        <w:t>GNA</w:t>
      </w:r>
      <w:proofErr w:type="spellEnd"/>
      <w:r>
        <w:t xml:space="preserve">) in nominal terms. Equation (5) can be used to explain changes in the composition of spending, and equation (3) </w:t>
      </w:r>
      <w:r w:rsidR="009814CF">
        <w:t>changes in</w:t>
      </w:r>
      <w:r>
        <w:t xml:space="preserve"> the composition of income. This can be linked back to sales of domestic production through equation (2), and </w:t>
      </w:r>
      <w:r w:rsidR="009814CF">
        <w:t>foreign accounts</w:t>
      </w:r>
      <w:r>
        <w:t xml:space="preserve"> via (4).</w:t>
      </w:r>
      <w:r w:rsidRPr="00B84C50">
        <w:t xml:space="preserve"> </w:t>
      </w:r>
    </w:p>
    <w:p w:rsidR="00BE6707" w:rsidRDefault="00BE6707" w:rsidP="00BE6707">
      <w:pPr>
        <w:pStyle w:val="Heading3"/>
      </w:pPr>
      <w:r w:rsidRPr="00B56801">
        <w:t xml:space="preserve">Welfare comes from what </w:t>
      </w:r>
      <w:r w:rsidR="00836822">
        <w:t xml:space="preserve">a country </w:t>
      </w:r>
      <w:r w:rsidRPr="00B56801">
        <w:t xml:space="preserve">can buy with </w:t>
      </w:r>
      <w:r w:rsidR="00836822">
        <w:t>its</w:t>
      </w:r>
      <w:r w:rsidR="00836822" w:rsidRPr="00B56801">
        <w:t xml:space="preserve"> </w:t>
      </w:r>
      <w:r w:rsidRPr="00B56801">
        <w:t>income</w:t>
      </w:r>
    </w:p>
    <w:p w:rsidR="00BE6707" w:rsidRDefault="00BE6707" w:rsidP="00BE6707">
      <w:pPr>
        <w:pStyle w:val="BodyText"/>
      </w:pPr>
      <w:r>
        <w:t xml:space="preserve">A country’s welfare is not solely determined by its income from sales of </w:t>
      </w:r>
      <w:r w:rsidR="00836822">
        <w:t xml:space="preserve">its </w:t>
      </w:r>
      <w:r>
        <w:t>product</w:t>
      </w:r>
      <w:r w:rsidR="00836822">
        <w:t>s</w:t>
      </w:r>
      <w:r w:rsidR="002B1F0A">
        <w:t xml:space="preserve"> </w:t>
      </w:r>
      <w:r>
        <w:t xml:space="preserve">(GNP), but </w:t>
      </w:r>
      <w:r w:rsidR="001254AD">
        <w:t xml:space="preserve">more importantly </w:t>
      </w:r>
      <w:r>
        <w:t xml:space="preserve">by the goods and services </w:t>
      </w:r>
      <w:r w:rsidR="00836822">
        <w:t>it</w:t>
      </w:r>
      <w:r>
        <w:t xml:space="preserve"> can buy with that income. This is the purchasing power, or real expenditure, of a country’s national income, which is captured by real </w:t>
      </w:r>
      <w:proofErr w:type="spellStart"/>
      <w:r>
        <w:t>GNA</w:t>
      </w:r>
      <w:proofErr w:type="spellEnd"/>
      <w:r>
        <w:t xml:space="preserve">. </w:t>
      </w:r>
    </w:p>
    <w:p w:rsidR="00BE6707" w:rsidRDefault="00BE6707" w:rsidP="00BE6707">
      <w:pPr>
        <w:pStyle w:val="BodyText"/>
      </w:pPr>
      <w:r>
        <w:t xml:space="preserve">Let </w:t>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t xml:space="preserve"> denote real GNA for country </w:t>
      </w:r>
      <w:r w:rsidRPr="00BD160F">
        <w:rPr>
          <w:i/>
        </w:rPr>
        <w:t>r</w:t>
      </w:r>
      <w:r>
        <w:t>. It</w:t>
      </w:r>
      <w:r>
        <w:rPr>
          <w:bCs/>
        </w:rPr>
        <w:t xml:space="preserve"> </w:t>
      </w:r>
      <w:r>
        <w:t xml:space="preserve">can be derived as nominal </w:t>
      </w:r>
      <w:proofErr w:type="spellStart"/>
      <w:r>
        <w:t>GNA</w:t>
      </w:r>
      <w:proofErr w:type="spellEnd"/>
      <w:r>
        <w:t xml:space="preserve"> deflated by a price index,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rPr>
          <w:bCs/>
        </w:rPr>
        <w:t xml:space="preserve">. By defining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rPr>
          <w:bCs/>
        </w:rPr>
        <w:t xml:space="preserve"> as the quantity</w:t>
      </w:r>
      <w:r w:rsidR="00A211B4">
        <w:rPr>
          <w:bCs/>
        </w:rPr>
        <w:t>-</w:t>
      </w:r>
      <w:r w:rsidR="00F449E9">
        <w:rPr>
          <w:bCs/>
        </w:rPr>
        <w:t>share</w:t>
      </w:r>
      <w:r w:rsidR="00A211B4">
        <w:rPr>
          <w:bCs/>
        </w:rPr>
        <w:t xml:space="preserve"> </w:t>
      </w:r>
      <w:r>
        <w:rPr>
          <w:bCs/>
        </w:rPr>
        <w:t xml:space="preserve">weighted average of the prices of </w:t>
      </w:r>
      <w:r w:rsidR="00FF7BBE">
        <w:rPr>
          <w:bCs/>
        </w:rPr>
        <w:t xml:space="preserve">its </w:t>
      </w:r>
      <w:r>
        <w:rPr>
          <w:bCs/>
        </w:rPr>
        <w:t>three components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C</m:t>
            </m:r>
          </m:sup>
        </m:sSubSup>
      </m:oMath>
      <w:r>
        <w:rPr>
          <w:bCs/>
        </w:rPr>
        <w:t xml:space="preserve">,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m:t>
            </m:r>
          </m:sup>
        </m:sSubSup>
      </m:oMath>
      <w:r>
        <w:rPr>
          <w:bCs/>
        </w:rPr>
        <w:t xml:space="preserve"> and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rPr>
          <w:bCs/>
        </w:rPr>
        <w:t>),  the following identity is implied:</w:t>
      </w:r>
      <w:r w:rsidRPr="00B84C50">
        <w:t xml:space="preserve"> </w:t>
      </w:r>
    </w:p>
    <w:p w:rsidR="00BE6707" w:rsidRDefault="00BE6707" w:rsidP="00BE6707">
      <w:pPr>
        <w:pStyle w:val="BodyText"/>
      </w:pPr>
      <w:r w:rsidRPr="009A4365">
        <w:tab/>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C</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rPr>
          <w:bCs/>
        </w:rPr>
        <w:tab/>
      </w:r>
      <w:r>
        <w:rPr>
          <w:bCs/>
        </w:rPr>
        <w:tab/>
      </w:r>
      <w:r>
        <w:rPr>
          <w:bCs/>
        </w:rPr>
        <w:tab/>
      </w:r>
      <w:r>
        <w:rPr>
          <w:bCs/>
        </w:rPr>
        <w:tab/>
      </w:r>
      <w:r>
        <w:rPr>
          <w:bCs/>
        </w:rPr>
        <w:tab/>
      </w:r>
      <w:r>
        <w:rPr>
          <w:bCs/>
        </w:rPr>
        <w:tab/>
        <w:t>(6)</w:t>
      </w:r>
      <w:r w:rsidRPr="00B84C50">
        <w:t xml:space="preserve"> </w:t>
      </w:r>
    </w:p>
    <w:p w:rsidR="00BE6707" w:rsidRDefault="00BE6707" w:rsidP="00BE6707">
      <w:pPr>
        <w:pStyle w:val="BodyText"/>
      </w:pPr>
      <w:r>
        <w:t xml:space="preserve">The key practical challenge in this calculation is the savings price index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t xml:space="preserve">. Unlike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C</m:t>
            </m:r>
          </m:sup>
        </m:sSubSup>
      </m:oMath>
      <w:r>
        <w:rPr>
          <w:bCs/>
        </w:rPr>
        <w:t xml:space="preserve"> and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m:t>
            </m:r>
          </m:sup>
        </m:sSubSup>
      </m:oMath>
      <w:r>
        <w:rPr>
          <w:bCs/>
        </w:rPr>
        <w:t xml:space="preserve"> (which can be derived from the prices of goods and services purchased by households and government),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rPr>
          <w:bCs/>
        </w:rPr>
        <w:t xml:space="preserve"> has to be derived from the prices of all inputs to </w:t>
      </w:r>
      <w:r w:rsidR="00A211B4">
        <w:rPr>
          <w:bCs/>
        </w:rPr>
        <w:t xml:space="preserve">the </w:t>
      </w:r>
      <w:r>
        <w:rPr>
          <w:bCs/>
        </w:rPr>
        <w:t xml:space="preserve">capital purchased with the savings. Appendix A contains a numerical example illustrating the data required for an accurate </w:t>
      </w:r>
      <w:r w:rsidR="00FF7BBE">
        <w:rPr>
          <w:bCs/>
        </w:rPr>
        <w:t xml:space="preserve">derivation </w:t>
      </w:r>
      <w:r>
        <w:rPr>
          <w:bCs/>
        </w:rPr>
        <w:t xml:space="preserve">of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rPr>
          <w:bCs/>
        </w:rPr>
        <w:t>.</w:t>
      </w:r>
      <w:r w:rsidRPr="00B84C50">
        <w:t xml:space="preserve"> </w:t>
      </w:r>
    </w:p>
    <w:p w:rsidR="00BE6707" w:rsidRDefault="00FF7BBE" w:rsidP="00BE6707">
      <w:pPr>
        <w:pStyle w:val="BodyText"/>
      </w:pPr>
      <w:r>
        <w:rPr>
          <w:bCs/>
        </w:rPr>
        <w:t xml:space="preserve">Alternatively, </w:t>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rsidR="00BE6707">
        <w:rPr>
          <w:bCs/>
        </w:rPr>
        <w:t xml:space="preserve">can be calculated as </w:t>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GNP</m:t>
            </m:r>
          </m:sup>
        </m:sSubSup>
        <m:r>
          <w:rPr>
            <w:rFonts w:ascii="Cambria Math" w:hAnsi="Cambria Math"/>
          </w:rPr>
          <m:t xml:space="preserve"> </m:t>
        </m:r>
      </m:oMath>
      <w:r w:rsidR="00BE6707">
        <w:rPr>
          <w:bCs/>
        </w:rPr>
        <w:t xml:space="preserve">adjusted by real BoP, </w:t>
      </w:r>
      <m:oMath>
        <m:sSubSup>
          <m:sSubSupPr>
            <m:ctrlPr>
              <w:rPr>
                <w:rFonts w:ascii="Cambria Math" w:hAnsi="Cambria Math"/>
                <w:bCs/>
                <w:i/>
              </w:rPr>
            </m:ctrlPr>
          </m:sSubSupPr>
          <m:e>
            <m:r>
              <w:rPr>
                <w:rFonts w:ascii="Cambria Math" w:hAnsi="Cambria Math"/>
              </w:rPr>
              <m:t>Q</m:t>
            </m:r>
          </m:e>
          <m:sub>
            <m:r>
              <w:rPr>
                <w:rFonts w:ascii="Cambria Math" w:hAnsi="Cambria Math"/>
              </w:rPr>
              <m:t>(r)</m:t>
            </m:r>
          </m:sub>
          <m:sup>
            <m:r>
              <w:rPr>
                <w:rFonts w:ascii="Cambria Math" w:hAnsi="Cambria Math"/>
              </w:rPr>
              <m:t>BoP</m:t>
            </m:r>
          </m:sup>
        </m:sSubSup>
      </m:oMath>
      <w:r w:rsidR="00E141CD">
        <w:rPr>
          <w:bCs/>
        </w:rPr>
        <w:t xml:space="preserve">. This is because the gap between </w:t>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rsidR="00E141CD">
        <w:rPr>
          <w:bCs/>
        </w:rPr>
        <w:t xml:space="preserve"> and </w:t>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GNP</m:t>
            </m:r>
          </m:sup>
        </m:sSubSup>
        <m:r>
          <w:rPr>
            <w:rFonts w:ascii="Cambria Math" w:hAnsi="Cambria Math"/>
          </w:rPr>
          <m:t xml:space="preserve"> </m:t>
        </m:r>
      </m:oMath>
      <w:r w:rsidR="00E141CD">
        <w:rPr>
          <w:bCs/>
        </w:rPr>
        <w:t xml:space="preserve"> is the real </w:t>
      </w:r>
      <w:r w:rsidR="00F529A6">
        <w:rPr>
          <w:bCs/>
        </w:rPr>
        <w:t>difference</w:t>
      </w:r>
      <w:r w:rsidR="00E141CD">
        <w:rPr>
          <w:bCs/>
        </w:rPr>
        <w:t xml:space="preserve"> between </w:t>
      </w:r>
      <w:r w:rsidR="00F529A6">
        <w:rPr>
          <w:bCs/>
        </w:rPr>
        <w:t xml:space="preserve">the </w:t>
      </w:r>
      <w:r w:rsidR="00E141CD">
        <w:rPr>
          <w:bCs/>
        </w:rPr>
        <w:t xml:space="preserve">capital and </w:t>
      </w:r>
      <w:r w:rsidR="00F529A6">
        <w:rPr>
          <w:bCs/>
        </w:rPr>
        <w:t xml:space="preserve">the </w:t>
      </w:r>
      <w:r w:rsidR="00E141CD">
        <w:rPr>
          <w:bCs/>
        </w:rPr>
        <w:t>current account. B</w:t>
      </w:r>
      <w:r w:rsidR="00BE6707">
        <w:rPr>
          <w:bCs/>
        </w:rPr>
        <w:t>y combining equations (5), (3) and (4), and deflating the elements</w:t>
      </w:r>
      <w:r w:rsidR="00E141CD">
        <w:rPr>
          <w:bCs/>
        </w:rPr>
        <w:t xml:space="preserve">, real </w:t>
      </w:r>
      <w:proofErr w:type="spellStart"/>
      <w:r w:rsidR="00E141CD">
        <w:rPr>
          <w:bCs/>
        </w:rPr>
        <w:t>GNA</w:t>
      </w:r>
      <w:proofErr w:type="spellEnd"/>
      <w:r w:rsidR="00E141CD">
        <w:rPr>
          <w:bCs/>
        </w:rPr>
        <w:t xml:space="preserve"> is equal to</w:t>
      </w:r>
      <w:r w:rsidR="00BE6707">
        <w:rPr>
          <w:bCs/>
        </w:rPr>
        <w:t xml:space="preserve">: </w:t>
      </w:r>
    </w:p>
    <w:p w:rsidR="00F449E9" w:rsidRDefault="00BE6707" w:rsidP="00F449E9">
      <w:pPr>
        <w:pStyle w:val="BodyText"/>
      </w:pPr>
      <w:r w:rsidRPr="009A4365">
        <w:lastRenderedPageBreak/>
        <w:tab/>
      </w:r>
      <m:oMath>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GNP</m:t>
            </m:r>
          </m:sup>
        </m:sSubSup>
        <m:r>
          <w:rPr>
            <w:rFonts w:ascii="Cambria Math" w:hAnsi="Cambria Math"/>
          </w:rPr>
          <m:t>+</m:t>
        </m:r>
        <m:d>
          <m:dPr>
            <m:ctrlPr>
              <w:rPr>
                <w:rFonts w:ascii="Cambria Math" w:hAnsi="Cambria Math"/>
                <w:bCs/>
                <w:i/>
              </w:rPr>
            </m:ctrlPr>
          </m:dPr>
          <m:e>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S</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I</m:t>
                </m:r>
              </m:sup>
            </m:sSubSup>
          </m:e>
        </m:d>
        <m:r>
          <w:rPr>
            <w:rFonts w:ascii="Cambria Math" w:hAnsi="Cambria Math"/>
          </w:rPr>
          <m:t>-</m:t>
        </m:r>
        <m:d>
          <m:dPr>
            <m:ctrlPr>
              <w:rPr>
                <w:rFonts w:ascii="Cambria Math" w:hAnsi="Cambria Math"/>
                <w:bCs/>
                <w:i/>
              </w:rPr>
            </m:ctrlPr>
          </m:dPr>
          <m:e>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X</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M</m:t>
                </m:r>
              </m:sup>
            </m:sSubSup>
          </m:e>
        </m:d>
        <m:r>
          <w:rPr>
            <w:rFonts w:ascii="Cambria Math" w:hAnsi="Cambria Math"/>
          </w:rPr>
          <m:t>-</m:t>
        </m:r>
        <m:d>
          <m:dPr>
            <m:ctrlPr>
              <w:rPr>
                <w:rFonts w:ascii="Cambria Math" w:hAnsi="Cambria Math"/>
                <w:bCs/>
                <w:i/>
              </w:rPr>
            </m:ctrlPr>
          </m:dPr>
          <m:e>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D</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F</m:t>
                </m:r>
              </m:sup>
            </m:sSubSup>
          </m:e>
        </m:d>
      </m:oMath>
      <w:r>
        <w:rPr>
          <w:bCs/>
        </w:rPr>
        <w:br/>
      </w:r>
      <w:r w:rsidRPr="009A4365">
        <w:tab/>
      </w:r>
      <w:r>
        <w:t xml:space="preserve">          </w:t>
      </w:r>
      <m:oMath>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GNP</m:t>
            </m:r>
          </m:sup>
        </m:sSubSup>
        <m:r>
          <w:rPr>
            <w:rFonts w:ascii="Cambria Math" w:hAnsi="Cambria Math"/>
          </w:rPr>
          <m:t>+</m:t>
        </m:r>
        <m:d>
          <m:dPr>
            <m:ctrlPr>
              <w:rPr>
                <w:rFonts w:ascii="Cambria Math" w:hAnsi="Cambria Math"/>
                <w:bCs/>
                <w:i/>
              </w:rPr>
            </m:ctrlPr>
          </m:dPr>
          <m:e>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KAB</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TAB</m:t>
                </m:r>
              </m:sup>
            </m:sSubSup>
            <m:r>
              <w:rPr>
                <w:rFonts w:ascii="Cambria Math" w:hAnsi="Cambria Math"/>
              </w:rPr>
              <m:t>-</m:t>
            </m:r>
            <m:sSubSup>
              <m:sSubSupPr>
                <m:ctrlPr>
                  <w:rPr>
                    <w:rFonts w:ascii="Cambria Math" w:hAnsi="Cambria Math"/>
                    <w:bCs/>
                    <w:i/>
                  </w:rPr>
                </m:ctrlPr>
              </m:sSubSupPr>
              <m:e>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IAB</m:t>
                </m:r>
              </m:sup>
            </m:sSubSup>
          </m:e>
        </m:d>
      </m:oMath>
      <w:r w:rsidR="00E141CD">
        <w:rPr>
          <w:bCs/>
        </w:rPr>
        <w:tab/>
      </w:r>
      <w:r>
        <w:rPr>
          <w:bCs/>
        </w:rPr>
        <w:tab/>
      </w:r>
      <w:r w:rsidR="00F449E9">
        <w:br/>
      </w:r>
      <w:r w:rsidR="00F449E9" w:rsidRPr="009A4365">
        <w:tab/>
      </w:r>
      <w:r w:rsidR="00F449E9">
        <w:t xml:space="preserve">          </w:t>
      </w:r>
      <m:oMath>
        <m:r>
          <w:rPr>
            <w:rFonts w:ascii="Cambria Math" w:hAnsi="Cambria Math"/>
          </w:rPr>
          <m:t>=</m:t>
        </m:r>
        <m:sSubSup>
          <m:sSubSupPr>
            <m:ctrlPr>
              <w:rPr>
                <w:rFonts w:ascii="Cambria Math" w:hAnsi="Cambria Math"/>
                <w:bCs/>
                <w:i/>
              </w:rPr>
            </m:ctrlPr>
          </m:sSubSupPr>
          <m:e>
            <m:r>
              <w:rPr>
                <w:rFonts w:ascii="Cambria Math" w:hAnsi="Cambria Math"/>
              </w:rPr>
              <m:t>Q</m:t>
            </m:r>
          </m:e>
          <m:sub>
            <m:r>
              <w:rPr>
                <w:rFonts w:ascii="Cambria Math" w:hAnsi="Cambria Math"/>
              </w:rPr>
              <m:t>(r)</m:t>
            </m:r>
          </m:sub>
          <m:sup>
            <m:r>
              <w:rPr>
                <w:rFonts w:ascii="Cambria Math" w:hAnsi="Cambria Math"/>
              </w:rPr>
              <m:t>GNP</m:t>
            </m:r>
          </m:sup>
        </m:sSubSup>
        <m:r>
          <w:rPr>
            <w:rFonts w:ascii="Cambria Math" w:hAnsi="Cambria Math"/>
          </w:rPr>
          <m:t>+</m:t>
        </m:r>
        <m:sSubSup>
          <m:sSubSupPr>
            <m:ctrlPr>
              <w:rPr>
                <w:rFonts w:ascii="Cambria Math" w:hAnsi="Cambria Math"/>
                <w:bCs/>
                <w:i/>
              </w:rPr>
            </m:ctrlPr>
          </m:sSubSupPr>
          <m:e>
            <m:r>
              <w:rPr>
                <w:rFonts w:ascii="Cambria Math" w:hAnsi="Cambria Math"/>
              </w:rPr>
              <m:t>Q</m:t>
            </m:r>
          </m:e>
          <m:sub>
            <m:r>
              <w:rPr>
                <w:rFonts w:ascii="Cambria Math" w:hAnsi="Cambria Math"/>
              </w:rPr>
              <m:t>(r)</m:t>
            </m:r>
          </m:sub>
          <m:sup>
            <m:r>
              <w:rPr>
                <w:rFonts w:ascii="Cambria Math" w:hAnsi="Cambria Math"/>
              </w:rPr>
              <m:t>BoP</m:t>
            </m:r>
          </m:sup>
        </m:sSubSup>
      </m:oMath>
      <w:r w:rsidR="00F449E9">
        <w:rPr>
          <w:bCs/>
        </w:rPr>
        <w:tab/>
      </w:r>
      <w:r w:rsidR="00F449E9">
        <w:rPr>
          <w:bCs/>
        </w:rPr>
        <w:tab/>
      </w:r>
      <w:r w:rsidR="00F449E9">
        <w:rPr>
          <w:bCs/>
        </w:rPr>
        <w:tab/>
      </w:r>
      <w:r w:rsidR="00F449E9">
        <w:rPr>
          <w:bCs/>
        </w:rPr>
        <w:tab/>
      </w:r>
      <w:r w:rsidR="00F449E9">
        <w:rPr>
          <w:bCs/>
        </w:rPr>
        <w:tab/>
      </w:r>
      <w:r w:rsidR="00F449E9">
        <w:rPr>
          <w:bCs/>
        </w:rPr>
        <w:tab/>
        <w:t>(7)</w:t>
      </w:r>
      <w:r w:rsidR="00F449E9" w:rsidRPr="00B84C50">
        <w:t xml:space="preserve"> </w:t>
      </w:r>
    </w:p>
    <w:p w:rsidR="00BE6707" w:rsidRDefault="00BE6707" w:rsidP="00BE6707">
      <w:pPr>
        <w:pStyle w:val="BodyText"/>
      </w:pPr>
      <w:r>
        <w:t xml:space="preserve">This implies that the </w:t>
      </w:r>
      <w:proofErr w:type="spellStart"/>
      <w:r>
        <w:t>GNA</w:t>
      </w:r>
      <w:proofErr w:type="spellEnd"/>
      <w:r>
        <w:t xml:space="preserve"> price deflator,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t xml:space="preserve"> can also be derived as a quantity</w:t>
      </w:r>
      <w:r w:rsidR="00F529A6">
        <w:t>-</w:t>
      </w:r>
      <w:r>
        <w:t>share</w:t>
      </w:r>
      <w:r w:rsidR="00F529A6">
        <w:t xml:space="preserve"> </w:t>
      </w:r>
      <w:r>
        <w:t xml:space="preserve">weighted average of the GNP deflator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GNP</m:t>
            </m:r>
          </m:sup>
        </m:sSubSup>
      </m:oMath>
      <w:r>
        <w:rPr>
          <w:bCs/>
        </w:rPr>
        <w:t xml:space="preserve"> </w:t>
      </w:r>
      <w:r>
        <w:t xml:space="preserve">and </w:t>
      </w:r>
      <w:proofErr w:type="spellStart"/>
      <w:r>
        <w:t>BoP</w:t>
      </w:r>
      <w:proofErr w:type="spellEnd"/>
      <w:r>
        <w:t xml:space="preserve"> price index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BoP</m:t>
            </m:r>
          </m:sup>
        </m:sSubSup>
      </m:oMath>
      <w:r>
        <w:t xml:space="preserve">. The GNP deflator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GNP</m:t>
            </m:r>
          </m:sup>
        </m:sSubSup>
      </m:oMath>
      <w:r>
        <w:t xml:space="preserve"> is easy to calculate. </w:t>
      </w:r>
      <w:r w:rsidR="00F529A6">
        <w:t>H</w:t>
      </w:r>
      <w:r>
        <w:t xml:space="preserve">owever, the calculation of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BoP</m:t>
            </m:r>
          </m:sup>
        </m:sSubSup>
      </m:oMath>
      <w:r>
        <w:t xml:space="preserve"> is more complicated. It </w:t>
      </w:r>
      <w:r w:rsidR="00F529A6">
        <w:t xml:space="preserve">is </w:t>
      </w:r>
      <w:r>
        <w:t xml:space="preserve">the difference between the price indexes for the current account and capital account balances. Each of these price indexes needs to be calculated separately. For example, the price index for TAB,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TAB</m:t>
            </m:r>
          </m:sup>
        </m:sSubSup>
      </m:oMath>
      <w:r>
        <w:t xml:space="preserve">, is the export price index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X</m:t>
            </m:r>
          </m:sup>
        </m:sSubSup>
      </m:oMath>
      <w:r>
        <w:t xml:space="preserve"> minus the import price index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M</m:t>
            </m:r>
          </m:sup>
        </m:sSubSup>
      </m:oMath>
      <w:r>
        <w:t xml:space="preserve">, weighted by their respective quantity shares. Note that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TAB</m:t>
            </m:r>
          </m:sup>
        </m:sSubSup>
      </m:oMath>
      <w:r>
        <w:t xml:space="preserve"> is not a measure of the terms of trade (ToT</w:t>
      </w:r>
      <w:r w:rsidR="00A564D3">
        <w:t xml:space="preserve"> is</w:t>
      </w:r>
      <w:r>
        <w:t xml:space="preserve"> defined as the ratio of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X</m:t>
            </m:r>
          </m:sup>
        </m:sSubSup>
      </m:oMath>
      <w:r>
        <w:t xml:space="preserve"> to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M</m:t>
            </m:r>
          </m:sup>
        </m:sSubSup>
      </m:oMath>
      <w:r>
        <w:rPr>
          <w:bCs/>
        </w:rPr>
        <w:t>)</w:t>
      </w:r>
      <w:r>
        <w:t xml:space="preserve">. It measures the effect of </w:t>
      </w:r>
      <w:proofErr w:type="spellStart"/>
      <w:r>
        <w:t>ToT</w:t>
      </w:r>
      <w:proofErr w:type="spellEnd"/>
      <w:r>
        <w:t xml:space="preserve"> </w:t>
      </w:r>
      <w:r w:rsidR="00F529A6">
        <w:t>change</w:t>
      </w:r>
      <w:r w:rsidR="00781B1F">
        <w:t>s</w:t>
      </w:r>
      <w:r w:rsidR="00C530B6">
        <w:t xml:space="preserve"> </w:t>
      </w:r>
      <w:r>
        <w:t xml:space="preserve">on the real balance of a country’s trade account. </w:t>
      </w:r>
    </w:p>
    <w:p w:rsidR="00BE6707" w:rsidRDefault="00BE6707" w:rsidP="00BE6707">
      <w:pPr>
        <w:pStyle w:val="BodyText"/>
      </w:pPr>
      <w:r>
        <w:t xml:space="preserve">As </w:t>
      </w:r>
      <m:oMath>
        <m:sSubSup>
          <m:sSubSupPr>
            <m:ctrlPr>
              <w:rPr>
                <w:rFonts w:ascii="Cambria Math" w:hAnsi="Cambria Math"/>
                <w:bCs/>
                <w:i/>
              </w:rPr>
            </m:ctrlPr>
          </m:sSubSupPr>
          <m:e>
            <m:r>
              <w:rPr>
                <w:rFonts w:ascii="Cambria Math" w:hAnsi="Cambria Math"/>
              </w:rPr>
              <m:t>P</m:t>
            </m:r>
          </m:e>
          <m:sub>
            <m:d>
              <m:dPr>
                <m:ctrlPr>
                  <w:rPr>
                    <w:rFonts w:ascii="Cambria Math" w:hAnsi="Cambria Math"/>
                    <w:i/>
                  </w:rPr>
                </m:ctrlPr>
              </m:dPr>
              <m:e>
                <m:r>
                  <w:rPr>
                    <w:rFonts w:ascii="Cambria Math" w:hAnsi="Cambria Math"/>
                  </w:rPr>
                  <m:t>r</m:t>
                </m:r>
              </m:e>
            </m:d>
          </m:sub>
          <m:sup>
            <m:r>
              <w:rPr>
                <w:rFonts w:ascii="Cambria Math" w:hAnsi="Cambria Math"/>
              </w:rPr>
              <m:t>BoP</m:t>
            </m:r>
          </m:sup>
        </m:sSubSup>
      </m:oMath>
      <w:r>
        <w:rPr>
          <w:bCs/>
        </w:rPr>
        <w:t xml:space="preserve">is a price difference in a country’s BoP accounts, it could take a positive or negative value, which leads to a positive or negative </w:t>
      </w:r>
      <m:oMath>
        <m:sSubSup>
          <m:sSubSupPr>
            <m:ctrlPr>
              <w:rPr>
                <w:rFonts w:ascii="Cambria Math" w:hAnsi="Cambria Math"/>
                <w:bCs/>
                <w:i/>
              </w:rPr>
            </m:ctrlPr>
          </m:sSubSupPr>
          <m:e>
            <m:r>
              <w:rPr>
                <w:rFonts w:ascii="Cambria Math" w:hAnsi="Cambria Math"/>
              </w:rPr>
              <m:t>Q</m:t>
            </m:r>
          </m:e>
          <m:sub>
            <m:r>
              <w:rPr>
                <w:rFonts w:ascii="Cambria Math" w:hAnsi="Cambria Math"/>
              </w:rPr>
              <m:t>(r)</m:t>
            </m:r>
          </m:sub>
          <m:sup>
            <m:r>
              <w:rPr>
                <w:rFonts w:ascii="Cambria Math" w:hAnsi="Cambria Math"/>
              </w:rPr>
              <m:t>BoP</m:t>
            </m:r>
          </m:sup>
        </m:sSubSup>
      </m:oMath>
      <w:r>
        <w:rPr>
          <w:bCs/>
        </w:rPr>
        <w:t xml:space="preserve">for an individual country. Globally, </w:t>
      </w:r>
      <m:oMath>
        <m:sSubSup>
          <m:sSubSupPr>
            <m:ctrlPr>
              <w:rPr>
                <w:rFonts w:ascii="Cambria Math" w:hAnsi="Cambria Math"/>
                <w:bCs/>
                <w:i/>
              </w:rPr>
            </m:ctrlPr>
          </m:sSubSupPr>
          <m:e>
            <m:r>
              <w:rPr>
                <w:rFonts w:ascii="Cambria Math" w:hAnsi="Cambria Math"/>
              </w:rPr>
              <m:t>Q</m:t>
            </m:r>
          </m:e>
          <m:sub>
            <m:r>
              <w:rPr>
                <w:rFonts w:ascii="Cambria Math" w:hAnsi="Cambria Math"/>
              </w:rPr>
              <m:t>(r)</m:t>
            </m:r>
          </m:sub>
          <m:sup>
            <m:r>
              <w:rPr>
                <w:rFonts w:ascii="Cambria Math" w:hAnsi="Cambria Math"/>
              </w:rPr>
              <m:t>BoP</m:t>
            </m:r>
          </m:sup>
        </m:sSubSup>
      </m:oMath>
      <w:r>
        <w:rPr>
          <w:bCs/>
        </w:rPr>
        <w:t xml:space="preserve"> must sum to zero, because the gain or loss for any individual country is </w:t>
      </w:r>
      <w:r w:rsidR="00AD4F2B">
        <w:rPr>
          <w:bCs/>
        </w:rPr>
        <w:t xml:space="preserve">just </w:t>
      </w:r>
      <w:r>
        <w:rPr>
          <w:bCs/>
        </w:rPr>
        <w:t xml:space="preserve">a transfer of real income </w:t>
      </w:r>
      <w:r w:rsidR="00AD4F2B">
        <w:rPr>
          <w:bCs/>
        </w:rPr>
        <w:t xml:space="preserve">from or </w:t>
      </w:r>
      <w:r>
        <w:rPr>
          <w:bCs/>
        </w:rPr>
        <w:t>to other</w:t>
      </w:r>
      <w:r w:rsidR="00AD4F2B">
        <w:rPr>
          <w:bCs/>
        </w:rPr>
        <w:t xml:space="preserve"> countries</w:t>
      </w:r>
      <w:r>
        <w:rPr>
          <w:bCs/>
        </w:rPr>
        <w:t>.</w:t>
      </w:r>
      <w:r w:rsidRPr="00B84C50">
        <w:t xml:space="preserve"> </w:t>
      </w:r>
    </w:p>
    <w:p w:rsidR="00BE6707" w:rsidRPr="000730B8" w:rsidRDefault="00BE6707" w:rsidP="00BE6707">
      <w:pPr>
        <w:pStyle w:val="BodyText"/>
        <w:rPr>
          <w:spacing w:val="-2"/>
        </w:rPr>
      </w:pPr>
      <w:r w:rsidRPr="000730B8">
        <w:rPr>
          <w:spacing w:val="-2"/>
        </w:rPr>
        <w:t xml:space="preserve">The link of </w:t>
      </w:r>
      <m:oMath>
        <m:sSubSup>
          <m:sSubSupPr>
            <m:ctrlPr>
              <w:rPr>
                <w:rFonts w:ascii="Cambria Math" w:hAnsi="Cambria Math"/>
                <w:bCs/>
                <w:i/>
                <w:spacing w:val="-2"/>
              </w:rPr>
            </m:ctrlPr>
          </m:sSubSupPr>
          <m:e>
            <m:r>
              <w:rPr>
                <w:rFonts w:ascii="Cambria Math" w:hAnsi="Cambria Math"/>
                <w:spacing w:val="-2"/>
              </w:rPr>
              <m:t>Q</m:t>
            </m:r>
          </m:e>
          <m:sub>
            <m:d>
              <m:dPr>
                <m:ctrlPr>
                  <w:rPr>
                    <w:rFonts w:ascii="Cambria Math" w:hAnsi="Cambria Math"/>
                    <w:i/>
                    <w:spacing w:val="-2"/>
                  </w:rPr>
                </m:ctrlPr>
              </m:dPr>
              <m:e>
                <m:r>
                  <w:rPr>
                    <w:rFonts w:ascii="Cambria Math" w:hAnsi="Cambria Math"/>
                    <w:spacing w:val="-2"/>
                  </w:rPr>
                  <m:t>r</m:t>
                </m:r>
              </m:e>
            </m:d>
          </m:sub>
          <m:sup>
            <m:r>
              <w:rPr>
                <w:rFonts w:ascii="Cambria Math" w:hAnsi="Cambria Math"/>
                <w:spacing w:val="-2"/>
              </w:rPr>
              <m:t>GNA</m:t>
            </m:r>
          </m:sup>
        </m:sSubSup>
      </m:oMath>
      <w:r w:rsidRPr="000730B8">
        <w:rPr>
          <w:bCs/>
          <w:spacing w:val="-2"/>
        </w:rPr>
        <w:t xml:space="preserve"> with </w:t>
      </w:r>
      <m:oMath>
        <m:sSubSup>
          <m:sSubSupPr>
            <m:ctrlPr>
              <w:rPr>
                <w:rFonts w:ascii="Cambria Math" w:hAnsi="Cambria Math"/>
                <w:bCs/>
                <w:i/>
                <w:spacing w:val="-2"/>
              </w:rPr>
            </m:ctrlPr>
          </m:sSubSupPr>
          <m:e>
            <m:r>
              <w:rPr>
                <w:rFonts w:ascii="Cambria Math" w:hAnsi="Cambria Math"/>
                <w:spacing w:val="-2"/>
              </w:rPr>
              <m:t>Q</m:t>
            </m:r>
          </m:e>
          <m:sub>
            <m:d>
              <m:dPr>
                <m:ctrlPr>
                  <w:rPr>
                    <w:rFonts w:ascii="Cambria Math" w:hAnsi="Cambria Math"/>
                    <w:i/>
                    <w:spacing w:val="-2"/>
                  </w:rPr>
                </m:ctrlPr>
              </m:dPr>
              <m:e>
                <m:r>
                  <w:rPr>
                    <w:rFonts w:ascii="Cambria Math" w:hAnsi="Cambria Math"/>
                    <w:spacing w:val="-2"/>
                  </w:rPr>
                  <m:t>r</m:t>
                </m:r>
              </m:e>
            </m:d>
          </m:sub>
          <m:sup>
            <m:r>
              <w:rPr>
                <w:rFonts w:ascii="Cambria Math" w:hAnsi="Cambria Math"/>
                <w:spacing w:val="-2"/>
              </w:rPr>
              <m:t>GNP</m:t>
            </m:r>
          </m:sup>
        </m:sSubSup>
      </m:oMath>
      <w:r w:rsidRPr="000730B8">
        <w:rPr>
          <w:bCs/>
          <w:spacing w:val="-2"/>
        </w:rPr>
        <w:t xml:space="preserve"> and </w:t>
      </w:r>
      <m:oMath>
        <m:sSubSup>
          <m:sSubSupPr>
            <m:ctrlPr>
              <w:rPr>
                <w:rFonts w:ascii="Cambria Math" w:hAnsi="Cambria Math"/>
                <w:bCs/>
                <w:i/>
                <w:spacing w:val="-2"/>
              </w:rPr>
            </m:ctrlPr>
          </m:sSubSupPr>
          <m:e>
            <m:r>
              <w:rPr>
                <w:rFonts w:ascii="Cambria Math" w:hAnsi="Cambria Math"/>
                <w:spacing w:val="-2"/>
              </w:rPr>
              <m:t>Q</m:t>
            </m:r>
          </m:e>
          <m:sub>
            <m:d>
              <m:dPr>
                <m:ctrlPr>
                  <w:rPr>
                    <w:rFonts w:ascii="Cambria Math" w:hAnsi="Cambria Math"/>
                    <w:i/>
                    <w:spacing w:val="-2"/>
                  </w:rPr>
                </m:ctrlPr>
              </m:dPr>
              <m:e>
                <m:r>
                  <w:rPr>
                    <w:rFonts w:ascii="Cambria Math" w:hAnsi="Cambria Math"/>
                    <w:spacing w:val="-2"/>
                  </w:rPr>
                  <m:t>r</m:t>
                </m:r>
              </m:e>
            </m:d>
          </m:sub>
          <m:sup>
            <m:r>
              <w:rPr>
                <w:rFonts w:ascii="Cambria Math" w:hAnsi="Cambria Math"/>
                <w:spacing w:val="-2"/>
              </w:rPr>
              <m:t>BoP</m:t>
            </m:r>
          </m:sup>
        </m:sSubSup>
      </m:oMath>
      <w:r w:rsidRPr="000730B8">
        <w:rPr>
          <w:bCs/>
          <w:spacing w:val="-2"/>
        </w:rPr>
        <w:t xml:space="preserve"> in equation (7) provides an intuitive explanation of why real GNA can be used </w:t>
      </w:r>
      <w:r w:rsidR="00606A9D" w:rsidRPr="000730B8">
        <w:rPr>
          <w:bCs/>
          <w:spacing w:val="-2"/>
        </w:rPr>
        <w:t>to assess</w:t>
      </w:r>
      <w:r w:rsidRPr="000730B8">
        <w:rPr>
          <w:bCs/>
          <w:spacing w:val="-2"/>
        </w:rPr>
        <w:t xml:space="preserve"> welfare. It shows that a country’s welfare depends not only on how many real goods and services it can produce (</w:t>
      </w:r>
      <m:oMath>
        <m:sSubSup>
          <m:sSubSupPr>
            <m:ctrlPr>
              <w:rPr>
                <w:rFonts w:ascii="Cambria Math" w:hAnsi="Cambria Math"/>
                <w:bCs/>
                <w:i/>
                <w:spacing w:val="-2"/>
              </w:rPr>
            </m:ctrlPr>
          </m:sSubSupPr>
          <m:e>
            <m:r>
              <w:rPr>
                <w:rFonts w:ascii="Cambria Math" w:hAnsi="Cambria Math"/>
                <w:spacing w:val="-2"/>
              </w:rPr>
              <m:t>Q</m:t>
            </m:r>
          </m:e>
          <m:sub>
            <m:r>
              <w:rPr>
                <w:rFonts w:ascii="Cambria Math" w:hAnsi="Cambria Math"/>
                <w:spacing w:val="-2"/>
              </w:rPr>
              <m:t>(r)</m:t>
            </m:r>
          </m:sub>
          <m:sup>
            <m:r>
              <w:rPr>
                <w:rFonts w:ascii="Cambria Math" w:hAnsi="Cambria Math"/>
                <w:spacing w:val="-2"/>
              </w:rPr>
              <m:t>GNP</m:t>
            </m:r>
          </m:sup>
        </m:sSubSup>
      </m:oMath>
      <w:r w:rsidRPr="000730B8">
        <w:rPr>
          <w:bCs/>
          <w:spacing w:val="-2"/>
        </w:rPr>
        <w:t>), but also on the net gains it can obtain from foreign trade and investment with other countries (</w:t>
      </w:r>
      <m:oMath>
        <m:sSubSup>
          <m:sSubSupPr>
            <m:ctrlPr>
              <w:rPr>
                <w:rFonts w:ascii="Cambria Math" w:hAnsi="Cambria Math"/>
                <w:bCs/>
                <w:i/>
                <w:spacing w:val="-2"/>
              </w:rPr>
            </m:ctrlPr>
          </m:sSubSupPr>
          <m:e>
            <m:r>
              <w:rPr>
                <w:rFonts w:ascii="Cambria Math" w:hAnsi="Cambria Math"/>
                <w:spacing w:val="-2"/>
              </w:rPr>
              <m:t>Q</m:t>
            </m:r>
          </m:e>
          <m:sub>
            <m:r>
              <w:rPr>
                <w:rFonts w:ascii="Cambria Math" w:hAnsi="Cambria Math"/>
                <w:spacing w:val="-2"/>
              </w:rPr>
              <m:t>(r)</m:t>
            </m:r>
          </m:sub>
          <m:sup>
            <m:r>
              <w:rPr>
                <w:rFonts w:ascii="Cambria Math" w:hAnsi="Cambria Math"/>
                <w:spacing w:val="-2"/>
              </w:rPr>
              <m:t>BoP</m:t>
            </m:r>
          </m:sup>
        </m:sSubSup>
      </m:oMath>
      <w:r w:rsidRPr="000730B8">
        <w:rPr>
          <w:bCs/>
          <w:spacing w:val="-2"/>
        </w:rPr>
        <w:t xml:space="preserve">). The latter is </w:t>
      </w:r>
      <w:r w:rsidR="00AD4F2B" w:rsidRPr="000730B8">
        <w:rPr>
          <w:bCs/>
          <w:spacing w:val="-2"/>
        </w:rPr>
        <w:t xml:space="preserve">due to the </w:t>
      </w:r>
      <w:r w:rsidRPr="000730B8">
        <w:rPr>
          <w:bCs/>
          <w:spacing w:val="-2"/>
        </w:rPr>
        <w:t>relative price</w:t>
      </w:r>
      <w:r w:rsidR="00AD4F2B" w:rsidRPr="000730B8">
        <w:rPr>
          <w:bCs/>
          <w:spacing w:val="-2"/>
        </w:rPr>
        <w:t xml:space="preserve"> difference</w:t>
      </w:r>
      <w:r w:rsidRPr="000730B8">
        <w:rPr>
          <w:bCs/>
          <w:spacing w:val="-2"/>
        </w:rPr>
        <w:t xml:space="preserve">s between countries. For example, if the price of exports </w:t>
      </w:r>
      <w:r w:rsidR="00F529A6" w:rsidRPr="000730B8">
        <w:rPr>
          <w:bCs/>
          <w:spacing w:val="-2"/>
        </w:rPr>
        <w:t xml:space="preserve">is </w:t>
      </w:r>
      <w:r w:rsidRPr="000730B8">
        <w:rPr>
          <w:bCs/>
          <w:spacing w:val="-2"/>
        </w:rPr>
        <w:t xml:space="preserve">higher than the price of its imports, </w:t>
      </w:r>
      <w:r w:rsidR="00F529A6" w:rsidRPr="000730B8">
        <w:rPr>
          <w:bCs/>
          <w:spacing w:val="-2"/>
        </w:rPr>
        <w:t xml:space="preserve">a country </w:t>
      </w:r>
      <w:r w:rsidRPr="000730B8">
        <w:rPr>
          <w:bCs/>
          <w:spacing w:val="-2"/>
        </w:rPr>
        <w:t xml:space="preserve">receives a net income gain from trade. Similarly, if the price of foreign capital goods that a country purchases is lower than the price of home capital goods that foreign countries purchase, the country has a net gain from its capital account because the same savings can purchase more foreign capital goods. Such gains </w:t>
      </w:r>
      <w:r w:rsidR="00F449E9" w:rsidRPr="000730B8">
        <w:rPr>
          <w:bCs/>
          <w:spacing w:val="-2"/>
        </w:rPr>
        <w:t xml:space="preserve">can </w:t>
      </w:r>
      <w:r w:rsidRPr="000730B8">
        <w:rPr>
          <w:bCs/>
          <w:spacing w:val="-2"/>
        </w:rPr>
        <w:t xml:space="preserve">also </w:t>
      </w:r>
      <w:r w:rsidR="00F449E9" w:rsidRPr="000730B8">
        <w:rPr>
          <w:bCs/>
          <w:spacing w:val="-2"/>
        </w:rPr>
        <w:t xml:space="preserve">be </w:t>
      </w:r>
      <w:r w:rsidRPr="000730B8">
        <w:rPr>
          <w:bCs/>
          <w:spacing w:val="-2"/>
        </w:rPr>
        <w:t xml:space="preserve">described as increases in the purchasing power of a country’s nominal income. </w:t>
      </w:r>
    </w:p>
    <w:p w:rsidR="00BE6707" w:rsidRDefault="00BE6707" w:rsidP="00BE6707">
      <w:pPr>
        <w:pStyle w:val="BodyText"/>
      </w:pPr>
      <w:r>
        <w:rPr>
          <w:bCs/>
        </w:rPr>
        <w:t>The components of equation (7) allows for a detailed analysis of how national income is produced and how it is redistributed between countries by the differences in their terms of trade and investment.</w:t>
      </w:r>
      <w:r w:rsidRPr="00B84C50">
        <w:t xml:space="preserve"> </w:t>
      </w:r>
    </w:p>
    <w:p w:rsidR="002B1F0A" w:rsidRDefault="002B1F0A" w:rsidP="002B1F0A">
      <w:pPr>
        <w:pStyle w:val="Heading4"/>
      </w:pPr>
      <w:r>
        <w:t xml:space="preserve">A graphical explanation of real </w:t>
      </w:r>
      <w:r w:rsidR="00790D48">
        <w:t>income and expenditure</w:t>
      </w:r>
    </w:p>
    <w:p w:rsidR="00BE6707" w:rsidRDefault="00BE6707" w:rsidP="00BE6707">
      <w:pPr>
        <w:pStyle w:val="BodyText"/>
        <w:rPr>
          <w:bCs/>
        </w:rPr>
      </w:pPr>
      <w:r>
        <w:rPr>
          <w:bCs/>
        </w:rPr>
        <w:t>The relations between real income and expenditure and their implication for welfare comparison can be illustrated using a simple two-country world model, shown in figure</w:t>
      </w:r>
      <w:r w:rsidR="00EA4A5B">
        <w:rPr>
          <w:bCs/>
        </w:rPr>
        <w:t xml:space="preserve"> 1</w:t>
      </w:r>
      <w:r>
        <w:rPr>
          <w:bCs/>
        </w:rPr>
        <w:t xml:space="preserve">. In the figure, the right and left panels show the income and expenditure of </w:t>
      </w:r>
      <w:r w:rsidR="00584BF3">
        <w:rPr>
          <w:bCs/>
        </w:rPr>
        <w:t xml:space="preserve">countries </w:t>
      </w:r>
      <w:r>
        <w:rPr>
          <w:bCs/>
        </w:rPr>
        <w:t xml:space="preserve">A and B, respectively. It is assumed that the price of output is higher </w:t>
      </w:r>
      <w:r w:rsidR="00584BF3">
        <w:rPr>
          <w:bCs/>
        </w:rPr>
        <w:t xml:space="preserve">in country A </w:t>
      </w:r>
      <w:r>
        <w:rPr>
          <w:bCs/>
        </w:rPr>
        <w:t xml:space="preserve">than </w:t>
      </w:r>
      <w:r w:rsidR="00584BF3">
        <w:rPr>
          <w:bCs/>
        </w:rPr>
        <w:t>in</w:t>
      </w:r>
      <w:r>
        <w:rPr>
          <w:bCs/>
        </w:rPr>
        <w:t xml:space="preserve"> country B. </w:t>
      </w:r>
      <w:r w:rsidR="009F12D1">
        <w:rPr>
          <w:bCs/>
        </w:rPr>
        <w:t xml:space="preserve">On the production side, </w:t>
      </w:r>
      <w:r w:rsidR="000D16EE">
        <w:rPr>
          <w:bCs/>
        </w:rPr>
        <w:t xml:space="preserve">each </w:t>
      </w:r>
      <w:r w:rsidR="009F12D1">
        <w:rPr>
          <w:bCs/>
        </w:rPr>
        <w:t>c</w:t>
      </w:r>
      <w:r w:rsidR="00584BF3">
        <w:rPr>
          <w:bCs/>
        </w:rPr>
        <w:t>ountry</w:t>
      </w:r>
      <w:r w:rsidR="009F12D1">
        <w:rPr>
          <w:bCs/>
        </w:rPr>
        <w:t xml:space="preserve"> </w:t>
      </w:r>
      <w:r w:rsidR="00584BF3">
        <w:rPr>
          <w:bCs/>
        </w:rPr>
        <w:t>produces output</w:t>
      </w:r>
      <w:r w:rsidR="009F12D1">
        <w:rPr>
          <w:bCs/>
        </w:rPr>
        <w:t xml:space="preserve"> Y at price P, consumes D and export the rest </w:t>
      </w:r>
      <w:r w:rsidR="004D4637">
        <w:rPr>
          <w:bCs/>
        </w:rPr>
        <w:t>(</w:t>
      </w:r>
      <w:r w:rsidR="009F12D1">
        <w:rPr>
          <w:bCs/>
        </w:rPr>
        <w:t>Y</w:t>
      </w:r>
      <w:r w:rsidR="000D16EE">
        <w:rPr>
          <w:bCs/>
        </w:rPr>
        <w:t xml:space="preserve"> </w:t>
      </w:r>
      <w:r w:rsidR="00B224B0">
        <w:rPr>
          <w:bCs/>
        </w:rPr>
        <w:sym w:font="Symbol" w:char="F02D"/>
      </w:r>
      <w:r w:rsidR="00B224B0">
        <w:rPr>
          <w:bCs/>
        </w:rPr>
        <w:t xml:space="preserve"> </w:t>
      </w:r>
      <w:r w:rsidR="009F12D1">
        <w:rPr>
          <w:bCs/>
        </w:rPr>
        <w:t>D</w:t>
      </w:r>
      <w:r w:rsidR="004D4637">
        <w:rPr>
          <w:bCs/>
        </w:rPr>
        <w:t>)</w:t>
      </w:r>
      <w:r w:rsidR="009F12D1">
        <w:rPr>
          <w:bCs/>
        </w:rPr>
        <w:t xml:space="preserve">. </w:t>
      </w:r>
      <w:r w:rsidR="000D16EE">
        <w:rPr>
          <w:bCs/>
        </w:rPr>
        <w:t>Its</w:t>
      </w:r>
      <w:r w:rsidR="00B224B0">
        <w:rPr>
          <w:bCs/>
        </w:rPr>
        <w:t xml:space="preserve"> national income can </w:t>
      </w:r>
      <w:r w:rsidR="004D4637">
        <w:rPr>
          <w:bCs/>
        </w:rPr>
        <w:t xml:space="preserve">therefore </w:t>
      </w:r>
      <w:r w:rsidR="00B224B0">
        <w:rPr>
          <w:bCs/>
        </w:rPr>
        <w:t xml:space="preserve">be calculated as equal to P*Y. As </w:t>
      </w:r>
      <w:r w:rsidR="000D16EE">
        <w:rPr>
          <w:bCs/>
        </w:rPr>
        <w:t>one</w:t>
      </w:r>
      <w:r w:rsidR="00B224B0">
        <w:rPr>
          <w:bCs/>
        </w:rPr>
        <w:t xml:space="preserve"> country’s export</w:t>
      </w:r>
      <w:r w:rsidR="00B531D1">
        <w:rPr>
          <w:bCs/>
        </w:rPr>
        <w:t>s</w:t>
      </w:r>
      <w:r w:rsidR="00B224B0">
        <w:rPr>
          <w:bCs/>
        </w:rPr>
        <w:t xml:space="preserve"> is the other country’s import</w:t>
      </w:r>
      <w:r w:rsidR="00B531D1">
        <w:rPr>
          <w:bCs/>
        </w:rPr>
        <w:t>s</w:t>
      </w:r>
      <w:r w:rsidR="00B224B0">
        <w:rPr>
          <w:bCs/>
        </w:rPr>
        <w:t>, by swapping the areas of exports</w:t>
      </w:r>
      <w:r w:rsidR="000D16EE">
        <w:rPr>
          <w:bCs/>
        </w:rPr>
        <w:t>,</w:t>
      </w:r>
      <w:r w:rsidR="000D16EE" w:rsidRPr="000D16EE">
        <w:rPr>
          <w:bCs/>
        </w:rPr>
        <w:t xml:space="preserve"> </w:t>
      </w:r>
      <w:r w:rsidR="000D16EE">
        <w:rPr>
          <w:bCs/>
        </w:rPr>
        <w:t xml:space="preserve">each </w:t>
      </w:r>
      <w:r w:rsidR="000D16EE">
        <w:rPr>
          <w:bCs/>
        </w:rPr>
        <w:lastRenderedPageBreak/>
        <w:t>country’s consumption E can be shown as equal to D plus import (E – D)</w:t>
      </w:r>
      <w:r w:rsidR="00B224B0">
        <w:rPr>
          <w:bCs/>
        </w:rPr>
        <w:t>.</w:t>
      </w:r>
      <w:r w:rsidR="000D16EE">
        <w:rPr>
          <w:bCs/>
        </w:rPr>
        <w:t xml:space="preserve"> </w:t>
      </w:r>
      <w:r w:rsidR="00B531D1">
        <w:rPr>
          <w:bCs/>
        </w:rPr>
        <w:t>N</w:t>
      </w:r>
      <w:r w:rsidR="000D16EE">
        <w:rPr>
          <w:bCs/>
        </w:rPr>
        <w:t xml:space="preserve">ational expenditure </w:t>
      </w:r>
      <w:r w:rsidR="004D4637">
        <w:rPr>
          <w:bCs/>
        </w:rPr>
        <w:t>can therefore be calculated as equal to</w:t>
      </w:r>
      <w:r w:rsidR="000D16EE">
        <w:rPr>
          <w:bCs/>
        </w:rPr>
        <w:t xml:space="preserve"> P*D plus the area of </w:t>
      </w:r>
      <w:r w:rsidR="00A559DF">
        <w:rPr>
          <w:bCs/>
        </w:rPr>
        <w:t>its imports (</w:t>
      </w:r>
      <w:r w:rsidR="006A4B4A">
        <w:rPr>
          <w:bCs/>
        </w:rPr>
        <w:t xml:space="preserve">or </w:t>
      </w:r>
      <w:r w:rsidR="000D16EE">
        <w:rPr>
          <w:bCs/>
        </w:rPr>
        <w:t>the other country’s exports</w:t>
      </w:r>
      <w:r w:rsidR="006A4B4A">
        <w:rPr>
          <w:bCs/>
        </w:rPr>
        <w:t>)</w:t>
      </w:r>
      <w:r w:rsidR="000D16EE">
        <w:rPr>
          <w:bCs/>
        </w:rPr>
        <w:t xml:space="preserve">. </w:t>
      </w:r>
      <w:r w:rsidR="004D4637">
        <w:rPr>
          <w:bCs/>
        </w:rPr>
        <w:t>As trade i</w:t>
      </w:r>
      <w:r w:rsidR="000D16EE">
        <w:rPr>
          <w:bCs/>
        </w:rPr>
        <w:t>s balanced</w:t>
      </w:r>
      <w:r w:rsidR="004D4637">
        <w:rPr>
          <w:bCs/>
        </w:rPr>
        <w:t xml:space="preserve"> (</w:t>
      </w:r>
      <w:r w:rsidR="000D16EE">
        <w:rPr>
          <w:bCs/>
        </w:rPr>
        <w:t>the areas of exports and imports are equal</w:t>
      </w:r>
      <w:r w:rsidR="004D4637">
        <w:rPr>
          <w:bCs/>
        </w:rPr>
        <w:t>)</w:t>
      </w:r>
      <w:r w:rsidR="000D16EE">
        <w:rPr>
          <w:bCs/>
        </w:rPr>
        <w:t xml:space="preserve">, </w:t>
      </w:r>
      <w:r w:rsidR="004D4637">
        <w:rPr>
          <w:bCs/>
        </w:rPr>
        <w:t xml:space="preserve">national </w:t>
      </w:r>
      <w:r w:rsidR="000D16EE">
        <w:rPr>
          <w:bCs/>
        </w:rPr>
        <w:t>income and expenditure</w:t>
      </w:r>
      <w:r w:rsidR="004D4637">
        <w:rPr>
          <w:bCs/>
        </w:rPr>
        <w:t xml:space="preserve"> </w:t>
      </w:r>
      <w:r w:rsidR="00F27C75">
        <w:rPr>
          <w:bCs/>
        </w:rPr>
        <w:t>must be</w:t>
      </w:r>
      <w:r w:rsidR="004D4637">
        <w:rPr>
          <w:bCs/>
        </w:rPr>
        <w:t xml:space="preserve"> equal </w:t>
      </w:r>
      <w:r w:rsidR="00B531D1">
        <w:rPr>
          <w:bCs/>
        </w:rPr>
        <w:t>in nominal terms</w:t>
      </w:r>
      <w:r w:rsidR="000D16EE">
        <w:rPr>
          <w:bCs/>
        </w:rPr>
        <w:t>.</w:t>
      </w:r>
      <w:r w:rsidR="00D56966">
        <w:rPr>
          <w:bCs/>
        </w:rPr>
        <w:t xml:space="preserve"> However, </w:t>
      </w:r>
      <w:r w:rsidR="00F27C75">
        <w:rPr>
          <w:bCs/>
        </w:rPr>
        <w:t xml:space="preserve">their real income and expenditure are not equal: </w:t>
      </w:r>
      <w:r w:rsidR="00D56966">
        <w:rPr>
          <w:bCs/>
        </w:rPr>
        <w:t xml:space="preserve">country A </w:t>
      </w:r>
      <w:r w:rsidR="00EA4A5B">
        <w:rPr>
          <w:bCs/>
        </w:rPr>
        <w:t>consumes</w:t>
      </w:r>
      <w:r w:rsidR="00EA4A5B" w:rsidDel="00EA4A5B">
        <w:rPr>
          <w:bCs/>
        </w:rPr>
        <w:t xml:space="preserve"> </w:t>
      </w:r>
      <w:r w:rsidR="00EA4A5B">
        <w:rPr>
          <w:bCs/>
        </w:rPr>
        <w:t xml:space="preserve">more goods </w:t>
      </w:r>
      <w:r>
        <w:rPr>
          <w:bCs/>
        </w:rPr>
        <w:t>than it</w:t>
      </w:r>
      <w:r w:rsidR="00EA4A5B">
        <w:rPr>
          <w:bCs/>
        </w:rPr>
        <w:t xml:space="preserve"> produces</w:t>
      </w:r>
      <w:r>
        <w:rPr>
          <w:bCs/>
        </w:rPr>
        <w:t xml:space="preserve">, while country B produces more </w:t>
      </w:r>
      <w:r w:rsidR="00EA4A5B">
        <w:rPr>
          <w:bCs/>
        </w:rPr>
        <w:t xml:space="preserve">goods </w:t>
      </w:r>
      <w:r>
        <w:rPr>
          <w:bCs/>
        </w:rPr>
        <w:t xml:space="preserve">than it consumes. Therefore, a net gain, measured as the gap between Y and E, is transferred from B to A. This is because country A enjoys a beneficial terms of trade, </w:t>
      </w:r>
      <w:r w:rsidR="00443E79">
        <w:rPr>
          <w:bCs/>
        </w:rPr>
        <w:t>which results in</w:t>
      </w:r>
      <w:r>
        <w:rPr>
          <w:bCs/>
        </w:rPr>
        <w:t xml:space="preserve"> country B export</w:t>
      </w:r>
      <w:r w:rsidR="00443E79">
        <w:rPr>
          <w:bCs/>
        </w:rPr>
        <w:t>ing</w:t>
      </w:r>
      <w:r>
        <w:rPr>
          <w:bCs/>
        </w:rPr>
        <w:t xml:space="preserve"> more </w:t>
      </w:r>
      <w:r w:rsidR="00B531D1">
        <w:rPr>
          <w:bCs/>
        </w:rPr>
        <w:t xml:space="preserve">in real terms </w:t>
      </w:r>
      <w:r>
        <w:rPr>
          <w:bCs/>
        </w:rPr>
        <w:t xml:space="preserve">to balance its trade with A. </w:t>
      </w:r>
      <w:r w:rsidR="006A4B4A">
        <w:rPr>
          <w:bCs/>
        </w:rPr>
        <w:t xml:space="preserve">This gives country </w:t>
      </w:r>
      <w:r>
        <w:rPr>
          <w:bCs/>
        </w:rPr>
        <w:t>A’s in</w:t>
      </w:r>
      <w:r w:rsidR="00443E79">
        <w:rPr>
          <w:bCs/>
        </w:rPr>
        <w:t xml:space="preserve">come </w:t>
      </w:r>
      <w:r w:rsidR="006A4B4A">
        <w:rPr>
          <w:bCs/>
        </w:rPr>
        <w:t>a</w:t>
      </w:r>
      <w:r w:rsidR="00E43EE8">
        <w:rPr>
          <w:bCs/>
        </w:rPr>
        <w:t xml:space="preserve"> greater </w:t>
      </w:r>
      <w:r w:rsidR="00443E79">
        <w:rPr>
          <w:bCs/>
        </w:rPr>
        <w:t>purchasing power.</w:t>
      </w:r>
    </w:p>
    <w:p w:rsidR="00471B29" w:rsidRDefault="00471B29" w:rsidP="00471B2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1B29" w:rsidTr="00471B29">
        <w:trPr>
          <w:tblHeader/>
        </w:trPr>
        <w:tc>
          <w:tcPr>
            <w:tcW w:w="5000" w:type="pct"/>
            <w:tcBorders>
              <w:top w:val="single" w:sz="6" w:space="0" w:color="78A22F"/>
              <w:left w:val="nil"/>
              <w:bottom w:val="nil"/>
              <w:right w:val="nil"/>
            </w:tcBorders>
            <w:shd w:val="clear" w:color="auto" w:fill="auto"/>
          </w:tcPr>
          <w:p w:rsidR="00471B29" w:rsidRPr="00176D3F" w:rsidRDefault="00471B29" w:rsidP="00471B29">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E867DA">
              <w:rPr>
                <w:b w:val="0"/>
                <w:noProof/>
              </w:rPr>
              <w:t>1</w:t>
            </w:r>
            <w:r w:rsidRPr="00784A05">
              <w:rPr>
                <w:b w:val="0"/>
              </w:rPr>
              <w:fldChar w:fldCharType="end"/>
            </w:r>
            <w:r>
              <w:tab/>
              <w:t>Income and expenditure in a</w:t>
            </w:r>
            <w:r w:rsidRPr="002C3FBE">
              <w:t xml:space="preserve"> two-country world model</w:t>
            </w:r>
          </w:p>
        </w:tc>
      </w:tr>
      <w:tr w:rsidR="00471B29" w:rsidTr="00471B2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FC000" w:themeColor="accent4"/>
                <w:bottom w:val="single" w:sz="6" w:space="0" w:color="FFC000"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471B29" w:rsidRPr="00B1465D" w:rsidTr="00471B29">
              <w:trPr>
                <w:tblHeader/>
                <w:jc w:val="center"/>
              </w:trPr>
              <w:tc>
                <w:tcPr>
                  <w:tcW w:w="5000" w:type="pct"/>
                  <w:tcBorders>
                    <w:top w:val="nil"/>
                    <w:bottom w:val="nil"/>
                  </w:tcBorders>
                </w:tcPr>
                <w:p w:rsidR="00471B29" w:rsidRPr="00B1465D" w:rsidRDefault="00471B29" w:rsidP="00471B29">
                  <w:pPr>
                    <w:pStyle w:val="Figure"/>
                    <w:spacing w:before="60" w:after="60"/>
                    <w:rPr>
                      <w:rFonts w:ascii="Arial" w:hAnsi="Arial" w:cs="Arial"/>
                      <w:sz w:val="18"/>
                      <w:szCs w:val="18"/>
                    </w:rPr>
                  </w:pPr>
                  <w:r w:rsidRPr="00471B29">
                    <w:rPr>
                      <w:rFonts w:ascii="Arial" w:hAnsi="Arial" w:cs="Arial"/>
                      <w:noProof/>
                      <w:sz w:val="18"/>
                      <w:szCs w:val="18"/>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5433060" cy="2613660"/>
                        <wp:effectExtent l="0" t="0" r="0" b="0"/>
                        <wp:wrapTight wrapText="bothSides">
                          <wp:wrapPolygon edited="0">
                            <wp:start x="0" y="0"/>
                            <wp:lineTo x="0" y="21411"/>
                            <wp:lineTo x="21509" y="21411"/>
                            <wp:lineTo x="21509" y="0"/>
                            <wp:lineTo x="0" y="0"/>
                          </wp:wrapPolygon>
                        </wp:wrapTight>
                        <wp:docPr id="4" name="Picture 4" descr="Income and expenditure in a two country world model with balance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3060" cy="2613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71B29" w:rsidRDefault="00471B29" w:rsidP="00471B29">
            <w:pPr>
              <w:pStyle w:val="Figure"/>
            </w:pPr>
          </w:p>
        </w:tc>
        <w:bookmarkStart w:id="17" w:name="_GoBack"/>
        <w:bookmarkEnd w:id="17"/>
      </w:tr>
      <w:tr w:rsidR="00471B29" w:rsidTr="00471B29">
        <w:tc>
          <w:tcPr>
            <w:tcW w:w="5000" w:type="pct"/>
            <w:tcBorders>
              <w:top w:val="nil"/>
              <w:left w:val="nil"/>
              <w:bottom w:val="single" w:sz="6" w:space="0" w:color="78A22F"/>
              <w:right w:val="nil"/>
            </w:tcBorders>
            <w:shd w:val="clear" w:color="auto" w:fill="auto"/>
          </w:tcPr>
          <w:p w:rsidR="00471B29" w:rsidRDefault="00471B29" w:rsidP="00471B29">
            <w:pPr>
              <w:pStyle w:val="Figurespace"/>
            </w:pPr>
          </w:p>
        </w:tc>
      </w:tr>
      <w:tr w:rsidR="00471B29" w:rsidRPr="000863A5" w:rsidTr="00471B29">
        <w:tc>
          <w:tcPr>
            <w:tcW w:w="5000" w:type="pct"/>
            <w:tcBorders>
              <w:top w:val="single" w:sz="6" w:space="0" w:color="78A22F"/>
              <w:left w:val="nil"/>
              <w:bottom w:val="nil"/>
              <w:right w:val="nil"/>
            </w:tcBorders>
          </w:tcPr>
          <w:p w:rsidR="00471B29" w:rsidRPr="00626D32" w:rsidRDefault="00471B29" w:rsidP="00471B29">
            <w:pPr>
              <w:pStyle w:val="BoxSpaceBelow"/>
            </w:pPr>
          </w:p>
        </w:tc>
      </w:tr>
    </w:tbl>
    <w:p w:rsidR="00901F41" w:rsidRDefault="00901F41" w:rsidP="009E160C">
      <w:pPr>
        <w:pStyle w:val="Heading4"/>
      </w:pPr>
      <w:r>
        <w:t>Measuring the effects of a policy change</w:t>
      </w:r>
    </w:p>
    <w:p w:rsidR="00BE6707" w:rsidRDefault="00BE6707" w:rsidP="00BE6707">
      <w:pPr>
        <w:pStyle w:val="BodyText"/>
      </w:pPr>
      <w:r>
        <w:rPr>
          <w:lang w:eastAsia="zh-CN"/>
        </w:rPr>
        <w:t xml:space="preserve">The effect of a policy change can be </w:t>
      </w:r>
      <w:r w:rsidR="002B1F0A">
        <w:rPr>
          <w:lang w:eastAsia="zh-CN"/>
        </w:rPr>
        <w:t>described</w:t>
      </w:r>
      <w:r>
        <w:rPr>
          <w:lang w:eastAsia="zh-CN"/>
        </w:rPr>
        <w:t xml:space="preserve"> by the changes in real expenditure (</w:t>
      </w:r>
      <w:proofErr w:type="spellStart"/>
      <w:r>
        <w:rPr>
          <w:lang w:eastAsia="zh-CN"/>
        </w:rPr>
        <w:t>GNA</w:t>
      </w:r>
      <w:proofErr w:type="spellEnd"/>
      <w:r>
        <w:rPr>
          <w:lang w:eastAsia="zh-CN"/>
        </w:rPr>
        <w:t>), defined as a sum of the changes in the consumptions of household and gover</w:t>
      </w:r>
      <w:r w:rsidR="002B1F0A">
        <w:rPr>
          <w:lang w:eastAsia="zh-CN"/>
        </w:rPr>
        <w:t>nment and national savings:</w:t>
      </w:r>
    </w:p>
    <w:p w:rsidR="00BE6707" w:rsidRDefault="00BE6707" w:rsidP="00BE6707">
      <w:pPr>
        <w:pStyle w:val="BodyText"/>
      </w:pPr>
      <w:r w:rsidRPr="009A4365">
        <w:tab/>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C</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S</m:t>
            </m:r>
          </m:sup>
        </m:sSubSup>
      </m:oMath>
      <w:r>
        <w:rPr>
          <w:bCs/>
        </w:rPr>
        <w:tab/>
      </w:r>
      <w:r>
        <w:rPr>
          <w:bCs/>
        </w:rPr>
        <w:tab/>
      </w:r>
      <w:r>
        <w:rPr>
          <w:bCs/>
        </w:rPr>
        <w:tab/>
      </w:r>
      <w:r>
        <w:rPr>
          <w:bCs/>
        </w:rPr>
        <w:tab/>
      </w:r>
      <w:r>
        <w:rPr>
          <w:bCs/>
        </w:rPr>
        <w:tab/>
        <w:t>(8)</w:t>
      </w:r>
      <w:r w:rsidRPr="00B84C50">
        <w:t xml:space="preserve"> </w:t>
      </w:r>
    </w:p>
    <w:p w:rsidR="00BE6707" w:rsidRDefault="002B1F0A" w:rsidP="00BE6707">
      <w:pPr>
        <w:pStyle w:val="BodyText"/>
      </w:pPr>
      <w:r>
        <w:rPr>
          <w:lang w:eastAsia="zh-CN"/>
        </w:rPr>
        <w:t>Alternatively, it can be defined in terms of</w:t>
      </w:r>
      <w:r w:rsidR="00BE6707">
        <w:rPr>
          <w:lang w:eastAsia="zh-CN"/>
        </w:rPr>
        <w:t xml:space="preserve"> the changes in real income (GNP) plus t</w:t>
      </w:r>
      <w:r>
        <w:rPr>
          <w:lang w:eastAsia="zh-CN"/>
        </w:rPr>
        <w:t xml:space="preserve">he changes in real </w:t>
      </w:r>
      <w:proofErr w:type="spellStart"/>
      <w:r>
        <w:rPr>
          <w:lang w:eastAsia="zh-CN"/>
        </w:rPr>
        <w:t>BoP</w:t>
      </w:r>
      <w:proofErr w:type="spellEnd"/>
      <w:r>
        <w:rPr>
          <w:lang w:eastAsia="zh-CN"/>
        </w:rPr>
        <w:t xml:space="preserve"> accounts:</w:t>
      </w:r>
    </w:p>
    <w:p w:rsidR="00BE6707" w:rsidRDefault="00BE6707" w:rsidP="00BE6707">
      <w:pPr>
        <w:pStyle w:val="BodyText"/>
      </w:pPr>
      <w:r>
        <w:rPr>
          <w:bCs/>
        </w:rPr>
        <w:tab/>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r>
              <w:rPr>
                <w:rFonts w:ascii="Cambria Math" w:hAnsi="Cambria Math"/>
              </w:rPr>
              <m:t>(r)</m:t>
            </m:r>
          </m:sub>
          <m:sup>
            <m:r>
              <w:rPr>
                <w:rFonts w:ascii="Cambria Math" w:hAnsi="Cambria Math"/>
              </w:rPr>
              <m:t>GNP</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r>
              <w:rPr>
                <w:rFonts w:ascii="Cambria Math" w:hAnsi="Cambria Math"/>
              </w:rPr>
              <m:t>(r)</m:t>
            </m:r>
          </m:sub>
          <m:sup>
            <m:r>
              <w:rPr>
                <w:rFonts w:ascii="Cambria Math" w:hAnsi="Cambria Math"/>
              </w:rPr>
              <m:t>BoP</m:t>
            </m:r>
          </m:sup>
        </m:sSubSup>
      </m:oMath>
      <w:r>
        <w:rPr>
          <w:bCs/>
        </w:rPr>
        <w:tab/>
      </w:r>
      <w:r>
        <w:rPr>
          <w:bCs/>
        </w:rPr>
        <w:tab/>
      </w:r>
      <w:r>
        <w:rPr>
          <w:bCs/>
        </w:rPr>
        <w:tab/>
        <w:t>(9)</w:t>
      </w:r>
      <w:r w:rsidRPr="00B84C50">
        <w:t xml:space="preserve"> </w:t>
      </w:r>
    </w:p>
    <w:p w:rsidR="003449B3" w:rsidRDefault="003449B3" w:rsidP="00BE6707">
      <w:pPr>
        <w:pStyle w:val="BodyText"/>
      </w:pPr>
      <w:r>
        <w:t xml:space="preserve">This expression can be manipulated further to express </w:t>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oMath>
      <w:r>
        <w:t xml:space="preserve"> as a function </w:t>
      </w:r>
      <w:r w:rsidR="009F7BC7">
        <w:t xml:space="preserve">of </w:t>
      </w:r>
      <w:r>
        <w:t xml:space="preserve">changes in income and change in external </w:t>
      </w:r>
      <w:r w:rsidR="009F7BC7">
        <w:t xml:space="preserve">relative </w:t>
      </w:r>
      <w:r>
        <w:t xml:space="preserve">prices: </w:t>
      </w:r>
    </w:p>
    <w:p w:rsidR="003449B3" w:rsidRDefault="003449B3" w:rsidP="00BE6707">
      <w:pPr>
        <w:pStyle w:val="BodyText"/>
      </w:pPr>
      <w:r>
        <w:lastRenderedPageBreak/>
        <w:tab/>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GNA</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r>
              <w:rPr>
                <w:rFonts w:ascii="Cambria Math" w:hAnsi="Cambria Math"/>
              </w:rPr>
              <m:t>(r)</m:t>
            </m:r>
          </m:sub>
          <m:sup>
            <m:r>
              <w:rPr>
                <w:rFonts w:ascii="Cambria Math" w:hAnsi="Cambria Math"/>
              </w:rPr>
              <m:t>GNP</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BoP</m:t>
            </m:r>
          </m:sup>
        </m:sSubSup>
      </m:oMath>
      <w:r>
        <w:rPr>
          <w:bCs/>
        </w:rPr>
        <w:tab/>
      </w:r>
      <w:r>
        <w:rPr>
          <w:bCs/>
        </w:rPr>
        <w:tab/>
      </w:r>
      <w:r>
        <w:rPr>
          <w:bCs/>
        </w:rPr>
        <w:tab/>
        <w:t>(10)</w:t>
      </w:r>
    </w:p>
    <w:p w:rsidR="00697F9E" w:rsidRDefault="00F6638A" w:rsidP="00BE6707">
      <w:pPr>
        <w:pStyle w:val="BodyText"/>
        <w:rPr>
          <w:bCs/>
        </w:rPr>
      </w:pPr>
      <w:r>
        <w:t xml:space="preserve">where </w:t>
      </w:r>
      <m:oMath>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BoP</m:t>
            </m:r>
          </m:sup>
        </m:sSubSup>
      </m:oMath>
      <w:r w:rsidR="00BE6707">
        <w:rPr>
          <w:bCs/>
        </w:rPr>
        <w:t>is the changes in the price index for the BoP.</w:t>
      </w:r>
      <w:r w:rsidR="00BE6707">
        <w:rPr>
          <w:lang w:eastAsia="zh-CN"/>
        </w:rPr>
        <w:t xml:space="preserve"> This is because the changes in nominal </w:t>
      </w:r>
      <w:proofErr w:type="spellStart"/>
      <w:r w:rsidR="00BE6707">
        <w:rPr>
          <w:lang w:eastAsia="zh-CN"/>
        </w:rPr>
        <w:t>BoP</w:t>
      </w:r>
      <w:proofErr w:type="spellEnd"/>
      <w:r w:rsidR="00BE6707">
        <w:rPr>
          <w:lang w:eastAsia="zh-CN"/>
        </w:rPr>
        <w:t xml:space="preserve"> must equal zero, so that </w:t>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r>
              <w:rPr>
                <w:rFonts w:ascii="Cambria Math" w:hAnsi="Cambria Math"/>
              </w:rPr>
              <m:t>(r)</m:t>
            </m:r>
          </m:sub>
          <m:sup>
            <m:r>
              <w:rPr>
                <w:rFonts w:ascii="Cambria Math" w:hAnsi="Cambria Math"/>
              </w:rPr>
              <m:t>BoP</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BoP</m:t>
            </m:r>
          </m:sup>
        </m:sSubSup>
      </m:oMath>
      <w:r w:rsidR="00BE6707">
        <w:rPr>
          <w:bCs/>
        </w:rPr>
        <w:t>.</w:t>
      </w:r>
      <w:r w:rsidR="00735A9B">
        <w:rPr>
          <w:bCs/>
        </w:rPr>
        <w:t xml:space="preserve"> </w:t>
      </w:r>
      <w:r w:rsidR="00735A9B">
        <w:t xml:space="preserve">Since </w:t>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r>
              <w:rPr>
                <w:rFonts w:ascii="Cambria Math" w:hAnsi="Cambria Math"/>
              </w:rPr>
              <m:t>(r)</m:t>
            </m:r>
          </m:sub>
          <m:sup>
            <m:r>
              <w:rPr>
                <w:rFonts w:ascii="Cambria Math" w:hAnsi="Cambria Math"/>
              </w:rPr>
              <m:t>BoP</m:t>
            </m:r>
          </m:sup>
        </m:sSubSup>
      </m:oMath>
      <w:r w:rsidR="00735A9B">
        <w:rPr>
          <w:bCs/>
        </w:rPr>
        <w:t xml:space="preserve">can be replaced by </w:t>
      </w:r>
      <m:oMath>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BoP</m:t>
            </m:r>
          </m:sup>
        </m:sSubSup>
      </m:oMath>
      <w:r w:rsidR="00735A9B">
        <w:rPr>
          <w:bCs/>
        </w:rPr>
        <w:t xml:space="preserve">, it can be replaced with </w:t>
      </w:r>
      <w:r w:rsidR="003449B3">
        <w:rPr>
          <w:bCs/>
        </w:rPr>
        <w:t>the following</w:t>
      </w:r>
      <w:r w:rsidR="00735A9B">
        <w:rPr>
          <w:bCs/>
        </w:rPr>
        <w:t xml:space="preserve"> sum of price changes</w:t>
      </w:r>
      <w:r w:rsidR="00075526">
        <w:rPr>
          <w:bCs/>
        </w:rPr>
        <w:t>,</w:t>
      </w:r>
    </w:p>
    <w:p w:rsidR="004943BE" w:rsidRDefault="004943BE" w:rsidP="004943BE">
      <w:pPr>
        <w:pStyle w:val="BodyText"/>
      </w:pPr>
      <w:r>
        <w:rPr>
          <w:bCs/>
        </w:rPr>
        <w:tab/>
      </w:r>
      <m:oMath>
        <m:sSubSup>
          <m:sSubSupPr>
            <m:ctrlPr>
              <w:rPr>
                <w:rFonts w:ascii="Cambria Math" w:hAnsi="Cambria Math"/>
                <w:bCs/>
                <w:i/>
              </w:rPr>
            </m:ctrlPr>
          </m:sSubSupPr>
          <m:e>
            <m:r>
              <w:rPr>
                <w:rFonts w:ascii="Cambria Math" w:hAnsi="Cambria Math"/>
                <w:i/>
              </w:rPr>
              <w:sym w:font="Symbol" w:char="F044"/>
            </m:r>
            <m:r>
              <w:rPr>
                <w:rFonts w:ascii="Cambria Math" w:hAnsi="Cambria Math"/>
              </w:rPr>
              <m:t>Q</m:t>
            </m:r>
          </m:e>
          <m:sub>
            <m:d>
              <m:dPr>
                <m:ctrlPr>
                  <w:rPr>
                    <w:rFonts w:ascii="Cambria Math" w:hAnsi="Cambria Math"/>
                    <w:i/>
                  </w:rPr>
                </m:ctrlPr>
              </m:dPr>
              <m:e>
                <m:r>
                  <w:rPr>
                    <w:rFonts w:ascii="Cambria Math" w:hAnsi="Cambria Math"/>
                  </w:rPr>
                  <m:t>r</m:t>
                </m:r>
              </m:e>
            </m:d>
          </m:sub>
          <m:sup>
            <m:r>
              <w:rPr>
                <w:rFonts w:ascii="Cambria Math" w:hAnsi="Cambria Math"/>
              </w:rPr>
              <m:t>BoP</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TAB</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IAB</m:t>
            </m:r>
          </m:sup>
        </m:sSubSup>
        <m:r>
          <w:rPr>
            <w:rFonts w:ascii="Cambria Math" w:hAnsi="Cambria Math"/>
          </w:rPr>
          <m:t>-</m:t>
        </m:r>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KAB</m:t>
            </m:r>
          </m:sup>
        </m:sSubSup>
      </m:oMath>
      <w:r>
        <w:rPr>
          <w:bCs/>
        </w:rPr>
        <w:tab/>
      </w:r>
      <w:r>
        <w:rPr>
          <w:bCs/>
        </w:rPr>
        <w:tab/>
      </w:r>
      <w:r>
        <w:rPr>
          <w:bCs/>
        </w:rPr>
        <w:tab/>
      </w:r>
      <w:r>
        <w:rPr>
          <w:bCs/>
        </w:rPr>
        <w:tab/>
      </w:r>
      <w:r>
        <w:rPr>
          <w:bCs/>
        </w:rPr>
        <w:tab/>
        <w:t>(1</w:t>
      </w:r>
      <w:r w:rsidR="003449B3">
        <w:rPr>
          <w:bCs/>
        </w:rPr>
        <w:t>1</w:t>
      </w:r>
      <w:r>
        <w:rPr>
          <w:bCs/>
        </w:rPr>
        <w:t>)</w:t>
      </w:r>
      <w:r w:rsidRPr="00B84C50">
        <w:t xml:space="preserve"> </w:t>
      </w:r>
    </w:p>
    <w:p w:rsidR="00BE6707" w:rsidRDefault="00F6638A" w:rsidP="00BE6707">
      <w:pPr>
        <w:pStyle w:val="BodyText"/>
        <w:rPr>
          <w:lang w:eastAsia="zh-CN"/>
        </w:rPr>
      </w:pPr>
      <w:r>
        <w:rPr>
          <w:bCs/>
        </w:rPr>
        <w:t xml:space="preserve">Note that the three components of </w:t>
      </w:r>
      <m:oMath>
        <m:sSubSup>
          <m:sSubSupPr>
            <m:ctrlPr>
              <w:rPr>
                <w:rFonts w:ascii="Cambria Math" w:hAnsi="Cambria Math"/>
                <w:bCs/>
                <w:i/>
              </w:rPr>
            </m:ctrlPr>
          </m:sSubSupPr>
          <m:e>
            <m:r>
              <w:rPr>
                <w:rFonts w:ascii="Cambria Math" w:hAnsi="Cambria Math"/>
                <w:i/>
              </w:rPr>
              <w:sym w:font="Symbol" w:char="F044"/>
            </m:r>
            <m:r>
              <w:rPr>
                <w:rFonts w:ascii="Cambria Math" w:hAnsi="Cambria Math"/>
              </w:rPr>
              <m:t>P</m:t>
            </m:r>
          </m:e>
          <m:sub>
            <m:r>
              <w:rPr>
                <w:rFonts w:ascii="Cambria Math" w:hAnsi="Cambria Math"/>
              </w:rPr>
              <m:t>(r)</m:t>
            </m:r>
          </m:sub>
          <m:sup>
            <m:r>
              <w:rPr>
                <w:rFonts w:ascii="Cambria Math" w:hAnsi="Cambria Math"/>
              </w:rPr>
              <m:t>BoP</m:t>
            </m:r>
          </m:sup>
        </m:sSubSup>
      </m:oMath>
      <w:r>
        <w:rPr>
          <w:bCs/>
        </w:rPr>
        <w:t xml:space="preserve"> capture the effects of </w:t>
      </w:r>
      <w:r w:rsidR="00826158">
        <w:rPr>
          <w:bCs/>
        </w:rPr>
        <w:t xml:space="preserve">changes in </w:t>
      </w:r>
      <w:r>
        <w:rPr>
          <w:bCs/>
        </w:rPr>
        <w:t>relative price</w:t>
      </w:r>
      <w:r w:rsidR="00826158">
        <w:rPr>
          <w:bCs/>
        </w:rPr>
        <w:t>s</w:t>
      </w:r>
      <w:r>
        <w:rPr>
          <w:bCs/>
        </w:rPr>
        <w:t xml:space="preserve"> in a country’s current and capital accounts, or the terms of trade and investment effects. </w:t>
      </w:r>
      <w:r w:rsidR="00BE6707">
        <w:rPr>
          <w:bCs/>
        </w:rPr>
        <w:t>This implies that the welfare e</w:t>
      </w:r>
      <w:r w:rsidR="00BE6707">
        <w:rPr>
          <w:lang w:eastAsia="zh-CN"/>
        </w:rPr>
        <w:t xml:space="preserve">ffects of a policy change can be explained by changes in real income, </w:t>
      </w:r>
      <w:r w:rsidR="007D1A90">
        <w:rPr>
          <w:lang w:eastAsia="zh-CN"/>
        </w:rPr>
        <w:t xml:space="preserve">from a </w:t>
      </w:r>
      <w:r w:rsidR="00BE6707">
        <w:rPr>
          <w:lang w:eastAsia="zh-CN"/>
        </w:rPr>
        <w:t>country</w:t>
      </w:r>
      <w:r w:rsidR="007D1A90">
        <w:rPr>
          <w:lang w:eastAsia="zh-CN"/>
        </w:rPr>
        <w:t>’s production</w:t>
      </w:r>
      <w:r w:rsidR="00BE6707">
        <w:rPr>
          <w:lang w:eastAsia="zh-CN"/>
        </w:rPr>
        <w:t>, and changes in net transfer</w:t>
      </w:r>
      <w:r w:rsidR="007D1A90">
        <w:rPr>
          <w:lang w:eastAsia="zh-CN"/>
        </w:rPr>
        <w:t>s</w:t>
      </w:r>
      <w:r w:rsidR="00BE6707">
        <w:rPr>
          <w:lang w:eastAsia="zh-CN"/>
        </w:rPr>
        <w:t xml:space="preserve"> from other countries </w:t>
      </w:r>
      <w:r w:rsidR="007D1A90">
        <w:rPr>
          <w:lang w:eastAsia="zh-CN"/>
        </w:rPr>
        <w:t xml:space="preserve">that are </w:t>
      </w:r>
      <w:r w:rsidR="00BE6707">
        <w:rPr>
          <w:lang w:eastAsia="zh-CN"/>
        </w:rPr>
        <w:t>due to the changes in the terms of trade</w:t>
      </w:r>
      <w:r w:rsidR="00601F29">
        <w:rPr>
          <w:lang w:eastAsia="zh-CN"/>
        </w:rPr>
        <w:t>,</w:t>
      </w:r>
      <w:r w:rsidR="00BE6707">
        <w:rPr>
          <w:lang w:eastAsia="zh-CN"/>
        </w:rPr>
        <w:t xml:space="preserve"> investment</w:t>
      </w:r>
      <w:r w:rsidR="00601F29">
        <w:rPr>
          <w:lang w:eastAsia="zh-CN"/>
        </w:rPr>
        <w:t xml:space="preserve"> and factor prices</w:t>
      </w:r>
      <w:r w:rsidR="00BE6707">
        <w:rPr>
          <w:lang w:eastAsia="zh-CN"/>
        </w:rPr>
        <w:t>.</w:t>
      </w:r>
      <w:r w:rsidR="00BE6707" w:rsidRPr="00F41326">
        <w:rPr>
          <w:lang w:eastAsia="zh-CN"/>
        </w:rPr>
        <w:t xml:space="preserve"> </w:t>
      </w:r>
      <w:r w:rsidR="003449B3">
        <w:rPr>
          <w:lang w:eastAsia="zh-CN"/>
        </w:rPr>
        <w:t>So welfare changes are a function of changes in the income produced by residents</w:t>
      </w:r>
      <w:r w:rsidR="009F7BC7">
        <w:rPr>
          <w:lang w:eastAsia="zh-CN"/>
        </w:rPr>
        <w:t>,</w:t>
      </w:r>
      <w:r w:rsidR="003449B3">
        <w:rPr>
          <w:lang w:eastAsia="zh-CN"/>
        </w:rPr>
        <w:t xml:space="preserve"> adjusted for any changes in purchasing power of this income. </w:t>
      </w:r>
    </w:p>
    <w:p w:rsidR="00BE6707" w:rsidRDefault="0098716B" w:rsidP="00BE6707">
      <w:pPr>
        <w:pStyle w:val="BodyText"/>
        <w:rPr>
          <w:lang w:eastAsia="zh-CN"/>
        </w:rPr>
      </w:pPr>
      <w:r>
        <w:rPr>
          <w:lang w:eastAsia="zh-CN"/>
        </w:rPr>
        <w:t>Although t</w:t>
      </w:r>
      <w:r w:rsidR="00BE6707">
        <w:rPr>
          <w:lang w:eastAsia="zh-CN"/>
        </w:rPr>
        <w:t xml:space="preserve">he basic idea behind the concept of real expenditure is straightforward, there are practical difficulties in measuring real expenditure in </w:t>
      </w:r>
      <w:proofErr w:type="spellStart"/>
      <w:r w:rsidR="00BE6707">
        <w:rPr>
          <w:lang w:eastAsia="zh-CN"/>
        </w:rPr>
        <w:t>CGE</w:t>
      </w:r>
      <w:proofErr w:type="spellEnd"/>
      <w:r w:rsidR="00BE6707">
        <w:rPr>
          <w:lang w:eastAsia="zh-CN"/>
        </w:rPr>
        <w:t xml:space="preserve"> models. This is partly due to the lack of detailed information on bilateral </w:t>
      </w:r>
      <w:proofErr w:type="spellStart"/>
      <w:r w:rsidR="00BE6707">
        <w:rPr>
          <w:lang w:eastAsia="zh-CN"/>
        </w:rPr>
        <w:t>BoP</w:t>
      </w:r>
      <w:proofErr w:type="spellEnd"/>
      <w:r w:rsidR="00BE6707">
        <w:rPr>
          <w:lang w:eastAsia="zh-CN"/>
        </w:rPr>
        <w:t xml:space="preserve"> accounts, especially on the flows of investment between countries. Without such information, an important component in calculating real </w:t>
      </w:r>
      <w:proofErr w:type="spellStart"/>
      <w:r w:rsidR="00BE6707">
        <w:rPr>
          <w:lang w:eastAsia="zh-CN"/>
        </w:rPr>
        <w:t>GNA</w:t>
      </w:r>
      <w:proofErr w:type="spellEnd"/>
      <w:r w:rsidR="00BE6707">
        <w:rPr>
          <w:lang w:eastAsia="zh-CN"/>
        </w:rPr>
        <w:t xml:space="preserve">, saving price index, cannot be accurately calculated. In appendix </w:t>
      </w:r>
      <w:r w:rsidR="002B1F0A">
        <w:rPr>
          <w:lang w:eastAsia="zh-CN"/>
        </w:rPr>
        <w:t>A</w:t>
      </w:r>
      <w:r w:rsidR="00BE6707">
        <w:rPr>
          <w:lang w:eastAsia="zh-CN"/>
        </w:rPr>
        <w:t xml:space="preserve">, a global </w:t>
      </w:r>
      <w:proofErr w:type="spellStart"/>
      <w:r w:rsidR="00BE6707">
        <w:rPr>
          <w:lang w:eastAsia="zh-CN"/>
        </w:rPr>
        <w:t>CGE</w:t>
      </w:r>
      <w:proofErr w:type="spellEnd"/>
      <w:r w:rsidR="00BE6707">
        <w:rPr>
          <w:lang w:eastAsia="zh-CN"/>
        </w:rPr>
        <w:t xml:space="preserve"> model is used as a numerical example to show what additional data are required for accurately measuring real GNP and </w:t>
      </w:r>
      <w:proofErr w:type="spellStart"/>
      <w:r w:rsidR="00BE6707">
        <w:rPr>
          <w:lang w:eastAsia="zh-CN"/>
        </w:rPr>
        <w:t>GNA</w:t>
      </w:r>
      <w:proofErr w:type="spellEnd"/>
      <w:r w:rsidR="00BE6707">
        <w:rPr>
          <w:lang w:eastAsia="zh-CN"/>
        </w:rPr>
        <w:t xml:space="preserve">. In appendix </w:t>
      </w:r>
      <w:r w:rsidR="002B1F0A">
        <w:rPr>
          <w:lang w:eastAsia="zh-CN"/>
        </w:rPr>
        <w:t>B</w:t>
      </w:r>
      <w:r w:rsidR="00BE6707">
        <w:rPr>
          <w:lang w:eastAsia="zh-CN"/>
        </w:rPr>
        <w:t xml:space="preserve">, two examples of other </w:t>
      </w:r>
      <w:proofErr w:type="spellStart"/>
      <w:r w:rsidR="00BE6707">
        <w:rPr>
          <w:lang w:eastAsia="zh-CN"/>
        </w:rPr>
        <w:t>CGE</w:t>
      </w:r>
      <w:proofErr w:type="spellEnd"/>
      <w:r w:rsidR="00BE6707">
        <w:rPr>
          <w:lang w:eastAsia="zh-CN"/>
        </w:rPr>
        <w:t xml:space="preserve"> models are also used to show, if the required </w:t>
      </w:r>
      <w:proofErr w:type="spellStart"/>
      <w:r w:rsidR="00BE6707">
        <w:rPr>
          <w:lang w:eastAsia="zh-CN"/>
        </w:rPr>
        <w:t>BoP</w:t>
      </w:r>
      <w:proofErr w:type="spellEnd"/>
      <w:r w:rsidR="00BE6707">
        <w:rPr>
          <w:lang w:eastAsia="zh-CN"/>
        </w:rPr>
        <w:t xml:space="preserve"> account data are unavailable, what alternative methods can be applied to obtain a</w:t>
      </w:r>
      <w:r w:rsidR="00587CDA">
        <w:rPr>
          <w:lang w:eastAsia="zh-CN"/>
        </w:rPr>
        <w:t>n approximate</w:t>
      </w:r>
      <w:r w:rsidR="00BE6707">
        <w:rPr>
          <w:lang w:eastAsia="zh-CN"/>
        </w:rPr>
        <w:t xml:space="preserve"> measure of real </w:t>
      </w:r>
      <w:proofErr w:type="spellStart"/>
      <w:r w:rsidR="00BE6707">
        <w:rPr>
          <w:lang w:eastAsia="zh-CN"/>
        </w:rPr>
        <w:t>GNA</w:t>
      </w:r>
      <w:proofErr w:type="spellEnd"/>
      <w:r w:rsidR="00BE6707">
        <w:rPr>
          <w:lang w:eastAsia="zh-CN"/>
        </w:rPr>
        <w:t xml:space="preserve">, which can still be </w:t>
      </w:r>
      <w:r w:rsidR="007626DE">
        <w:rPr>
          <w:lang w:eastAsia="zh-CN"/>
        </w:rPr>
        <w:t xml:space="preserve">interpreted </w:t>
      </w:r>
      <w:r w:rsidR="00BE6707">
        <w:rPr>
          <w:lang w:eastAsia="zh-CN"/>
        </w:rPr>
        <w:t xml:space="preserve">as a welfare indicator in those models. </w:t>
      </w:r>
    </w:p>
    <w:p w:rsidR="00BE6707" w:rsidRDefault="00BE6707" w:rsidP="00BE6707">
      <w:pPr>
        <w:rPr>
          <w:szCs w:val="20"/>
        </w:rPr>
      </w:pPr>
      <w:r>
        <w:br w:type="page"/>
      </w:r>
    </w:p>
    <w:p w:rsidR="00BE6707" w:rsidRDefault="00BE6707" w:rsidP="00BE6707">
      <w:pPr>
        <w:pStyle w:val="Heading1nochapterno"/>
      </w:pPr>
      <w:r>
        <w:lastRenderedPageBreak/>
        <w:t xml:space="preserve">Appendix A: </w:t>
      </w:r>
      <w:r w:rsidRPr="003C5425">
        <w:t xml:space="preserve">Measuring real </w:t>
      </w:r>
      <w:proofErr w:type="spellStart"/>
      <w:r w:rsidRPr="003C5425">
        <w:t>GNA</w:t>
      </w:r>
      <w:proofErr w:type="spellEnd"/>
      <w:r w:rsidRPr="003C5425">
        <w:t xml:space="preserve"> in a global </w:t>
      </w:r>
      <w:proofErr w:type="spellStart"/>
      <w:r w:rsidRPr="003C5425">
        <w:t>CGE</w:t>
      </w:r>
      <w:proofErr w:type="spellEnd"/>
      <w:r w:rsidRPr="003C5425">
        <w:t xml:space="preserve"> model with full </w:t>
      </w:r>
      <w:proofErr w:type="spellStart"/>
      <w:r w:rsidRPr="003C5425">
        <w:t>BoP</w:t>
      </w:r>
      <w:proofErr w:type="spellEnd"/>
      <w:r w:rsidRPr="003C5425">
        <w:t xml:space="preserve"> data</w:t>
      </w:r>
    </w:p>
    <w:p w:rsidR="00BE6707" w:rsidRDefault="00BE6707" w:rsidP="00BE6707">
      <w:pPr>
        <w:pStyle w:val="BodyText"/>
      </w:pPr>
      <w:r>
        <w:t xml:space="preserve">In this appendix, a modified </w:t>
      </w:r>
      <w:proofErr w:type="spellStart"/>
      <w:r>
        <w:t>GTAP</w:t>
      </w:r>
      <w:proofErr w:type="spellEnd"/>
      <w:r>
        <w:t xml:space="preserve"> model with an extended database that includes the existing trade matrix and two new matrixes of bilateral capital and investment</w:t>
      </w:r>
      <w:r w:rsidRPr="00FB336A">
        <w:rPr>
          <w:rStyle w:val="FootnoteReference"/>
        </w:rPr>
        <w:footnoteReference w:id="6"/>
      </w:r>
      <w:r>
        <w:t xml:space="preserve"> is used to demonstrate how accurate measures of real national income (GNP) and expenditure (</w:t>
      </w:r>
      <w:proofErr w:type="spellStart"/>
      <w:r>
        <w:t>GNA</w:t>
      </w:r>
      <w:proofErr w:type="spellEnd"/>
      <w:r>
        <w:t xml:space="preserve">) are computed. </w:t>
      </w:r>
    </w:p>
    <w:p w:rsidR="00BE6707" w:rsidRDefault="00BE6707" w:rsidP="00BE6707">
      <w:pPr>
        <w:pStyle w:val="Heading2"/>
      </w:pPr>
      <w:bookmarkStart w:id="18" w:name="_Toc26430224"/>
      <w:r>
        <w:t>Model and database extension</w:t>
      </w:r>
      <w:bookmarkEnd w:id="18"/>
    </w:p>
    <w:p w:rsidR="00BE6707" w:rsidRDefault="00BE6707" w:rsidP="00BE6707">
      <w:pPr>
        <w:pStyle w:val="BodyText"/>
      </w:pPr>
      <w:r>
        <w:t xml:space="preserve">The modification is based on the version 6.2 of the </w:t>
      </w:r>
      <w:proofErr w:type="spellStart"/>
      <w:r>
        <w:t>GTAP</w:t>
      </w:r>
      <w:proofErr w:type="spellEnd"/>
      <w:r>
        <w:t xml:space="preserve"> model (</w:t>
      </w:r>
      <w:proofErr w:type="spellStart"/>
      <w:r>
        <w:t>Hertel</w:t>
      </w:r>
      <w:proofErr w:type="spellEnd"/>
      <w:r>
        <w:t xml:space="preserve"> and McDougall 2003) and version 7.0 of its database (</w:t>
      </w:r>
      <w:r w:rsidR="000278C8" w:rsidRPr="000278C8">
        <w:t>Narayanan</w:t>
      </w:r>
      <w:r w:rsidR="000278C8" w:rsidRPr="008F05C5">
        <w:t xml:space="preserve"> and Walmsley</w:t>
      </w:r>
      <w:r>
        <w:t xml:space="preserve"> 2008). With foreign capital ownership, it is assumed that the firm’s demand for capital is a CES composite of domestic and foreign capital stocks. The after-tax incomes of foreign capital owners are transferred from countries where the capital is located to their owner countries. The bilateral foreign capital income matrix for five economies and the rest of the world is shown in table A1. </w:t>
      </w:r>
    </w:p>
    <w:p w:rsidR="00BE6707" w:rsidRDefault="00BE6707" w:rsidP="000730B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C73D07">
            <w:pPr>
              <w:pStyle w:val="TableTitle"/>
              <w:ind w:right="-142"/>
            </w:pPr>
            <w:r w:rsidRPr="00604ACB">
              <w:rPr>
                <w:b w:val="0"/>
              </w:rPr>
              <w:t xml:space="preserve">Table </w:t>
            </w:r>
            <w:r>
              <w:rPr>
                <w:b w:val="0"/>
                <w:noProof/>
              </w:rPr>
              <w:t>A1</w:t>
            </w:r>
            <w:r w:rsidRPr="00604ACB">
              <w:tab/>
            </w:r>
            <w:r w:rsidRPr="00C905FF">
              <w:rPr>
                <w:rFonts w:ascii="Arial Bold" w:hAnsi="Arial Bold"/>
                <w:spacing w:val="-4"/>
              </w:rPr>
              <w:t>Foreign income matrix for selected countries (US$ billion)</w:t>
            </w:r>
          </w:p>
        </w:tc>
      </w:tr>
      <w:tr w:rsidR="00BE6707" w:rsidRPr="005136D8" w:rsidTr="00C73D07">
        <w:tc>
          <w:tcPr>
            <w:tcW w:w="5000" w:type="pct"/>
            <w:tcBorders>
              <w:top w:val="nil"/>
              <w:left w:val="nil"/>
              <w:bottom w:val="nil"/>
              <w:right w:val="nil"/>
            </w:tcBorders>
            <w:shd w:val="clear" w:color="auto" w:fill="auto"/>
          </w:tcPr>
          <w:tbl>
            <w:tblPr>
              <w:tblW w:w="8505" w:type="dxa"/>
              <w:jc w:val="center"/>
              <w:tblLook w:val="04A0" w:firstRow="1" w:lastRow="0" w:firstColumn="1" w:lastColumn="0" w:noHBand="0" w:noVBand="1"/>
            </w:tblPr>
            <w:tblGrid>
              <w:gridCol w:w="851"/>
              <w:gridCol w:w="787"/>
              <w:gridCol w:w="960"/>
              <w:gridCol w:w="960"/>
              <w:gridCol w:w="960"/>
              <w:gridCol w:w="960"/>
              <w:gridCol w:w="960"/>
              <w:gridCol w:w="960"/>
              <w:gridCol w:w="1107"/>
            </w:tblGrid>
            <w:tr w:rsidR="00BE6707" w:rsidRPr="00471B29" w:rsidTr="00C73D07">
              <w:trPr>
                <w:trHeight w:val="288"/>
                <w:jc w:val="center"/>
              </w:trPr>
              <w:tc>
                <w:tcPr>
                  <w:tcW w:w="851" w:type="dxa"/>
                  <w:tcBorders>
                    <w:top w:val="nil"/>
                    <w:left w:val="nil"/>
                    <w:bottom w:val="nil"/>
                    <w:right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nil"/>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p>
              </w:tc>
              <w:tc>
                <w:tcPr>
                  <w:tcW w:w="960" w:type="dxa"/>
                  <w:tcBorders>
                    <w:top w:val="nil"/>
                    <w:left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c>
                <w:tcPr>
                  <w:tcW w:w="960" w:type="dxa"/>
                  <w:tcBorders>
                    <w:top w:val="nil"/>
                    <w:left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c>
                <w:tcPr>
                  <w:tcW w:w="960" w:type="dxa"/>
                  <w:tcBorders>
                    <w:top w:val="nil"/>
                    <w:left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c>
                <w:tcPr>
                  <w:tcW w:w="960" w:type="dxa"/>
                  <w:tcBorders>
                    <w:top w:val="nil"/>
                    <w:left w:val="nil"/>
                    <w:right w:val="nil"/>
                  </w:tcBorders>
                  <w:shd w:val="clear" w:color="auto" w:fill="auto"/>
                  <w:noWrap/>
                  <w:vAlign w:val="bottom"/>
                </w:tcPr>
                <w:p w:rsidR="00BE6707" w:rsidRPr="00471B29" w:rsidRDefault="00BE6707" w:rsidP="00C73D07">
                  <w:pPr>
                    <w:rPr>
                      <w:rFonts w:ascii="Arial" w:hAnsi="Arial" w:cs="Arial"/>
                      <w:i/>
                      <w:color w:val="000000"/>
                      <w:sz w:val="18"/>
                      <w:szCs w:val="18"/>
                      <w:lang w:eastAsia="zh-CN"/>
                    </w:rPr>
                  </w:pPr>
                  <w:r w:rsidRPr="00471B29">
                    <w:rPr>
                      <w:rFonts w:ascii="Arial" w:hAnsi="Arial" w:cs="Arial"/>
                      <w:i/>
                      <w:color w:val="000000"/>
                      <w:sz w:val="18"/>
                      <w:szCs w:val="18"/>
                      <w:lang w:eastAsia="zh-CN"/>
                    </w:rPr>
                    <w:t>To</w:t>
                  </w:r>
                </w:p>
              </w:tc>
              <w:tc>
                <w:tcPr>
                  <w:tcW w:w="960" w:type="dxa"/>
                  <w:tcBorders>
                    <w:top w:val="nil"/>
                    <w:left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c>
                <w:tcPr>
                  <w:tcW w:w="960" w:type="dxa"/>
                  <w:tcBorders>
                    <w:top w:val="nil"/>
                    <w:left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c>
                <w:tcPr>
                  <w:tcW w:w="1107" w:type="dxa"/>
                  <w:tcBorders>
                    <w:top w:val="nil"/>
                    <w:left w:val="nil"/>
                    <w:bottom w:val="nil"/>
                    <w:right w:val="nil"/>
                  </w:tcBorders>
                  <w:shd w:val="clear" w:color="auto" w:fill="auto"/>
                  <w:noWrap/>
                  <w:vAlign w:val="bottom"/>
                </w:tcPr>
                <w:p w:rsidR="00BE6707" w:rsidRPr="00471B29" w:rsidRDefault="00BE6707" w:rsidP="00C73D07">
                  <w:pPr>
                    <w:jc w:val="right"/>
                    <w:rPr>
                      <w:rFonts w:ascii="Arial" w:hAnsi="Arial" w:cs="Arial"/>
                      <w:color w:val="000000"/>
                      <w:sz w:val="18"/>
                      <w:szCs w:val="18"/>
                      <w:lang w:eastAsia="zh-CN"/>
                    </w:rPr>
                  </w:pPr>
                </w:p>
              </w:tc>
            </w:tr>
            <w:tr w:rsidR="00BE6707" w:rsidRPr="00471B29" w:rsidTr="00471B29">
              <w:trPr>
                <w:trHeight w:val="288"/>
                <w:jc w:val="center"/>
              </w:trPr>
              <w:tc>
                <w:tcPr>
                  <w:tcW w:w="851" w:type="dxa"/>
                  <w:tcBorders>
                    <w:top w:val="nil"/>
                    <w:left w:val="nil"/>
                    <w:right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nil"/>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AUS</w:t>
                  </w:r>
                  <w:proofErr w:type="spellEnd"/>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CHN</w:t>
                  </w:r>
                  <w:proofErr w:type="spellEnd"/>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JPN</w:t>
                  </w:r>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USA</w:t>
                  </w:r>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EUN</w:t>
                  </w:r>
                  <w:proofErr w:type="spellEnd"/>
                </w:p>
              </w:tc>
              <w:tc>
                <w:tcPr>
                  <w:tcW w:w="960" w:type="dxa"/>
                  <w:tcBorders>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ROW</w:t>
                  </w:r>
                </w:p>
              </w:tc>
              <w:tc>
                <w:tcPr>
                  <w:tcW w:w="1107"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Total</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AUS</w:t>
                  </w:r>
                  <w:proofErr w:type="spellEnd"/>
                </w:p>
              </w:tc>
              <w:tc>
                <w:tcPr>
                  <w:tcW w:w="960" w:type="dxa"/>
                  <w:tcBorders>
                    <w:top w:val="single" w:sz="4" w:space="0" w:color="BFBFBF"/>
                    <w:left w:val="single" w:sz="4" w:space="0" w:color="BFBFBF"/>
                    <w:bottom w:val="nil"/>
                    <w:right w:val="nil"/>
                  </w:tcBorders>
                  <w:shd w:val="clear" w:color="auto" w:fill="DDDDDD"/>
                  <w:noWrap/>
                  <w:vAlign w:val="bottom"/>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rPr>
                    <w:t>0</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0.5</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7.6</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4.7</w:t>
                  </w:r>
                </w:p>
              </w:tc>
              <w:tc>
                <w:tcPr>
                  <w:tcW w:w="960" w:type="dxa"/>
                  <w:tcBorders>
                    <w:top w:val="single" w:sz="4" w:space="0" w:color="BFBFBF"/>
                    <w:left w:val="nil"/>
                    <w:bottom w:val="nil"/>
                    <w:right w:val="single" w:sz="4" w:space="0" w:color="BFBFBF"/>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5.8</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19.6</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CHN</w:t>
                  </w:r>
                  <w:proofErr w:type="spellEnd"/>
                </w:p>
              </w:tc>
              <w:tc>
                <w:tcPr>
                  <w:tcW w:w="960"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0.2</w:t>
                  </w:r>
                </w:p>
              </w:tc>
              <w:tc>
                <w:tcPr>
                  <w:tcW w:w="960" w:type="dxa"/>
                  <w:tcBorders>
                    <w:top w:val="nil"/>
                    <w:left w:val="nil"/>
                    <w:bottom w:val="nil"/>
                    <w:right w:val="nil"/>
                  </w:tcBorders>
                  <w:shd w:val="clear" w:color="auto" w:fill="DDDDDD"/>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0.6</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7.4</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4.3</w:t>
                  </w:r>
                </w:p>
              </w:tc>
              <w:tc>
                <w:tcPr>
                  <w:tcW w:w="960" w:type="dxa"/>
                  <w:tcBorders>
                    <w:top w:val="nil"/>
                    <w:left w:val="nil"/>
                    <w:bottom w:val="nil"/>
                    <w:right w:val="single" w:sz="4" w:space="0" w:color="BFBFBF"/>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15.3</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i/>
                      <w:color w:val="000000"/>
                      <w:sz w:val="18"/>
                      <w:szCs w:val="18"/>
                      <w:lang w:eastAsia="zh-CN"/>
                    </w:rPr>
                  </w:pP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r w:rsidRPr="00471B29">
                    <w:rPr>
                      <w:rFonts w:ascii="Arial" w:hAnsi="Arial" w:cs="Arial"/>
                      <w:color w:val="000000"/>
                      <w:sz w:val="18"/>
                      <w:szCs w:val="18"/>
                      <w:lang w:eastAsia="zh-CN"/>
                    </w:rPr>
                    <w:t>JPN</w:t>
                  </w:r>
                </w:p>
              </w:tc>
              <w:tc>
                <w:tcPr>
                  <w:tcW w:w="960"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5.0</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5.3</w:t>
                  </w:r>
                </w:p>
              </w:tc>
              <w:tc>
                <w:tcPr>
                  <w:tcW w:w="960" w:type="dxa"/>
                  <w:tcBorders>
                    <w:top w:val="nil"/>
                    <w:left w:val="nil"/>
                    <w:bottom w:val="nil"/>
                    <w:right w:val="nil"/>
                  </w:tcBorders>
                  <w:shd w:val="clear" w:color="auto" w:fill="DDDDDD"/>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108.5</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50.1</w:t>
                  </w:r>
                </w:p>
              </w:tc>
              <w:tc>
                <w:tcPr>
                  <w:tcW w:w="960" w:type="dxa"/>
                  <w:tcBorders>
                    <w:top w:val="nil"/>
                    <w:left w:val="nil"/>
                    <w:bottom w:val="nil"/>
                    <w:right w:val="single" w:sz="4" w:space="0" w:color="BFBFBF"/>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46.0</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214.9</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color w:val="000000"/>
                      <w:sz w:val="18"/>
                      <w:szCs w:val="18"/>
                      <w:lang w:eastAsia="zh-CN"/>
                    </w:rPr>
                  </w:pPr>
                  <w:r w:rsidRPr="00471B29">
                    <w:rPr>
                      <w:rFonts w:ascii="Arial" w:hAnsi="Arial" w:cs="Arial"/>
                      <w:i/>
                      <w:color w:val="000000"/>
                      <w:sz w:val="18"/>
                      <w:szCs w:val="18"/>
                      <w:lang w:eastAsia="zh-CN"/>
                    </w:rPr>
                    <w:t>From</w:t>
                  </w: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r w:rsidRPr="00471B29">
                    <w:rPr>
                      <w:rFonts w:ascii="Arial" w:hAnsi="Arial" w:cs="Arial"/>
                      <w:color w:val="000000"/>
                      <w:sz w:val="18"/>
                      <w:szCs w:val="18"/>
                      <w:lang w:eastAsia="zh-CN"/>
                    </w:rPr>
                    <w:t>USA</w:t>
                  </w:r>
                </w:p>
              </w:tc>
              <w:tc>
                <w:tcPr>
                  <w:tcW w:w="960"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27.0</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7.7</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28.3</w:t>
                  </w:r>
                </w:p>
              </w:tc>
              <w:tc>
                <w:tcPr>
                  <w:tcW w:w="960" w:type="dxa"/>
                  <w:tcBorders>
                    <w:top w:val="nil"/>
                    <w:left w:val="nil"/>
                    <w:bottom w:val="nil"/>
                    <w:right w:val="nil"/>
                  </w:tcBorders>
                  <w:shd w:val="clear" w:color="auto" w:fill="DDDDDD"/>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342.9</w:t>
                  </w:r>
                </w:p>
              </w:tc>
              <w:tc>
                <w:tcPr>
                  <w:tcW w:w="960" w:type="dxa"/>
                  <w:tcBorders>
                    <w:top w:val="nil"/>
                    <w:left w:val="nil"/>
                    <w:bottom w:val="nil"/>
                    <w:right w:val="single" w:sz="4" w:space="0" w:color="BFBFBF"/>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290.9</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696.8</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EUN</w:t>
                  </w:r>
                  <w:proofErr w:type="spellEnd"/>
                </w:p>
              </w:tc>
              <w:tc>
                <w:tcPr>
                  <w:tcW w:w="960"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11.9</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5.8</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10.1</w:t>
                  </w:r>
                </w:p>
              </w:tc>
              <w:tc>
                <w:tcPr>
                  <w:tcW w:w="960"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282.2</w:t>
                  </w:r>
                </w:p>
              </w:tc>
              <w:tc>
                <w:tcPr>
                  <w:tcW w:w="960" w:type="dxa"/>
                  <w:tcBorders>
                    <w:top w:val="nil"/>
                    <w:left w:val="nil"/>
                    <w:bottom w:val="nil"/>
                    <w:right w:val="nil"/>
                  </w:tcBorders>
                  <w:shd w:val="clear" w:color="auto" w:fill="DDDDDD"/>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w:t>
                  </w:r>
                </w:p>
              </w:tc>
              <w:tc>
                <w:tcPr>
                  <w:tcW w:w="960" w:type="dxa"/>
                  <w:tcBorders>
                    <w:top w:val="nil"/>
                    <w:left w:val="nil"/>
                    <w:bottom w:val="nil"/>
                    <w:right w:val="single" w:sz="4" w:space="0" w:color="BFBFBF"/>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205.5</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515.5</w:t>
                  </w:r>
                </w:p>
              </w:tc>
            </w:tr>
            <w:tr w:rsidR="00BE6707" w:rsidRPr="00471B29" w:rsidTr="00471B29">
              <w:trPr>
                <w:trHeight w:val="288"/>
                <w:jc w:val="center"/>
              </w:trPr>
              <w:tc>
                <w:tcPr>
                  <w:tcW w:w="851" w:type="dxa"/>
                  <w:tcBorders>
                    <w:top w:val="nil"/>
                    <w:left w:val="nil"/>
                    <w:bottom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single" w:sz="4" w:space="0" w:color="BFBFBF"/>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r w:rsidRPr="00471B29">
                    <w:rPr>
                      <w:rFonts w:ascii="Arial" w:hAnsi="Arial" w:cs="Arial"/>
                      <w:color w:val="000000"/>
                      <w:sz w:val="18"/>
                      <w:szCs w:val="18"/>
                      <w:lang w:eastAsia="zh-CN"/>
                    </w:rPr>
                    <w:t>ROW</w:t>
                  </w:r>
                </w:p>
              </w:tc>
              <w:tc>
                <w:tcPr>
                  <w:tcW w:w="960" w:type="dxa"/>
                  <w:tcBorders>
                    <w:top w:val="nil"/>
                    <w:left w:val="single" w:sz="4" w:space="0" w:color="BFBFBF"/>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4.4</w:t>
                  </w:r>
                </w:p>
              </w:tc>
              <w:tc>
                <w:tcPr>
                  <w:tcW w:w="960" w:type="dxa"/>
                  <w:tcBorders>
                    <w:top w:val="nil"/>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9.0</w:t>
                  </w:r>
                </w:p>
              </w:tc>
              <w:tc>
                <w:tcPr>
                  <w:tcW w:w="960" w:type="dxa"/>
                  <w:tcBorders>
                    <w:top w:val="nil"/>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6.0</w:t>
                  </w:r>
                </w:p>
              </w:tc>
              <w:tc>
                <w:tcPr>
                  <w:tcW w:w="960" w:type="dxa"/>
                  <w:tcBorders>
                    <w:top w:val="nil"/>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124.9</w:t>
                  </w:r>
                </w:p>
              </w:tc>
              <w:tc>
                <w:tcPr>
                  <w:tcW w:w="960" w:type="dxa"/>
                  <w:tcBorders>
                    <w:top w:val="nil"/>
                    <w:left w:val="nil"/>
                    <w:bottom w:val="single" w:sz="4" w:space="0" w:color="BFBFBF"/>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131.3</w:t>
                  </w:r>
                </w:p>
              </w:tc>
              <w:tc>
                <w:tcPr>
                  <w:tcW w:w="960" w:type="dxa"/>
                  <w:tcBorders>
                    <w:top w:val="nil"/>
                    <w:left w:val="nil"/>
                    <w:bottom w:val="single" w:sz="4" w:space="0" w:color="BFBFBF"/>
                    <w:right w:val="single" w:sz="4" w:space="0" w:color="BFBFBF"/>
                  </w:tcBorders>
                  <w:shd w:val="clear" w:color="auto" w:fill="DDDDDD"/>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w:t>
                  </w:r>
                </w:p>
              </w:tc>
              <w:tc>
                <w:tcPr>
                  <w:tcW w:w="1107" w:type="dxa"/>
                  <w:tcBorders>
                    <w:top w:val="nil"/>
                    <w:left w:val="single" w:sz="4" w:space="0" w:color="BFBFBF"/>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275.6</w:t>
                  </w:r>
                </w:p>
              </w:tc>
            </w:tr>
            <w:tr w:rsidR="00BE6707" w:rsidRPr="00471B29" w:rsidTr="00471B29">
              <w:trPr>
                <w:trHeight w:val="288"/>
                <w:jc w:val="center"/>
              </w:trPr>
              <w:tc>
                <w:tcPr>
                  <w:tcW w:w="851" w:type="dxa"/>
                  <w:tcBorders>
                    <w:top w:val="nil"/>
                    <w:left w:val="nil"/>
                    <w:bottom w:val="nil"/>
                    <w:right w:val="nil"/>
                  </w:tcBorders>
                  <w:vAlign w:val="bottom"/>
                </w:tcPr>
                <w:p w:rsidR="00BE6707" w:rsidRPr="00471B29" w:rsidRDefault="00BE6707" w:rsidP="00C73D07">
                  <w:pPr>
                    <w:rPr>
                      <w:rFonts w:ascii="Arial" w:hAnsi="Arial" w:cs="Arial"/>
                      <w:color w:val="000000"/>
                      <w:sz w:val="18"/>
                      <w:szCs w:val="18"/>
                      <w:lang w:eastAsia="zh-CN"/>
                    </w:rPr>
                  </w:pPr>
                </w:p>
              </w:tc>
              <w:tc>
                <w:tcPr>
                  <w:tcW w:w="787" w:type="dxa"/>
                  <w:tcBorders>
                    <w:top w:val="nil"/>
                    <w:left w:val="nil"/>
                    <w:bottom w:val="nil"/>
                    <w:right w:val="nil"/>
                  </w:tcBorders>
                  <w:shd w:val="clear" w:color="auto" w:fill="auto"/>
                  <w:noWrap/>
                  <w:vAlign w:val="bottom"/>
                  <w:hideMark/>
                </w:tcPr>
                <w:p w:rsidR="00BE6707" w:rsidRPr="00471B29" w:rsidRDefault="00BE6707" w:rsidP="00C73D07">
                  <w:pPr>
                    <w:rPr>
                      <w:rFonts w:ascii="Arial" w:hAnsi="Arial" w:cs="Arial"/>
                      <w:color w:val="000000"/>
                      <w:sz w:val="18"/>
                      <w:szCs w:val="18"/>
                      <w:lang w:eastAsia="zh-CN"/>
                    </w:rPr>
                  </w:pPr>
                  <w:r w:rsidRPr="00471B29">
                    <w:rPr>
                      <w:rFonts w:ascii="Arial" w:hAnsi="Arial" w:cs="Arial"/>
                      <w:color w:val="000000"/>
                      <w:sz w:val="18"/>
                      <w:szCs w:val="18"/>
                      <w:lang w:eastAsia="zh-CN"/>
                    </w:rPr>
                    <w:t>Total</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48.5</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28.2</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46.1</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530.7</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533.1</w:t>
                  </w:r>
                </w:p>
              </w:tc>
              <w:tc>
                <w:tcPr>
                  <w:tcW w:w="960" w:type="dxa"/>
                  <w:tcBorders>
                    <w:top w:val="single" w:sz="4" w:space="0" w:color="BFBFBF"/>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551.0</w:t>
                  </w:r>
                </w:p>
              </w:tc>
              <w:tc>
                <w:tcPr>
                  <w:tcW w:w="1107" w:type="dxa"/>
                  <w:tcBorders>
                    <w:top w:val="nil"/>
                    <w:left w:val="nil"/>
                    <w:bottom w:val="nil"/>
                    <w:right w:val="nil"/>
                  </w:tcBorders>
                  <w:shd w:val="clear" w:color="auto" w:fill="auto"/>
                  <w:noWrap/>
                  <w:vAlign w:val="bottom"/>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1,737.7</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0730B8">
            <w:pPr>
              <w:pStyle w:val="Source"/>
            </w:pPr>
            <w:r>
              <w:rPr>
                <w:i/>
              </w:rPr>
              <w:t>Source</w:t>
            </w:r>
            <w:r w:rsidRPr="00167F06">
              <w:t>:</w:t>
            </w:r>
            <w:r>
              <w:t xml:space="preserve"> </w:t>
            </w:r>
            <w:r w:rsidRPr="001A35D6">
              <w:t xml:space="preserve">Productivity Commission </w:t>
            </w:r>
            <w:proofErr w:type="spellStart"/>
            <w:r w:rsidRPr="001A35D6">
              <w:t>2010b</w:t>
            </w:r>
            <w:proofErr w:type="spellEnd"/>
            <w:r w:rsidRPr="00693C10">
              <w:rPr>
                <w:szCs w:val="18"/>
              </w:rPr>
              <w:t>.</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BE6707" w:rsidP="00BE6707">
      <w:pPr>
        <w:pStyle w:val="BodyText"/>
      </w:pPr>
      <w:r>
        <w:lastRenderedPageBreak/>
        <w:t xml:space="preserve">The bilateral gross saving-investment matrix is shown in table </w:t>
      </w:r>
      <w:proofErr w:type="spellStart"/>
      <w:r>
        <w:t>A2</w:t>
      </w:r>
      <w:proofErr w:type="spellEnd"/>
      <w:r>
        <w:t>, which is extended from the national saving and investment data, implied in the database with additional data from the IMF</w:t>
      </w:r>
      <w:r w:rsidR="000E1241">
        <w:t>’s</w:t>
      </w:r>
      <w:r>
        <w:t xml:space="preserve"> </w:t>
      </w:r>
      <w:r w:rsidR="000E1241" w:rsidRPr="000E1241">
        <w:rPr>
          <w:i/>
        </w:rPr>
        <w:t>I</w:t>
      </w:r>
      <w:r w:rsidRPr="000E1241">
        <w:rPr>
          <w:i/>
        </w:rPr>
        <w:t xml:space="preserve">nternational </w:t>
      </w:r>
      <w:r w:rsidR="000E1241" w:rsidRPr="000E1241">
        <w:rPr>
          <w:i/>
        </w:rPr>
        <w:t>F</w:t>
      </w:r>
      <w:r w:rsidRPr="000E1241">
        <w:rPr>
          <w:i/>
        </w:rPr>
        <w:t xml:space="preserve">inancial </w:t>
      </w:r>
      <w:r w:rsidR="000E1241" w:rsidRPr="000E1241">
        <w:rPr>
          <w:i/>
        </w:rPr>
        <w:t>S</w:t>
      </w:r>
      <w:r w:rsidRPr="000E1241">
        <w:rPr>
          <w:i/>
        </w:rPr>
        <w:t>tatistics</w:t>
      </w:r>
      <w:r>
        <w:t xml:space="preserve"> (IMF).</w:t>
      </w:r>
      <w:r w:rsidRPr="00C3262B">
        <w:rPr>
          <w:rStyle w:val="FootnoteReference"/>
        </w:rPr>
        <w:footnoteReference w:id="7"/>
      </w:r>
    </w:p>
    <w:p w:rsidR="00BE6707" w:rsidRDefault="00BE6707" w:rsidP="000730B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C73D07">
            <w:pPr>
              <w:pStyle w:val="TableTitle"/>
              <w:ind w:right="-142"/>
            </w:pPr>
            <w:r w:rsidRPr="00604ACB">
              <w:rPr>
                <w:b w:val="0"/>
              </w:rPr>
              <w:t xml:space="preserve">Table </w:t>
            </w:r>
            <w:r>
              <w:rPr>
                <w:b w:val="0"/>
                <w:noProof/>
              </w:rPr>
              <w:t>A2</w:t>
            </w:r>
            <w:r w:rsidRPr="00604ACB">
              <w:tab/>
            </w:r>
            <w:r w:rsidRPr="00C905FF">
              <w:rPr>
                <w:rFonts w:ascii="Arial Bold" w:hAnsi="Arial Bold"/>
                <w:spacing w:val="-4"/>
              </w:rPr>
              <w:t xml:space="preserve">Gross saving-investment matrix for selected countries </w:t>
            </w:r>
            <w:r>
              <w:rPr>
                <w:rFonts w:ascii="Arial Bold" w:hAnsi="Arial Bold"/>
                <w:spacing w:val="-4"/>
              </w:rPr>
              <w:br/>
            </w:r>
            <w:r w:rsidRPr="00C905FF">
              <w:rPr>
                <w:rFonts w:ascii="Arial Bold" w:hAnsi="Arial Bold"/>
                <w:spacing w:val="-4"/>
              </w:rPr>
              <w:t>(US$ billion)</w:t>
            </w:r>
          </w:p>
        </w:tc>
      </w:tr>
      <w:tr w:rsidR="00BE6707" w:rsidRPr="005136D8" w:rsidTr="00C73D07">
        <w:tc>
          <w:tcPr>
            <w:tcW w:w="5000" w:type="pct"/>
            <w:tcBorders>
              <w:top w:val="nil"/>
              <w:left w:val="nil"/>
              <w:bottom w:val="nil"/>
              <w:right w:val="nil"/>
            </w:tcBorders>
            <w:shd w:val="clear" w:color="auto" w:fill="auto"/>
          </w:tcPr>
          <w:tbl>
            <w:tblPr>
              <w:tblW w:w="8574" w:type="dxa"/>
              <w:jc w:val="center"/>
              <w:tblLook w:val="04A0" w:firstRow="1" w:lastRow="0" w:firstColumn="1" w:lastColumn="0" w:noHBand="0" w:noVBand="1"/>
            </w:tblPr>
            <w:tblGrid>
              <w:gridCol w:w="780"/>
              <w:gridCol w:w="922"/>
              <w:gridCol w:w="968"/>
              <w:gridCol w:w="969"/>
              <w:gridCol w:w="968"/>
              <w:gridCol w:w="969"/>
              <w:gridCol w:w="968"/>
              <w:gridCol w:w="969"/>
              <w:gridCol w:w="1061"/>
            </w:tblGrid>
            <w:tr w:rsidR="00BE6707" w:rsidRPr="00471B29" w:rsidTr="00C73D07">
              <w:trPr>
                <w:trHeight w:val="288"/>
                <w:jc w:val="center"/>
              </w:trPr>
              <w:tc>
                <w:tcPr>
                  <w:tcW w:w="780" w:type="dxa"/>
                  <w:tcBorders>
                    <w:top w:val="nil"/>
                    <w:left w:val="nil"/>
                    <w:right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right w:val="nil"/>
                  </w:tcBorders>
                  <w:shd w:val="clear" w:color="auto" w:fill="auto"/>
                  <w:noWrap/>
                  <w:vAlign w:val="center"/>
                </w:tcPr>
                <w:p w:rsidR="00BE6707" w:rsidRPr="00471B29" w:rsidRDefault="00BE6707" w:rsidP="00C73D07">
                  <w:pPr>
                    <w:jc w:val="both"/>
                    <w:rPr>
                      <w:rFonts w:ascii="Arial" w:hAnsi="Arial" w:cs="Arial"/>
                      <w:color w:val="000000"/>
                      <w:sz w:val="18"/>
                      <w:szCs w:val="18"/>
                      <w:lang w:eastAsia="zh-CN"/>
                    </w:rPr>
                  </w:pPr>
                </w:p>
              </w:tc>
              <w:tc>
                <w:tcPr>
                  <w:tcW w:w="968"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c>
                <w:tcPr>
                  <w:tcW w:w="969"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c>
                <w:tcPr>
                  <w:tcW w:w="968"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c>
                <w:tcPr>
                  <w:tcW w:w="969" w:type="dxa"/>
                  <w:tcBorders>
                    <w:top w:val="nil"/>
                    <w:left w:val="nil"/>
                    <w:right w:val="nil"/>
                  </w:tcBorders>
                  <w:shd w:val="clear" w:color="auto" w:fill="auto"/>
                  <w:noWrap/>
                  <w:vAlign w:val="center"/>
                </w:tcPr>
                <w:p w:rsidR="00BE6707" w:rsidRPr="00471B29" w:rsidRDefault="00BE6707" w:rsidP="00C73D07">
                  <w:pPr>
                    <w:rPr>
                      <w:rFonts w:ascii="Arial" w:hAnsi="Arial" w:cs="Arial"/>
                      <w:i/>
                      <w:color w:val="000000"/>
                      <w:sz w:val="18"/>
                      <w:szCs w:val="18"/>
                      <w:lang w:eastAsia="zh-CN"/>
                    </w:rPr>
                  </w:pPr>
                  <w:r w:rsidRPr="00471B29">
                    <w:rPr>
                      <w:rFonts w:ascii="Arial" w:hAnsi="Arial" w:cs="Arial"/>
                      <w:i/>
                      <w:color w:val="000000"/>
                      <w:sz w:val="18"/>
                      <w:szCs w:val="18"/>
                      <w:lang w:eastAsia="zh-CN"/>
                    </w:rPr>
                    <w:t>To</w:t>
                  </w:r>
                </w:p>
              </w:tc>
              <w:tc>
                <w:tcPr>
                  <w:tcW w:w="968"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c>
                <w:tcPr>
                  <w:tcW w:w="969"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c>
                <w:tcPr>
                  <w:tcW w:w="1061" w:type="dxa"/>
                  <w:tcBorders>
                    <w:top w:val="nil"/>
                    <w:left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lang w:eastAsia="zh-CN"/>
                    </w:rPr>
                  </w:pPr>
                </w:p>
              </w:tc>
            </w:tr>
            <w:tr w:rsidR="00BE6707" w:rsidRPr="00471B29" w:rsidTr="00471B29">
              <w:trPr>
                <w:trHeight w:val="288"/>
                <w:jc w:val="center"/>
              </w:trPr>
              <w:tc>
                <w:tcPr>
                  <w:tcW w:w="780" w:type="dxa"/>
                  <w:tcBorders>
                    <w:left w:val="nil"/>
                    <w:right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left w:val="nil"/>
                    <w:bottom w:val="nil"/>
                    <w:right w:val="nil"/>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p>
              </w:tc>
              <w:tc>
                <w:tcPr>
                  <w:tcW w:w="968"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AUS</w:t>
                  </w:r>
                  <w:proofErr w:type="spellEnd"/>
                </w:p>
              </w:tc>
              <w:tc>
                <w:tcPr>
                  <w:tcW w:w="969"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CHN</w:t>
                  </w:r>
                  <w:proofErr w:type="spellEnd"/>
                </w:p>
              </w:tc>
              <w:tc>
                <w:tcPr>
                  <w:tcW w:w="968"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JPN</w:t>
                  </w:r>
                </w:p>
              </w:tc>
              <w:tc>
                <w:tcPr>
                  <w:tcW w:w="969"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USA</w:t>
                  </w:r>
                </w:p>
              </w:tc>
              <w:tc>
                <w:tcPr>
                  <w:tcW w:w="968"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EUN</w:t>
                  </w:r>
                  <w:proofErr w:type="spellEnd"/>
                </w:p>
              </w:tc>
              <w:tc>
                <w:tcPr>
                  <w:tcW w:w="969"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ROW</w:t>
                  </w:r>
                </w:p>
              </w:tc>
              <w:tc>
                <w:tcPr>
                  <w:tcW w:w="1061" w:type="dxa"/>
                  <w:tcBorders>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Total</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AUS</w:t>
                  </w:r>
                  <w:proofErr w:type="spellEnd"/>
                </w:p>
              </w:tc>
              <w:tc>
                <w:tcPr>
                  <w:tcW w:w="968" w:type="dxa"/>
                  <w:tcBorders>
                    <w:top w:val="single" w:sz="4" w:space="0" w:color="BFBFBF"/>
                    <w:left w:val="single" w:sz="4" w:space="0" w:color="BFBFBF"/>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rPr>
                    <w:t>101.7</w:t>
                  </w:r>
                </w:p>
              </w:tc>
              <w:tc>
                <w:tcPr>
                  <w:tcW w:w="969"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0.1</w:t>
                  </w:r>
                </w:p>
              </w:tc>
              <w:tc>
                <w:tcPr>
                  <w:tcW w:w="968"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0.4</w:t>
                  </w:r>
                </w:p>
              </w:tc>
              <w:tc>
                <w:tcPr>
                  <w:tcW w:w="969"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6.0</w:t>
                  </w:r>
                </w:p>
              </w:tc>
              <w:tc>
                <w:tcPr>
                  <w:tcW w:w="968"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2.6</w:t>
                  </w:r>
                </w:p>
              </w:tc>
              <w:tc>
                <w:tcPr>
                  <w:tcW w:w="969" w:type="dxa"/>
                  <w:tcBorders>
                    <w:top w:val="single" w:sz="4" w:space="0" w:color="BFBFBF"/>
                    <w:left w:val="nil"/>
                    <w:bottom w:val="nil"/>
                    <w:right w:val="single" w:sz="4" w:space="0" w:color="BFBFBF"/>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2.7</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113.3</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CHN</w:t>
                  </w:r>
                  <w:proofErr w:type="spellEnd"/>
                </w:p>
              </w:tc>
              <w:tc>
                <w:tcPr>
                  <w:tcW w:w="968"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1.9</w:t>
                  </w:r>
                </w:p>
              </w:tc>
              <w:tc>
                <w:tcPr>
                  <w:tcW w:w="969"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679.9</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1.9</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55.6</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22.3</w:t>
                  </w:r>
                </w:p>
              </w:tc>
              <w:tc>
                <w:tcPr>
                  <w:tcW w:w="969"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8.7</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770.3</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r w:rsidRPr="00471B29">
                    <w:rPr>
                      <w:rFonts w:ascii="Arial" w:hAnsi="Arial" w:cs="Arial"/>
                      <w:color w:val="000000"/>
                      <w:sz w:val="18"/>
                      <w:szCs w:val="18"/>
                      <w:lang w:eastAsia="zh-CN"/>
                    </w:rPr>
                    <w:t>JPN</w:t>
                  </w:r>
                </w:p>
              </w:tc>
              <w:tc>
                <w:tcPr>
                  <w:tcW w:w="968"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9.9</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1.8</w:t>
                  </w:r>
                </w:p>
              </w:tc>
              <w:tc>
                <w:tcPr>
                  <w:tcW w:w="968"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1,074.0</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199.0</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63.9</w:t>
                  </w:r>
                </w:p>
              </w:tc>
              <w:tc>
                <w:tcPr>
                  <w:tcW w:w="969"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31.3</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1,380.0</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i/>
                      <w:color w:val="000000"/>
                      <w:sz w:val="18"/>
                      <w:szCs w:val="18"/>
                      <w:lang w:eastAsia="zh-CN"/>
                    </w:rPr>
                  </w:pPr>
                  <w:r w:rsidRPr="00471B29">
                    <w:rPr>
                      <w:rFonts w:ascii="Arial" w:hAnsi="Arial" w:cs="Arial"/>
                      <w:i/>
                      <w:color w:val="000000"/>
                      <w:sz w:val="18"/>
                      <w:szCs w:val="18"/>
                      <w:lang w:eastAsia="zh-CN"/>
                    </w:rPr>
                    <w:t>From</w:t>
                  </w: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r w:rsidRPr="00471B29">
                    <w:rPr>
                      <w:rFonts w:ascii="Arial" w:hAnsi="Arial" w:cs="Arial"/>
                      <w:color w:val="000000"/>
                      <w:sz w:val="18"/>
                      <w:szCs w:val="18"/>
                      <w:lang w:eastAsia="zh-CN"/>
                    </w:rPr>
                    <w:t>USA</w:t>
                  </w:r>
                </w:p>
              </w:tc>
              <w:tc>
                <w:tcPr>
                  <w:tcW w:w="968"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22.0</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8.8</w:t>
                  </w:r>
                </w:p>
              </w:tc>
              <w:tc>
                <w:tcPr>
                  <w:tcW w:w="969"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1,453.8</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179.1</w:t>
                  </w:r>
                </w:p>
              </w:tc>
              <w:tc>
                <w:tcPr>
                  <w:tcW w:w="969"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131.8</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1,796.6</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EUN</w:t>
                  </w:r>
                  <w:proofErr w:type="spellEnd"/>
                </w:p>
              </w:tc>
              <w:tc>
                <w:tcPr>
                  <w:tcW w:w="968"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11.5</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w:t>
                  </w:r>
                </w:p>
              </w:tc>
              <w:tc>
                <w:tcPr>
                  <w:tcW w:w="968"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3.7</w:t>
                  </w:r>
                </w:p>
              </w:tc>
              <w:tc>
                <w:tcPr>
                  <w:tcW w:w="969"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251.5</w:t>
                  </w:r>
                </w:p>
              </w:tc>
              <w:tc>
                <w:tcPr>
                  <w:tcW w:w="968"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2,108.6</w:t>
                  </w:r>
                </w:p>
              </w:tc>
              <w:tc>
                <w:tcPr>
                  <w:tcW w:w="969"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94.7</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2,471.1</w:t>
                  </w:r>
                </w:p>
              </w:tc>
            </w:tr>
            <w:tr w:rsidR="00BE6707" w:rsidRPr="00471B29" w:rsidTr="00471B29">
              <w:trPr>
                <w:trHeight w:val="288"/>
                <w:jc w:val="center"/>
              </w:trPr>
              <w:tc>
                <w:tcPr>
                  <w:tcW w:w="780" w:type="dxa"/>
                  <w:tcBorders>
                    <w:top w:val="nil"/>
                    <w:left w:val="nil"/>
                    <w:bottom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single" w:sz="4" w:space="0" w:color="BFBFBF"/>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r w:rsidRPr="00471B29">
                    <w:rPr>
                      <w:rFonts w:ascii="Arial" w:hAnsi="Arial" w:cs="Arial"/>
                      <w:color w:val="000000"/>
                      <w:sz w:val="18"/>
                      <w:szCs w:val="18"/>
                      <w:lang w:eastAsia="zh-CN"/>
                    </w:rPr>
                    <w:t>ROW</w:t>
                  </w:r>
                </w:p>
              </w:tc>
              <w:tc>
                <w:tcPr>
                  <w:tcW w:w="968" w:type="dxa"/>
                  <w:tcBorders>
                    <w:top w:val="nil"/>
                    <w:left w:val="single" w:sz="4" w:space="0" w:color="BFBFBF"/>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9.5</w:t>
                  </w:r>
                </w:p>
              </w:tc>
              <w:tc>
                <w:tcPr>
                  <w:tcW w:w="969" w:type="dxa"/>
                  <w:tcBorders>
                    <w:top w:val="nil"/>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4.5</w:t>
                  </w:r>
                </w:p>
              </w:tc>
              <w:tc>
                <w:tcPr>
                  <w:tcW w:w="968" w:type="dxa"/>
                  <w:tcBorders>
                    <w:top w:val="nil"/>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6.1</w:t>
                  </w:r>
                </w:p>
              </w:tc>
              <w:tc>
                <w:tcPr>
                  <w:tcW w:w="969" w:type="dxa"/>
                  <w:tcBorders>
                    <w:top w:val="nil"/>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232.4</w:t>
                  </w:r>
                </w:p>
              </w:tc>
              <w:tc>
                <w:tcPr>
                  <w:tcW w:w="968" w:type="dxa"/>
                  <w:tcBorders>
                    <w:top w:val="nil"/>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158.8</w:t>
                  </w:r>
                </w:p>
              </w:tc>
              <w:tc>
                <w:tcPr>
                  <w:tcW w:w="969" w:type="dxa"/>
                  <w:tcBorders>
                    <w:top w:val="nil"/>
                    <w:left w:val="nil"/>
                    <w:bottom w:val="single" w:sz="4" w:space="0" w:color="BFBFBF"/>
                    <w:right w:val="single" w:sz="4" w:space="0" w:color="BFBFBF"/>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1,787.1</w:t>
                  </w:r>
                </w:p>
              </w:tc>
              <w:tc>
                <w:tcPr>
                  <w:tcW w:w="1061" w:type="dxa"/>
                  <w:tcBorders>
                    <w:top w:val="nil"/>
                    <w:left w:val="single" w:sz="4" w:space="0" w:color="BFBFBF"/>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2,198.5</w:t>
                  </w:r>
                </w:p>
              </w:tc>
            </w:tr>
            <w:tr w:rsidR="00BE6707" w:rsidRPr="00471B29" w:rsidTr="00471B29">
              <w:trPr>
                <w:trHeight w:val="288"/>
                <w:jc w:val="center"/>
              </w:trPr>
              <w:tc>
                <w:tcPr>
                  <w:tcW w:w="780" w:type="dxa"/>
                  <w:tcBorders>
                    <w:top w:val="nil"/>
                    <w:left w:val="nil"/>
                    <w:bottom w:val="nil"/>
                    <w:right w:val="nil"/>
                  </w:tcBorders>
                  <w:vAlign w:val="center"/>
                </w:tcPr>
                <w:p w:rsidR="00BE6707" w:rsidRPr="00471B29" w:rsidRDefault="00BE6707" w:rsidP="00C73D07">
                  <w:pPr>
                    <w:jc w:val="both"/>
                    <w:rPr>
                      <w:rFonts w:ascii="Arial" w:hAnsi="Arial" w:cs="Arial"/>
                      <w:color w:val="000000"/>
                      <w:sz w:val="18"/>
                      <w:szCs w:val="18"/>
                      <w:lang w:eastAsia="zh-CN"/>
                    </w:rPr>
                  </w:pPr>
                </w:p>
              </w:tc>
              <w:tc>
                <w:tcPr>
                  <w:tcW w:w="922" w:type="dxa"/>
                  <w:tcBorders>
                    <w:top w:val="nil"/>
                    <w:left w:val="nil"/>
                    <w:bottom w:val="nil"/>
                    <w:right w:val="nil"/>
                  </w:tcBorders>
                  <w:shd w:val="clear" w:color="auto" w:fill="auto"/>
                  <w:noWrap/>
                  <w:vAlign w:val="center"/>
                  <w:hideMark/>
                </w:tcPr>
                <w:p w:rsidR="00BE6707" w:rsidRPr="00471B29" w:rsidRDefault="00BE6707" w:rsidP="00C73D07">
                  <w:pPr>
                    <w:jc w:val="both"/>
                    <w:rPr>
                      <w:rFonts w:ascii="Arial" w:hAnsi="Arial" w:cs="Arial"/>
                      <w:color w:val="000000"/>
                      <w:sz w:val="18"/>
                      <w:szCs w:val="18"/>
                      <w:lang w:eastAsia="zh-CN"/>
                    </w:rPr>
                  </w:pPr>
                  <w:r w:rsidRPr="00471B29">
                    <w:rPr>
                      <w:rFonts w:ascii="Arial" w:hAnsi="Arial" w:cs="Arial"/>
                      <w:color w:val="000000"/>
                      <w:sz w:val="18"/>
                      <w:szCs w:val="18"/>
                      <w:lang w:eastAsia="zh-CN"/>
                    </w:rPr>
                    <w:t>Total</w:t>
                  </w:r>
                </w:p>
              </w:tc>
              <w:tc>
                <w:tcPr>
                  <w:tcW w:w="968"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156.5</w:t>
                  </w:r>
                </w:p>
              </w:tc>
              <w:tc>
                <w:tcPr>
                  <w:tcW w:w="969"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688.2</w:t>
                  </w:r>
                </w:p>
              </w:tc>
              <w:tc>
                <w:tcPr>
                  <w:tcW w:w="968"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1,095.0</w:t>
                  </w:r>
                </w:p>
              </w:tc>
              <w:tc>
                <w:tcPr>
                  <w:tcW w:w="969"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2,198.5</w:t>
                  </w:r>
                </w:p>
              </w:tc>
              <w:tc>
                <w:tcPr>
                  <w:tcW w:w="968"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2,535.2</w:t>
                  </w:r>
                </w:p>
              </w:tc>
              <w:tc>
                <w:tcPr>
                  <w:tcW w:w="969"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2,056.4</w:t>
                  </w:r>
                </w:p>
              </w:tc>
              <w:tc>
                <w:tcPr>
                  <w:tcW w:w="1061"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8,729.7</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471B29">
            <w:pPr>
              <w:pStyle w:val="Source"/>
            </w:pPr>
            <w:r>
              <w:rPr>
                <w:i/>
              </w:rPr>
              <w:t>Source</w:t>
            </w:r>
            <w:r w:rsidRPr="00167F06">
              <w:t>:</w:t>
            </w:r>
            <w:r>
              <w:t xml:space="preserve"> </w:t>
            </w:r>
            <w:r w:rsidRPr="001A35D6">
              <w:t xml:space="preserve">Productivity Commission </w:t>
            </w:r>
            <w:proofErr w:type="spellStart"/>
            <w:r w:rsidRPr="001A35D6">
              <w:t>2010b</w:t>
            </w:r>
            <w:proofErr w:type="spellEnd"/>
            <w:r w:rsidRPr="00693C10">
              <w:rPr>
                <w:szCs w:val="18"/>
              </w:rPr>
              <w:t>.</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BE6707" w:rsidP="00BE6707">
      <w:pPr>
        <w:pStyle w:val="BodyText"/>
      </w:pPr>
      <w:r>
        <w:t xml:space="preserve">The row totals are the national gross savings, while the column totals are the national gross investment. The differences between national investment and savings are the net foreign investment. </w:t>
      </w:r>
      <w:r w:rsidR="002E177A">
        <w:t>S</w:t>
      </w:r>
      <w:r>
        <w:t xml:space="preserve">avings can be invested </w:t>
      </w:r>
      <w:r w:rsidR="002E177A">
        <w:t>at</w:t>
      </w:r>
      <w:r>
        <w:t xml:space="preserve"> home </w:t>
      </w:r>
      <w:r w:rsidR="002E177A">
        <w:t>and</w:t>
      </w:r>
      <w:r>
        <w:t xml:space="preserve"> </w:t>
      </w:r>
      <w:r w:rsidR="002E177A">
        <w:t>abroad</w:t>
      </w:r>
      <w:r>
        <w:t xml:space="preserve"> to maximise expected return</w:t>
      </w:r>
      <w:r w:rsidR="002E177A">
        <w:t>s</w:t>
      </w:r>
      <w:r>
        <w:t xml:space="preserve">.  </w:t>
      </w:r>
    </w:p>
    <w:p w:rsidR="00BE6707" w:rsidRDefault="00BE6707" w:rsidP="000730B8">
      <w:pPr>
        <w:pStyle w:val="Heading2"/>
        <w:ind w:left="0" w:firstLine="0"/>
      </w:pPr>
      <w:bookmarkStart w:id="19" w:name="_Toc26430225"/>
      <w:r>
        <w:t xml:space="preserve">Measuring the effects of a policy change on real GNP and </w:t>
      </w:r>
      <w:r w:rsidR="005D1C59">
        <w:t xml:space="preserve">real </w:t>
      </w:r>
      <w:proofErr w:type="spellStart"/>
      <w:r>
        <w:t>GNA</w:t>
      </w:r>
      <w:bookmarkEnd w:id="19"/>
      <w:proofErr w:type="spellEnd"/>
    </w:p>
    <w:p w:rsidR="00471B29" w:rsidRDefault="00BE6707" w:rsidP="00BE6707">
      <w:pPr>
        <w:pStyle w:val="BodyText"/>
      </w:pPr>
      <w:r>
        <w:t>The modified model can now be used to simulate the effects of a policy change on the different measures of national income and expenditure. The policy change is a bilateral, 25</w:t>
      </w:r>
      <w:r w:rsidR="000730B8">
        <w:t> </w:t>
      </w:r>
      <w:r>
        <w:t xml:space="preserve">per cent increase in tariffs on goods traded between the USA and China. The simulated changes in real national income, expenditure and utility are presented in table </w:t>
      </w:r>
      <w:proofErr w:type="spellStart"/>
      <w:r>
        <w:t>A3</w:t>
      </w:r>
      <w:proofErr w:type="spellEnd"/>
      <w:r>
        <w:t>.</w:t>
      </w:r>
      <w:r w:rsidRPr="00835E61">
        <w:t xml:space="preserve"> </w:t>
      </w:r>
    </w:p>
    <w:p w:rsidR="00471B29" w:rsidRDefault="00471B29" w:rsidP="00471B29">
      <w:pPr>
        <w:pStyle w:val="BodyText"/>
      </w:pPr>
      <w:r>
        <w:br w:type="page"/>
      </w:r>
    </w:p>
    <w:p w:rsidR="00BE6707" w:rsidRDefault="00BE6707" w:rsidP="00471B2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C73D07">
            <w:pPr>
              <w:pStyle w:val="TableTitle"/>
              <w:ind w:right="-142"/>
            </w:pPr>
            <w:r w:rsidRPr="00604ACB">
              <w:rPr>
                <w:b w:val="0"/>
              </w:rPr>
              <w:t xml:space="preserve">Table </w:t>
            </w:r>
            <w:r>
              <w:rPr>
                <w:b w:val="0"/>
                <w:noProof/>
              </w:rPr>
              <w:t>A3</w:t>
            </w:r>
            <w:r w:rsidRPr="00604ACB">
              <w:tab/>
            </w:r>
            <w:r w:rsidRPr="00C905FF">
              <w:rPr>
                <w:rFonts w:ascii="Arial Bold" w:hAnsi="Arial Bold"/>
                <w:spacing w:val="-4"/>
              </w:rPr>
              <w:t xml:space="preserve">Changes in real GDP, </w:t>
            </w:r>
            <w:proofErr w:type="spellStart"/>
            <w:r w:rsidRPr="00C905FF">
              <w:rPr>
                <w:rFonts w:ascii="Arial Bold" w:hAnsi="Arial Bold"/>
                <w:spacing w:val="-4"/>
              </w:rPr>
              <w:t>GDA</w:t>
            </w:r>
            <w:proofErr w:type="spellEnd"/>
            <w:r w:rsidRPr="00C905FF">
              <w:rPr>
                <w:rFonts w:ascii="Arial Bold" w:hAnsi="Arial Bold"/>
                <w:spacing w:val="-4"/>
              </w:rPr>
              <w:t xml:space="preserve">, GNP and </w:t>
            </w:r>
            <w:proofErr w:type="spellStart"/>
            <w:r w:rsidRPr="00C905FF">
              <w:rPr>
                <w:rFonts w:ascii="Arial Bold" w:hAnsi="Arial Bold"/>
                <w:spacing w:val="-4"/>
              </w:rPr>
              <w:t>GNA</w:t>
            </w:r>
            <w:proofErr w:type="spellEnd"/>
            <w:r w:rsidRPr="00C905FF">
              <w:rPr>
                <w:rFonts w:ascii="Arial Bold" w:hAnsi="Arial Bold"/>
                <w:spacing w:val="-4"/>
              </w:rPr>
              <w:t xml:space="preserve"> with full </w:t>
            </w:r>
            <w:proofErr w:type="spellStart"/>
            <w:r w:rsidRPr="00C905FF">
              <w:rPr>
                <w:rFonts w:ascii="Arial Bold" w:hAnsi="Arial Bold"/>
                <w:spacing w:val="-4"/>
              </w:rPr>
              <w:t>BoP</w:t>
            </w:r>
            <w:proofErr w:type="spellEnd"/>
            <w:r w:rsidRPr="00C905FF">
              <w:rPr>
                <w:rFonts w:ascii="Arial Bold" w:hAnsi="Arial Bold"/>
                <w:spacing w:val="-4"/>
              </w:rPr>
              <w:t xml:space="preserve"> data</w:t>
            </w:r>
            <w:r>
              <w:rPr>
                <w:rFonts w:ascii="Arial Bold" w:hAnsi="Arial Bold"/>
                <w:spacing w:val="-4"/>
              </w:rPr>
              <w:t xml:space="preserve"> </w:t>
            </w:r>
            <w:r w:rsidRPr="00C905FF">
              <w:rPr>
                <w:rFonts w:ascii="Arial Bold" w:hAnsi="Arial Bold"/>
                <w:spacing w:val="-4"/>
              </w:rPr>
              <w:t>(US$ billion)</w:t>
            </w:r>
          </w:p>
        </w:tc>
      </w:tr>
      <w:tr w:rsidR="00BE6707" w:rsidRPr="005136D8" w:rsidTr="00C73D07">
        <w:tc>
          <w:tcPr>
            <w:tcW w:w="5000" w:type="pct"/>
            <w:tcBorders>
              <w:top w:val="nil"/>
              <w:left w:val="nil"/>
              <w:bottom w:val="nil"/>
              <w:right w:val="nil"/>
            </w:tcBorders>
            <w:shd w:val="clear" w:color="auto" w:fill="auto"/>
          </w:tcPr>
          <w:tbl>
            <w:tblPr>
              <w:tblW w:w="5000" w:type="pct"/>
              <w:jc w:val="center"/>
              <w:tblLook w:val="04A0" w:firstRow="1" w:lastRow="0" w:firstColumn="1" w:lastColumn="0" w:noHBand="0" w:noVBand="1"/>
            </w:tblPr>
            <w:tblGrid>
              <w:gridCol w:w="1701"/>
              <w:gridCol w:w="1701"/>
              <w:gridCol w:w="1701"/>
              <w:gridCol w:w="1701"/>
              <w:gridCol w:w="1701"/>
            </w:tblGrid>
            <w:tr w:rsidR="00BE6707" w:rsidRPr="00471B29" w:rsidTr="00471B29">
              <w:trPr>
                <w:trHeight w:val="288"/>
                <w:jc w:val="center"/>
              </w:trPr>
              <w:tc>
                <w:tcPr>
                  <w:tcW w:w="1000" w:type="pct"/>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rPr>
                      <w:rFonts w:ascii="Arial" w:hAnsi="Arial" w:cs="Arial"/>
                      <w:color w:val="000000"/>
                      <w:sz w:val="18"/>
                      <w:szCs w:val="18"/>
                      <w:lang w:eastAsia="zh-CN"/>
                    </w:rPr>
                  </w:pPr>
                </w:p>
              </w:tc>
              <w:tc>
                <w:tcPr>
                  <w:tcW w:w="1000" w:type="pct"/>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rPr>
                    <w:t>d_qGDP</w:t>
                  </w:r>
                  <w:proofErr w:type="spellEnd"/>
                </w:p>
              </w:tc>
              <w:tc>
                <w:tcPr>
                  <w:tcW w:w="1000" w:type="pct"/>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proofErr w:type="spellStart"/>
                  <w:r w:rsidRPr="00471B29">
                    <w:rPr>
                      <w:rFonts w:ascii="Arial" w:hAnsi="Arial" w:cs="Arial"/>
                      <w:color w:val="000000"/>
                      <w:sz w:val="18"/>
                      <w:szCs w:val="18"/>
                    </w:rPr>
                    <w:t>d_qGDA</w:t>
                  </w:r>
                  <w:proofErr w:type="spellEnd"/>
                </w:p>
              </w:tc>
              <w:tc>
                <w:tcPr>
                  <w:tcW w:w="1000" w:type="pct"/>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proofErr w:type="spellStart"/>
                  <w:r w:rsidRPr="00471B29">
                    <w:rPr>
                      <w:rFonts w:ascii="Arial" w:hAnsi="Arial" w:cs="Arial"/>
                      <w:color w:val="000000"/>
                      <w:sz w:val="18"/>
                      <w:szCs w:val="18"/>
                    </w:rPr>
                    <w:t>d_qGNP</w:t>
                  </w:r>
                  <w:proofErr w:type="spellEnd"/>
                </w:p>
              </w:tc>
              <w:tc>
                <w:tcPr>
                  <w:tcW w:w="1000" w:type="pct"/>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proofErr w:type="spellStart"/>
                  <w:r w:rsidRPr="00471B29">
                    <w:rPr>
                      <w:rFonts w:ascii="Arial" w:hAnsi="Arial" w:cs="Arial"/>
                      <w:color w:val="000000"/>
                      <w:sz w:val="18"/>
                      <w:szCs w:val="18"/>
                    </w:rPr>
                    <w:t>d_qGNA</w:t>
                  </w:r>
                  <w:proofErr w:type="spellEnd"/>
                </w:p>
              </w:tc>
            </w:tr>
            <w:tr w:rsidR="00BE6707" w:rsidRPr="00471B29" w:rsidTr="00471B29">
              <w:trPr>
                <w:trHeight w:val="288"/>
                <w:jc w:val="center"/>
              </w:trPr>
              <w:tc>
                <w:tcPr>
                  <w:tcW w:w="1000" w:type="pct"/>
                  <w:tcBorders>
                    <w:top w:val="single" w:sz="4" w:space="0" w:color="BFBFBF"/>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AUS</w:t>
                  </w:r>
                  <w:proofErr w:type="spellEnd"/>
                </w:p>
              </w:tc>
              <w:tc>
                <w:tcPr>
                  <w:tcW w:w="1000" w:type="pct"/>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0.18</w:t>
                  </w:r>
                </w:p>
              </w:tc>
              <w:tc>
                <w:tcPr>
                  <w:tcW w:w="1000" w:type="pct"/>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0.18</w:t>
                  </w:r>
                </w:p>
              </w:tc>
              <w:tc>
                <w:tcPr>
                  <w:tcW w:w="1000" w:type="pct"/>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0.12</w:t>
                  </w:r>
                </w:p>
              </w:tc>
              <w:tc>
                <w:tcPr>
                  <w:tcW w:w="1000" w:type="pct"/>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0.13</w:t>
                  </w:r>
                </w:p>
              </w:tc>
            </w:tr>
            <w:tr w:rsidR="00BE6707" w:rsidRPr="00471B29" w:rsidTr="00471B29">
              <w:trPr>
                <w:trHeight w:val="288"/>
                <w:jc w:val="center"/>
              </w:trPr>
              <w:tc>
                <w:tcPr>
                  <w:tcW w:w="1000" w:type="pct"/>
                  <w:tcBorders>
                    <w:top w:val="nil"/>
                    <w:left w:val="nil"/>
                    <w:bottom w:val="nil"/>
                    <w:right w:val="nil"/>
                  </w:tcBorders>
                  <w:shd w:val="clear" w:color="auto" w:fill="DDDDDD"/>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CHN</w:t>
                  </w:r>
                  <w:proofErr w:type="spellEnd"/>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-41.12</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-57.40</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-40.04</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-57.62</w:t>
                  </w:r>
                </w:p>
              </w:tc>
            </w:tr>
            <w:tr w:rsidR="00BE6707" w:rsidRPr="00471B29" w:rsidTr="00471B29">
              <w:trPr>
                <w:trHeight w:val="288"/>
                <w:jc w:val="center"/>
              </w:trPr>
              <w:tc>
                <w:tcPr>
                  <w:tcW w:w="1000" w:type="pct"/>
                  <w:tcBorders>
                    <w:top w:val="nil"/>
                    <w:left w:val="nil"/>
                    <w:bottom w:val="nil"/>
                    <w:right w:val="nil"/>
                  </w:tcBorders>
                  <w:shd w:val="clear" w:color="auto" w:fill="auto"/>
                  <w:noWrap/>
                  <w:vAlign w:val="center"/>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JPN</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3.12</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5.85</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2.60</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5.05</w:t>
                  </w:r>
                </w:p>
              </w:tc>
            </w:tr>
            <w:tr w:rsidR="00BE6707" w:rsidRPr="00471B29" w:rsidTr="00471B29">
              <w:trPr>
                <w:trHeight w:val="288"/>
                <w:jc w:val="center"/>
              </w:trPr>
              <w:tc>
                <w:tcPr>
                  <w:tcW w:w="1000" w:type="pct"/>
                  <w:tcBorders>
                    <w:top w:val="nil"/>
                    <w:left w:val="nil"/>
                    <w:bottom w:val="nil"/>
                    <w:right w:val="nil"/>
                  </w:tcBorders>
                  <w:shd w:val="clear" w:color="auto" w:fill="auto"/>
                  <w:noWrap/>
                  <w:vAlign w:val="center"/>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KOR</w:t>
                  </w:r>
                  <w:proofErr w:type="spellEnd"/>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1.70</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2.60</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1.60</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2.43</w:t>
                  </w:r>
                </w:p>
              </w:tc>
            </w:tr>
            <w:tr w:rsidR="00BE6707" w:rsidRPr="00471B29" w:rsidTr="00471B29">
              <w:trPr>
                <w:trHeight w:val="288"/>
                <w:jc w:val="center"/>
              </w:trPr>
              <w:tc>
                <w:tcPr>
                  <w:tcW w:w="1000" w:type="pct"/>
                  <w:tcBorders>
                    <w:top w:val="nil"/>
                    <w:left w:val="nil"/>
                    <w:bottom w:val="nil"/>
                    <w:right w:val="nil"/>
                  </w:tcBorders>
                  <w:shd w:val="clear" w:color="auto" w:fill="auto"/>
                  <w:noWrap/>
                  <w:vAlign w:val="center"/>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CAN</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1.77</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3.13</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1.32</w:t>
                  </w:r>
                </w:p>
              </w:tc>
              <w:tc>
                <w:tcPr>
                  <w:tcW w:w="1000" w:type="pct"/>
                  <w:tcBorders>
                    <w:top w:val="nil"/>
                    <w:left w:val="nil"/>
                    <w:bottom w:val="nil"/>
                    <w:right w:val="nil"/>
                  </w:tcBorders>
                  <w:shd w:val="clear" w:color="auto" w:fill="auto"/>
                  <w:noWrap/>
                  <w:vAlign w:val="center"/>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2.85</w:t>
                  </w:r>
                </w:p>
              </w:tc>
            </w:tr>
            <w:tr w:rsidR="00BE6707" w:rsidRPr="00471B29" w:rsidTr="00471B29">
              <w:trPr>
                <w:trHeight w:val="288"/>
                <w:jc w:val="center"/>
              </w:trPr>
              <w:tc>
                <w:tcPr>
                  <w:tcW w:w="1000" w:type="pct"/>
                  <w:tcBorders>
                    <w:top w:val="nil"/>
                    <w:left w:val="nil"/>
                    <w:bottom w:val="nil"/>
                    <w:right w:val="nil"/>
                  </w:tcBorders>
                  <w:shd w:val="clear" w:color="auto" w:fill="DDDDDD"/>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USA</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-32.47</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-29.39</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-28.35</w:t>
                  </w:r>
                </w:p>
              </w:tc>
              <w:tc>
                <w:tcPr>
                  <w:tcW w:w="1000" w:type="pct"/>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-24.83</w:t>
                  </w:r>
                </w:p>
              </w:tc>
            </w:tr>
            <w:tr w:rsidR="00BE6707" w:rsidRPr="00471B29" w:rsidTr="00471B29">
              <w:trPr>
                <w:trHeight w:val="288"/>
                <w:jc w:val="center"/>
              </w:trPr>
              <w:tc>
                <w:tcPr>
                  <w:tcW w:w="1000" w:type="pct"/>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MEX</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7.28</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8.76</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6.78</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8.37</w:t>
                  </w:r>
                </w:p>
              </w:tc>
            </w:tr>
            <w:tr w:rsidR="00BE6707" w:rsidRPr="00471B29" w:rsidTr="00471B29">
              <w:trPr>
                <w:trHeight w:val="288"/>
                <w:jc w:val="center"/>
              </w:trPr>
              <w:tc>
                <w:tcPr>
                  <w:tcW w:w="1000" w:type="pct"/>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EUN</w:t>
                  </w:r>
                  <w:proofErr w:type="spellEnd"/>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8.73</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12.33</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6.95</w:t>
                  </w:r>
                </w:p>
              </w:tc>
              <w:tc>
                <w:tcPr>
                  <w:tcW w:w="1000" w:type="pct"/>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10.77</w:t>
                  </w:r>
                </w:p>
              </w:tc>
            </w:tr>
            <w:tr w:rsidR="00BE6707" w:rsidRPr="00471B29" w:rsidTr="00471B29">
              <w:trPr>
                <w:trHeight w:val="288"/>
                <w:jc w:val="center"/>
              </w:trPr>
              <w:tc>
                <w:tcPr>
                  <w:tcW w:w="1000" w:type="pct"/>
                  <w:tcBorders>
                    <w:top w:val="nil"/>
                    <w:left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ROW</w:t>
                  </w:r>
                </w:p>
              </w:tc>
              <w:tc>
                <w:tcPr>
                  <w:tcW w:w="1000" w:type="pct"/>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12.92</w:t>
                  </w:r>
                </w:p>
              </w:tc>
              <w:tc>
                <w:tcPr>
                  <w:tcW w:w="1000" w:type="pct"/>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16.04</w:t>
                  </w:r>
                </w:p>
              </w:tc>
              <w:tc>
                <w:tcPr>
                  <w:tcW w:w="1000" w:type="pct"/>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11.13</w:t>
                  </w:r>
                </w:p>
              </w:tc>
              <w:tc>
                <w:tcPr>
                  <w:tcW w:w="1000" w:type="pct"/>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rPr>
                  </w:pPr>
                  <w:r w:rsidRPr="00471B29">
                    <w:rPr>
                      <w:rFonts w:ascii="Arial" w:hAnsi="Arial" w:cs="Arial"/>
                      <w:color w:val="000000"/>
                      <w:sz w:val="18"/>
                      <w:szCs w:val="18"/>
                    </w:rPr>
                    <w:t>14.95</w:t>
                  </w:r>
                </w:p>
              </w:tc>
            </w:tr>
            <w:tr w:rsidR="00BE6707" w:rsidRPr="00471B29" w:rsidTr="00471B29">
              <w:trPr>
                <w:trHeight w:val="288"/>
                <w:jc w:val="center"/>
              </w:trPr>
              <w:tc>
                <w:tcPr>
                  <w:tcW w:w="1000" w:type="pct"/>
                  <w:tcBorders>
                    <w:left w:val="nil"/>
                    <w:bottom w:val="single" w:sz="4" w:space="0" w:color="BFBFBF"/>
                    <w:right w:val="nil"/>
                  </w:tcBorders>
                  <w:shd w:val="clear" w:color="auto" w:fill="auto"/>
                  <w:noWrap/>
                  <w:vAlign w:val="center"/>
                  <w:hideMark/>
                </w:tcPr>
                <w:p w:rsidR="00BE6707" w:rsidRPr="00471B29" w:rsidRDefault="00BE6707" w:rsidP="00C73D07">
                  <w:pPr>
                    <w:rPr>
                      <w:rFonts w:ascii="Arial" w:hAnsi="Arial" w:cs="Arial"/>
                      <w:b/>
                      <w:color w:val="000000"/>
                      <w:sz w:val="18"/>
                      <w:szCs w:val="18"/>
                    </w:rPr>
                  </w:pPr>
                  <w:r w:rsidRPr="00471B29">
                    <w:rPr>
                      <w:rFonts w:ascii="Arial" w:hAnsi="Arial" w:cs="Arial"/>
                      <w:b/>
                      <w:color w:val="000000"/>
                      <w:sz w:val="18"/>
                      <w:szCs w:val="18"/>
                    </w:rPr>
                    <w:t>World</w:t>
                  </w:r>
                </w:p>
              </w:tc>
              <w:tc>
                <w:tcPr>
                  <w:tcW w:w="1000" w:type="pct"/>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rPr>
                  </w:pPr>
                  <w:r w:rsidRPr="00471B29">
                    <w:rPr>
                      <w:rFonts w:ascii="Arial" w:hAnsi="Arial" w:cs="Arial"/>
                      <w:b/>
                      <w:color w:val="000000"/>
                      <w:sz w:val="18"/>
                      <w:szCs w:val="18"/>
                    </w:rPr>
                    <w:t>-37.89</w:t>
                  </w:r>
                </w:p>
              </w:tc>
              <w:tc>
                <w:tcPr>
                  <w:tcW w:w="1000" w:type="pct"/>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rPr>
                  </w:pPr>
                  <w:r w:rsidRPr="00471B29">
                    <w:rPr>
                      <w:rFonts w:ascii="Arial" w:hAnsi="Arial" w:cs="Arial"/>
                      <w:b/>
                      <w:color w:val="000000"/>
                      <w:sz w:val="18"/>
                      <w:szCs w:val="18"/>
                    </w:rPr>
                    <w:t>-37.89</w:t>
                  </w:r>
                </w:p>
              </w:tc>
              <w:tc>
                <w:tcPr>
                  <w:tcW w:w="1000" w:type="pct"/>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rPr>
                  </w:pPr>
                  <w:r w:rsidRPr="00471B29">
                    <w:rPr>
                      <w:rFonts w:ascii="Arial" w:hAnsi="Arial" w:cs="Arial"/>
                      <w:b/>
                      <w:color w:val="000000"/>
                      <w:sz w:val="18"/>
                      <w:szCs w:val="18"/>
                    </w:rPr>
                    <w:t>-37.89</w:t>
                  </w:r>
                </w:p>
              </w:tc>
              <w:tc>
                <w:tcPr>
                  <w:tcW w:w="1000" w:type="pct"/>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rPr>
                  </w:pPr>
                  <w:r w:rsidRPr="00471B29">
                    <w:rPr>
                      <w:rFonts w:ascii="Arial" w:hAnsi="Arial" w:cs="Arial"/>
                      <w:b/>
                      <w:color w:val="000000"/>
                      <w:sz w:val="18"/>
                      <w:szCs w:val="18"/>
                    </w:rPr>
                    <w:t>-37.89</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C73D07">
            <w:pPr>
              <w:pStyle w:val="Source"/>
            </w:pPr>
            <w:r>
              <w:rPr>
                <w:i/>
              </w:rPr>
              <w:t>Source</w:t>
            </w:r>
            <w:r w:rsidRPr="00167F06">
              <w:t xml:space="preserve">: </w:t>
            </w:r>
            <w:r>
              <w:t>T</w:t>
            </w:r>
            <w:r w:rsidRPr="00693C10">
              <w:rPr>
                <w:szCs w:val="18"/>
              </w:rPr>
              <w:t>he author’s simulation.</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BE6707" w:rsidP="00BE6707">
      <w:pPr>
        <w:pStyle w:val="BodyText"/>
      </w:pPr>
      <w:r w:rsidRPr="000730B8">
        <w:t xml:space="preserve">In this table, the variable </w:t>
      </w:r>
      <w:proofErr w:type="spellStart"/>
      <w:r w:rsidRPr="000730B8">
        <w:rPr>
          <w:rFonts w:ascii="Consolas" w:hAnsi="Consolas" w:cs="Arial"/>
          <w:sz w:val="20"/>
          <w:lang w:eastAsia="zh-CN"/>
        </w:rPr>
        <w:t>d_qGNP</w:t>
      </w:r>
      <w:proofErr w:type="spellEnd"/>
      <w:r w:rsidRPr="000730B8">
        <w:t xml:space="preserve"> is defined as the change in real GDP plus the change in the </w:t>
      </w:r>
      <w:r>
        <w:t>foreign income account balance, that is, the real income generated by the use of capital abroad, net of the real income paid to foreign owners of capital.</w:t>
      </w:r>
      <w:r w:rsidRPr="00835E61">
        <w:t xml:space="preserve">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Arial"/>
          <w:sz w:val="20"/>
          <w:lang w:eastAsia="zh-CN"/>
        </w:rPr>
        <w:t>d_qGNP</w:t>
      </w:r>
      <w:proofErr w:type="spellEnd"/>
      <w:r w:rsidRPr="00471B29">
        <w:rPr>
          <w:rFonts w:ascii="Consolas" w:hAnsi="Consolas" w:cs="Arial"/>
          <w:sz w:val="20"/>
          <w:lang w:eastAsia="zh-CN"/>
        </w:rPr>
        <w:t xml:space="preserve">(r) = </w:t>
      </w:r>
      <w:proofErr w:type="spellStart"/>
      <w:r w:rsidR="00EB5659" w:rsidRPr="00471B29">
        <w:rPr>
          <w:rFonts w:ascii="Consolas" w:hAnsi="Consolas" w:cs="Arial"/>
          <w:sz w:val="20"/>
          <w:lang w:eastAsia="zh-CN"/>
        </w:rPr>
        <w:t>d_qGDP</w:t>
      </w:r>
      <w:proofErr w:type="spellEnd"/>
      <w:r w:rsidRPr="00471B29">
        <w:rPr>
          <w:rFonts w:ascii="Consolas" w:hAnsi="Consolas" w:cs="Arial"/>
          <w:sz w:val="20"/>
          <w:lang w:eastAsia="zh-CN"/>
        </w:rPr>
        <w:t>(r) +</w:t>
      </w:r>
      <w:r w:rsidRPr="00471B29">
        <w:rPr>
          <w:rFonts w:ascii="Consolas" w:hAnsi="Consolas" w:cs="Arial"/>
          <w:b/>
          <w:bCs/>
          <w:sz w:val="20"/>
          <w:lang w:eastAsia="zh-CN"/>
        </w:rPr>
        <w:t xml:space="preserve"> sum{</w:t>
      </w:r>
      <w:proofErr w:type="spellStart"/>
      <w:r w:rsidRPr="00471B29">
        <w:rPr>
          <w:rFonts w:ascii="Consolas" w:hAnsi="Consolas" w:cs="Arial"/>
          <w:sz w:val="20"/>
          <w:lang w:eastAsia="zh-CN"/>
        </w:rPr>
        <w:t>s,reg</w:t>
      </w:r>
      <w:proofErr w:type="spellEnd"/>
      <w:r w:rsidRPr="00471B29">
        <w:rPr>
          <w:rFonts w:ascii="Consolas" w:hAnsi="Consolas" w:cs="Arial"/>
          <w:sz w:val="20"/>
          <w:lang w:eastAsia="zh-CN"/>
        </w:rPr>
        <w:t xml:space="preserve">, </w:t>
      </w:r>
      <w:proofErr w:type="spellStart"/>
      <w:r w:rsidRPr="00471B29">
        <w:rPr>
          <w:rFonts w:ascii="Consolas" w:hAnsi="Consolas" w:cs="Arial"/>
          <w:sz w:val="20"/>
          <w:lang w:eastAsia="zh-CN"/>
        </w:rPr>
        <w:t>FCapInc</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r,k</w:t>
      </w:r>
      <w:proofErr w:type="spellEnd"/>
      <w:r w:rsidRPr="00471B29">
        <w:rPr>
          <w:rFonts w:ascii="Consolas" w:hAnsi="Consolas" w:cs="Arial"/>
          <w:sz w:val="20"/>
          <w:lang w:eastAsia="zh-CN"/>
        </w:rPr>
        <w:t xml:space="preserve">)/100 * </w:t>
      </w:r>
      <w:proofErr w:type="spellStart"/>
      <w:r w:rsidRPr="00471B29">
        <w:rPr>
          <w:rFonts w:ascii="Consolas" w:hAnsi="Consolas" w:cs="Arial"/>
          <w:sz w:val="20"/>
          <w:lang w:eastAsia="zh-CN"/>
        </w:rPr>
        <w:t>qK_j</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r,s</w:t>
      </w:r>
      <w:proofErr w:type="spellEnd"/>
      <w:r w:rsidRPr="00471B29">
        <w:rPr>
          <w:rFonts w:ascii="Consolas" w:hAnsi="Consolas" w:cs="Arial"/>
          <w:sz w:val="20"/>
          <w:lang w:eastAsia="zh-CN"/>
        </w:rPr>
        <w:t xml:space="preserve">) </w:t>
      </w:r>
      <w:r w:rsidRPr="00471B29">
        <w:rPr>
          <w:rFonts w:ascii="Consolas" w:hAnsi="Consolas" w:cs="Arial"/>
          <w:sz w:val="20"/>
          <w:lang w:eastAsia="zh-CN"/>
        </w:rPr>
        <w:br/>
        <w:t xml:space="preserve">                             </w:t>
      </w:r>
      <w:r w:rsidR="00EB5659" w:rsidRPr="00471B29">
        <w:rPr>
          <w:rFonts w:ascii="Consolas" w:hAnsi="Consolas" w:cs="Arial"/>
          <w:sz w:val="20"/>
          <w:lang w:eastAsia="zh-CN"/>
        </w:rPr>
        <w:t xml:space="preserve">      </w:t>
      </w:r>
      <w:r w:rsidRPr="00471B29">
        <w:rPr>
          <w:rFonts w:ascii="Consolas" w:hAnsi="Consolas" w:cs="Arial"/>
          <w:sz w:val="20"/>
          <w:lang w:eastAsia="zh-CN"/>
        </w:rPr>
        <w:t xml:space="preserve">    - </w:t>
      </w:r>
      <w:proofErr w:type="spellStart"/>
      <w:r w:rsidRPr="00471B29">
        <w:rPr>
          <w:rFonts w:ascii="Consolas" w:hAnsi="Consolas" w:cs="Arial"/>
          <w:sz w:val="20"/>
          <w:lang w:eastAsia="zh-CN"/>
        </w:rPr>
        <w:t>FCapInc</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s,r</w:t>
      </w:r>
      <w:proofErr w:type="spellEnd"/>
      <w:r w:rsidRPr="00471B29">
        <w:rPr>
          <w:rFonts w:ascii="Consolas" w:hAnsi="Consolas" w:cs="Arial"/>
          <w:sz w:val="20"/>
          <w:lang w:eastAsia="zh-CN"/>
        </w:rPr>
        <w:t xml:space="preserve">)/100 * </w:t>
      </w:r>
      <w:proofErr w:type="spellStart"/>
      <w:r w:rsidRPr="00471B29">
        <w:rPr>
          <w:rFonts w:ascii="Consolas" w:hAnsi="Consolas" w:cs="Arial"/>
          <w:sz w:val="20"/>
          <w:lang w:eastAsia="zh-CN"/>
        </w:rPr>
        <w:t>qK_j</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s,r</w:t>
      </w:r>
      <w:proofErr w:type="spellEnd"/>
      <w:r w:rsidRPr="00471B29">
        <w:rPr>
          <w:rFonts w:ascii="Consolas" w:hAnsi="Consolas" w:cs="Arial"/>
          <w:sz w:val="20"/>
          <w:lang w:eastAsia="zh-CN"/>
        </w:rPr>
        <w:t>)</w:t>
      </w:r>
      <w:r w:rsidRPr="00471B29">
        <w:rPr>
          <w:rFonts w:ascii="Consolas" w:hAnsi="Consolas" w:cs="Arial"/>
          <w:b/>
          <w:bCs/>
          <w:sz w:val="20"/>
          <w:lang w:eastAsia="zh-CN"/>
        </w:rPr>
        <w:t>}</w:t>
      </w:r>
      <w:r w:rsidRPr="00471B29">
        <w:rPr>
          <w:rFonts w:ascii="Consolas" w:hAnsi="Consolas" w:cs="Arial"/>
          <w:sz w:val="20"/>
          <w:lang w:eastAsia="zh-CN"/>
        </w:rPr>
        <w:t>;</w:t>
      </w:r>
      <w:r w:rsidRPr="00471B29">
        <w:rPr>
          <w:rFonts w:ascii="Consolas" w:hAnsi="Consolas" w:cs="Arial"/>
          <w:sz w:val="20"/>
          <w:lang w:eastAsia="zh-CN"/>
        </w:rPr>
        <w:tab/>
      </w:r>
      <w:r w:rsidRPr="00471B29">
        <w:t xml:space="preserve">(A1) </w:t>
      </w:r>
    </w:p>
    <w:p w:rsidR="00BE6707" w:rsidRPr="00471B29" w:rsidRDefault="00BE6707" w:rsidP="00BE6707">
      <w:pPr>
        <w:pStyle w:val="BodyText"/>
      </w:pPr>
      <w:r w:rsidRPr="00471B29">
        <w:t xml:space="preserve">where </w:t>
      </w:r>
      <w:proofErr w:type="spellStart"/>
      <w:r w:rsidRPr="00471B29">
        <w:rPr>
          <w:rFonts w:ascii="Consolas" w:hAnsi="Consolas" w:cs="Arial"/>
          <w:sz w:val="20"/>
          <w:lang w:eastAsia="zh-CN"/>
        </w:rPr>
        <w:t>FCapInc</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r,s</w:t>
      </w:r>
      <w:proofErr w:type="spellEnd"/>
      <w:r w:rsidRPr="00471B29">
        <w:rPr>
          <w:rFonts w:ascii="Consolas" w:hAnsi="Consolas" w:cs="Arial"/>
          <w:sz w:val="20"/>
          <w:lang w:eastAsia="zh-CN"/>
        </w:rPr>
        <w:t>)</w:t>
      </w:r>
      <w:r w:rsidRPr="00471B29">
        <w:t xml:space="preserve"> is the bilateral foreign capital income matrix, shown in table A1, and </w:t>
      </w:r>
      <w:proofErr w:type="spellStart"/>
      <w:r w:rsidRPr="00471B29">
        <w:rPr>
          <w:rFonts w:ascii="Consolas" w:hAnsi="Consolas" w:cs="Arial"/>
          <w:sz w:val="20"/>
          <w:lang w:eastAsia="zh-CN"/>
        </w:rPr>
        <w:t>qK_j</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r,s</w:t>
      </w:r>
      <w:proofErr w:type="spellEnd"/>
      <w:r w:rsidRPr="00471B29">
        <w:rPr>
          <w:rFonts w:ascii="Consolas" w:hAnsi="Consolas" w:cs="Arial"/>
          <w:sz w:val="20"/>
          <w:lang w:eastAsia="zh-CN"/>
        </w:rPr>
        <w:t>)</w:t>
      </w:r>
      <w:r w:rsidRPr="00471B29">
        <w:t xml:space="preserve"> is the region </w:t>
      </w:r>
      <w:r w:rsidRPr="00471B29">
        <w:rPr>
          <w:i/>
        </w:rPr>
        <w:t>s</w:t>
      </w:r>
      <w:r w:rsidRPr="00471B29">
        <w:t xml:space="preserve"> demand for capital owned by region </w:t>
      </w:r>
      <w:r w:rsidRPr="00471B29">
        <w:rPr>
          <w:i/>
        </w:rPr>
        <w:t>r</w:t>
      </w:r>
      <w:r w:rsidRPr="00471B29">
        <w:t xml:space="preserve">. </w:t>
      </w:r>
    </w:p>
    <w:p w:rsidR="00BE6707" w:rsidRPr="00471B29" w:rsidRDefault="00BE6707" w:rsidP="00BE6707">
      <w:pPr>
        <w:pStyle w:val="BodyText"/>
      </w:pPr>
      <w:r w:rsidRPr="00471B29">
        <w:t xml:space="preserve">The variable </w:t>
      </w:r>
      <w:proofErr w:type="spellStart"/>
      <w:r w:rsidR="00F6638A" w:rsidRPr="00471B29">
        <w:rPr>
          <w:rFonts w:ascii="Consolas" w:hAnsi="Consolas" w:cs="Arial"/>
          <w:sz w:val="20"/>
          <w:lang w:eastAsia="zh-CN"/>
        </w:rPr>
        <w:t>d_qGDA</w:t>
      </w:r>
      <w:proofErr w:type="spellEnd"/>
      <w:r w:rsidRPr="00471B29">
        <w:t xml:space="preserve"> is defined as the change in private and public consumption plus the change in gross investment.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Arial"/>
          <w:sz w:val="20"/>
          <w:lang w:eastAsia="zh-CN"/>
        </w:rPr>
        <w:t>d_qGDA</w:t>
      </w:r>
      <w:proofErr w:type="spellEnd"/>
      <w:r w:rsidRPr="00471B29">
        <w:rPr>
          <w:rFonts w:ascii="Consolas" w:hAnsi="Consolas" w:cs="Arial"/>
          <w:sz w:val="20"/>
          <w:lang w:eastAsia="zh-CN"/>
        </w:rPr>
        <w:t xml:space="preserve">(r) = </w:t>
      </w:r>
      <w:proofErr w:type="spellStart"/>
      <w:r w:rsidR="00F6638A" w:rsidRPr="00471B29">
        <w:rPr>
          <w:rFonts w:ascii="Consolas" w:hAnsi="Consolas" w:cs="Consolas"/>
          <w:sz w:val="20"/>
          <w:lang w:eastAsia="zh-CN"/>
        </w:rPr>
        <w:t>d_qPRIV</w:t>
      </w:r>
      <w:proofErr w:type="spellEnd"/>
      <w:r w:rsidR="00F6638A" w:rsidRPr="00471B29">
        <w:rPr>
          <w:rFonts w:ascii="Consolas" w:hAnsi="Consolas" w:cs="Consolas"/>
          <w:sz w:val="20"/>
          <w:lang w:eastAsia="zh-CN"/>
        </w:rPr>
        <w:t xml:space="preserve">(r) + </w:t>
      </w:r>
      <w:proofErr w:type="spellStart"/>
      <w:r w:rsidR="00F6638A" w:rsidRPr="00471B29">
        <w:rPr>
          <w:rFonts w:ascii="Consolas" w:hAnsi="Consolas" w:cs="Consolas"/>
          <w:sz w:val="20"/>
          <w:lang w:eastAsia="zh-CN"/>
        </w:rPr>
        <w:t>d_qGOV</w:t>
      </w:r>
      <w:proofErr w:type="spellEnd"/>
      <w:r w:rsidR="00F6638A" w:rsidRPr="00471B29">
        <w:rPr>
          <w:rFonts w:ascii="Consolas" w:hAnsi="Consolas" w:cs="Consolas"/>
          <w:sz w:val="20"/>
          <w:lang w:eastAsia="zh-CN"/>
        </w:rPr>
        <w:t xml:space="preserve">(r) + </w:t>
      </w:r>
      <w:proofErr w:type="spellStart"/>
      <w:r w:rsidR="00F6638A" w:rsidRPr="00471B29">
        <w:rPr>
          <w:rFonts w:ascii="Consolas" w:hAnsi="Consolas" w:cs="Consolas"/>
          <w:sz w:val="20"/>
          <w:lang w:eastAsia="zh-CN"/>
        </w:rPr>
        <w:t>d_qcgds</w:t>
      </w:r>
      <w:proofErr w:type="spellEnd"/>
      <w:r w:rsidR="00F6638A" w:rsidRPr="00471B29">
        <w:rPr>
          <w:rFonts w:ascii="Consolas" w:hAnsi="Consolas" w:cs="Consolas"/>
          <w:sz w:val="20"/>
          <w:lang w:eastAsia="zh-CN"/>
        </w:rPr>
        <w:t>(r)</w:t>
      </w:r>
      <w:r w:rsidRPr="00471B29">
        <w:rPr>
          <w:rFonts w:ascii="Consolas" w:hAnsi="Consolas" w:cs="Consolas"/>
          <w:sz w:val="20"/>
          <w:lang w:eastAsia="zh-CN"/>
        </w:rPr>
        <w:t>;</w:t>
      </w:r>
      <w:r w:rsidRPr="00471B29">
        <w:rPr>
          <w:rFonts w:ascii="Consolas" w:hAnsi="Consolas" w:cs="Arial"/>
          <w:sz w:val="20"/>
          <w:lang w:eastAsia="zh-CN"/>
        </w:rPr>
        <w:t xml:space="preserve"> </w:t>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A2</w:t>
      </w:r>
      <w:proofErr w:type="spellEnd"/>
      <w:r w:rsidRPr="00471B29">
        <w:t xml:space="preserve">) </w:t>
      </w:r>
    </w:p>
    <w:p w:rsidR="00BE6707" w:rsidRPr="00471B29" w:rsidRDefault="00BE6707" w:rsidP="00BE6707">
      <w:pPr>
        <w:pStyle w:val="BodyText"/>
      </w:pPr>
      <w:r w:rsidRPr="00471B29">
        <w:t xml:space="preserve">The variable </w:t>
      </w:r>
      <w:proofErr w:type="spellStart"/>
      <w:r w:rsidR="00F6638A" w:rsidRPr="00471B29">
        <w:rPr>
          <w:rFonts w:ascii="Consolas" w:hAnsi="Consolas" w:cs="Arial"/>
          <w:sz w:val="20"/>
          <w:lang w:eastAsia="zh-CN"/>
        </w:rPr>
        <w:t>d_qGNA</w:t>
      </w:r>
      <w:proofErr w:type="spellEnd"/>
      <w:r w:rsidRPr="00471B29">
        <w:t xml:space="preserve"> is defined as the changes in private and public consumption plus the changes in real savings, aggregated from the capital goods purchase</w:t>
      </w:r>
      <w:r w:rsidR="0018249B" w:rsidRPr="00471B29">
        <w:t>d</w:t>
      </w:r>
      <w:r w:rsidRPr="00471B29">
        <w:t xml:space="preserve"> </w:t>
      </w:r>
      <w:r w:rsidR="0018249B" w:rsidRPr="00471B29">
        <w:t xml:space="preserve">at </w:t>
      </w:r>
      <w:r w:rsidRPr="00471B29">
        <w:t xml:space="preserve">home and </w:t>
      </w:r>
      <w:r w:rsidR="0018249B" w:rsidRPr="00471B29">
        <w:t>abroad</w:t>
      </w:r>
      <w:r w:rsidRPr="00471B29">
        <w:t xml:space="preserve">.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Arial"/>
          <w:sz w:val="20"/>
          <w:lang w:eastAsia="zh-CN"/>
        </w:rPr>
        <w:t>d_qGNA</w:t>
      </w:r>
      <w:proofErr w:type="spellEnd"/>
      <w:r w:rsidRPr="00471B29">
        <w:rPr>
          <w:rFonts w:ascii="Consolas" w:hAnsi="Consolas" w:cs="Arial"/>
          <w:sz w:val="20"/>
          <w:lang w:eastAsia="zh-CN"/>
        </w:rPr>
        <w:t xml:space="preserve">(r) = </w:t>
      </w:r>
      <w:proofErr w:type="spellStart"/>
      <w:r w:rsidR="00F6638A" w:rsidRPr="00471B29">
        <w:rPr>
          <w:rFonts w:ascii="Consolas" w:hAnsi="Consolas" w:cs="Consolas"/>
          <w:sz w:val="20"/>
          <w:lang w:eastAsia="zh-CN"/>
        </w:rPr>
        <w:t>d_qPRIV</w:t>
      </w:r>
      <w:proofErr w:type="spellEnd"/>
      <w:r w:rsidR="00F6638A" w:rsidRPr="00471B29">
        <w:rPr>
          <w:rFonts w:ascii="Consolas" w:hAnsi="Consolas" w:cs="Consolas"/>
          <w:sz w:val="20"/>
          <w:lang w:eastAsia="zh-CN"/>
        </w:rPr>
        <w:t xml:space="preserve">(r) + </w:t>
      </w:r>
      <w:proofErr w:type="spellStart"/>
      <w:r w:rsidR="00F6638A" w:rsidRPr="00471B29">
        <w:rPr>
          <w:rFonts w:ascii="Consolas" w:hAnsi="Consolas" w:cs="Consolas"/>
          <w:sz w:val="20"/>
          <w:lang w:eastAsia="zh-CN"/>
        </w:rPr>
        <w:t>d_qGOV</w:t>
      </w:r>
      <w:proofErr w:type="spellEnd"/>
      <w:r w:rsidR="00F6638A" w:rsidRPr="00471B29">
        <w:rPr>
          <w:rFonts w:ascii="Consolas" w:hAnsi="Consolas" w:cs="Consolas"/>
          <w:sz w:val="20"/>
          <w:lang w:eastAsia="zh-CN"/>
        </w:rPr>
        <w:t>(r)</w:t>
      </w:r>
      <w:r w:rsidRPr="00471B29">
        <w:rPr>
          <w:rFonts w:ascii="Consolas" w:hAnsi="Consolas" w:cs="Consolas"/>
          <w:sz w:val="20"/>
          <w:lang w:eastAsia="zh-CN"/>
        </w:rPr>
        <w:br/>
        <w:t xml:space="preserve">                 + </w:t>
      </w:r>
      <w:r w:rsidRPr="00471B29">
        <w:rPr>
          <w:rFonts w:ascii="Consolas" w:hAnsi="Consolas" w:cs="Consolas"/>
          <w:b/>
          <w:bCs/>
          <w:sz w:val="20"/>
          <w:lang w:eastAsia="zh-CN"/>
        </w:rPr>
        <w:t>sum{</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GSavGInv</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qGInv</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w:t>
      </w:r>
      <w:r w:rsidRPr="00471B29">
        <w:rPr>
          <w:rFonts w:ascii="Consolas" w:hAnsi="Consolas" w:cs="Consolas"/>
          <w:b/>
          <w:bCs/>
          <w:sz w:val="20"/>
          <w:lang w:eastAsia="zh-CN"/>
        </w:rPr>
        <w:t>}</w:t>
      </w:r>
      <w:r w:rsidRPr="00471B29">
        <w:rPr>
          <w:rFonts w:ascii="Consolas" w:hAnsi="Consolas" w:cs="Consolas"/>
          <w:sz w:val="20"/>
          <w:lang w:eastAsia="zh-CN"/>
        </w:rPr>
        <w:t>;</w:t>
      </w:r>
      <w:r w:rsidRPr="00471B29">
        <w:rPr>
          <w:rFonts w:ascii="Consolas" w:hAnsi="Consolas" w:cs="Arial"/>
          <w:sz w:val="20"/>
          <w:lang w:eastAsia="zh-CN"/>
        </w:rPr>
        <w:t xml:space="preserve"> </w:t>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A3</w:t>
      </w:r>
      <w:proofErr w:type="spellEnd"/>
      <w:r w:rsidRPr="00471B29">
        <w:t xml:space="preserve">) </w:t>
      </w:r>
    </w:p>
    <w:p w:rsidR="00BE6707" w:rsidRPr="00471B29" w:rsidRDefault="00BE6707" w:rsidP="00BE6707">
      <w:pPr>
        <w:pStyle w:val="BodyText"/>
      </w:pPr>
      <w:r w:rsidRPr="00471B29">
        <w:t xml:space="preserve">where </w:t>
      </w:r>
      <w:proofErr w:type="spellStart"/>
      <w:r w:rsidRPr="00471B29">
        <w:rPr>
          <w:rFonts w:ascii="Consolas" w:hAnsi="Consolas" w:cs="Consolas"/>
          <w:sz w:val="20"/>
          <w:lang w:eastAsia="zh-CN"/>
        </w:rPr>
        <w:t>GSavGInv</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r,s</w:t>
      </w:r>
      <w:proofErr w:type="spellEnd"/>
      <w:r w:rsidRPr="00471B29">
        <w:rPr>
          <w:rFonts w:ascii="Consolas" w:hAnsi="Consolas" w:cs="Arial"/>
          <w:sz w:val="20"/>
          <w:lang w:eastAsia="zh-CN"/>
        </w:rPr>
        <w:t>)</w:t>
      </w:r>
      <w:r w:rsidRPr="00471B29">
        <w:t xml:space="preserve"> is the bilateral gross saving-investment matrix, shown in table </w:t>
      </w:r>
      <w:proofErr w:type="spellStart"/>
      <w:r w:rsidRPr="00471B29">
        <w:t>A2</w:t>
      </w:r>
      <w:proofErr w:type="spellEnd"/>
      <w:r w:rsidRPr="00471B29">
        <w:t xml:space="preserve">, and </w:t>
      </w:r>
      <w:proofErr w:type="spellStart"/>
      <w:r w:rsidRPr="00471B29">
        <w:rPr>
          <w:rFonts w:ascii="Consolas" w:hAnsi="Consolas" w:cs="Arial"/>
          <w:sz w:val="20"/>
          <w:lang w:eastAsia="zh-CN"/>
        </w:rPr>
        <w:t>qGInv</w:t>
      </w:r>
      <w:proofErr w:type="spellEnd"/>
      <w:r w:rsidRPr="00471B29">
        <w:rPr>
          <w:rFonts w:ascii="Consolas" w:hAnsi="Consolas" w:cs="Arial"/>
          <w:sz w:val="20"/>
          <w:lang w:eastAsia="zh-CN"/>
        </w:rPr>
        <w:t>(</w:t>
      </w:r>
      <w:proofErr w:type="spellStart"/>
      <w:r w:rsidRPr="00471B29">
        <w:rPr>
          <w:rFonts w:ascii="Consolas" w:hAnsi="Consolas" w:cs="Arial"/>
          <w:sz w:val="20"/>
          <w:lang w:eastAsia="zh-CN"/>
        </w:rPr>
        <w:t>r,s</w:t>
      </w:r>
      <w:proofErr w:type="spellEnd"/>
      <w:r w:rsidRPr="00471B29">
        <w:rPr>
          <w:rFonts w:ascii="Consolas" w:hAnsi="Consolas" w:cs="Arial"/>
          <w:sz w:val="20"/>
          <w:lang w:eastAsia="zh-CN"/>
        </w:rPr>
        <w:t>)</w:t>
      </w:r>
      <w:r w:rsidRPr="00471B29">
        <w:t xml:space="preserve"> is the percentage change variable for the investment demand of region </w:t>
      </w:r>
      <w:r w:rsidRPr="00471B29">
        <w:rPr>
          <w:i/>
        </w:rPr>
        <w:t>s</w:t>
      </w:r>
      <w:r w:rsidRPr="00471B29">
        <w:t xml:space="preserve"> for savings from region </w:t>
      </w:r>
      <w:r w:rsidRPr="00471B29">
        <w:rPr>
          <w:i/>
        </w:rPr>
        <w:t>r</w:t>
      </w:r>
      <w:r w:rsidRPr="00471B29">
        <w:t xml:space="preserve">. </w:t>
      </w:r>
    </w:p>
    <w:p w:rsidR="00BE6707" w:rsidRDefault="00255E6B" w:rsidP="00BE6707">
      <w:pPr>
        <w:pStyle w:val="BodyText"/>
      </w:pPr>
      <w:r w:rsidRPr="00471B29">
        <w:t xml:space="preserve">Globally, all measures of production, income and expenditure decrease by the same amount </w:t>
      </w:r>
      <w:r>
        <w:t xml:space="preserve">in real terms (table </w:t>
      </w:r>
      <w:proofErr w:type="spellStart"/>
      <w:r>
        <w:t>A3</w:t>
      </w:r>
      <w:proofErr w:type="spellEnd"/>
      <w:r>
        <w:t xml:space="preserve">). </w:t>
      </w:r>
      <w:r w:rsidR="00BE6707">
        <w:t>T</w:t>
      </w:r>
      <w:r>
        <w:t>his is because t</w:t>
      </w:r>
      <w:r w:rsidR="00BE6707">
        <w:t xml:space="preserve">he four </w:t>
      </w:r>
      <w:r>
        <w:t xml:space="preserve">measures </w:t>
      </w:r>
      <w:r w:rsidR="00BE6707">
        <w:t xml:space="preserve">capture, from different aspects, the production and utilisation of the same real income in the world. </w:t>
      </w:r>
      <w:r>
        <w:t xml:space="preserve">Changes in the global allocation of production, income and expenditure differ however across countries. </w:t>
      </w:r>
      <w:r w:rsidR="00BE6707">
        <w:t xml:space="preserve">The real GDP and </w:t>
      </w:r>
      <w:proofErr w:type="spellStart"/>
      <w:r w:rsidR="00BE6707">
        <w:t>GDA</w:t>
      </w:r>
      <w:proofErr w:type="spellEnd"/>
      <w:r w:rsidR="00BE6707">
        <w:t xml:space="preserve"> represent the real income and expenditure, produced and consumed within a </w:t>
      </w:r>
      <w:r w:rsidR="00BE6707">
        <w:lastRenderedPageBreak/>
        <w:t xml:space="preserve">country, while real GNP and </w:t>
      </w:r>
      <w:proofErr w:type="spellStart"/>
      <w:r w:rsidR="00BE6707">
        <w:t>GNA</w:t>
      </w:r>
      <w:proofErr w:type="spellEnd"/>
      <w:r w:rsidR="00BE6707">
        <w:t xml:space="preserve"> represent the real income and expenditure, produced and consumed by residents</w:t>
      </w:r>
      <w:r>
        <w:t>, accounting for any foreign ownership</w:t>
      </w:r>
      <w:r w:rsidR="00BE6707">
        <w:t xml:space="preserve">. </w:t>
      </w:r>
      <w:r w:rsidR="00AA15D7">
        <w:t>R</w:t>
      </w:r>
      <w:r w:rsidR="00BE6707">
        <w:t xml:space="preserve">eal GNP and </w:t>
      </w:r>
      <w:proofErr w:type="spellStart"/>
      <w:r w:rsidR="00BE6707">
        <w:t>GNA</w:t>
      </w:r>
      <w:proofErr w:type="spellEnd"/>
      <w:r w:rsidR="00BE6707">
        <w:t xml:space="preserve"> are indicators of how a country’s real income is produced and how this income is consumed by residents. Especially, real </w:t>
      </w:r>
      <w:proofErr w:type="spellStart"/>
      <w:r w:rsidR="00BE6707">
        <w:t>GNA</w:t>
      </w:r>
      <w:proofErr w:type="spellEnd"/>
      <w:r w:rsidR="00BE6707">
        <w:t xml:space="preserve"> </w:t>
      </w:r>
      <w:r w:rsidR="00AA15D7">
        <w:t xml:space="preserve">indicates </w:t>
      </w:r>
      <w:r w:rsidR="00BE6707">
        <w:t xml:space="preserve">the purchasing power of a country’s national income, which is an accurate measure of the benefits or losses </w:t>
      </w:r>
      <w:r w:rsidR="00AA15D7">
        <w:t>from a</w:t>
      </w:r>
      <w:r w:rsidR="00BE6707">
        <w:t xml:space="preserve"> policy change.</w:t>
      </w:r>
      <w:r w:rsidR="00BE6707" w:rsidRPr="00835E61">
        <w:t xml:space="preserve"> </w:t>
      </w:r>
    </w:p>
    <w:p w:rsidR="00BE6707" w:rsidRDefault="005D1C59" w:rsidP="00BE6707">
      <w:pPr>
        <w:pStyle w:val="Heading2"/>
      </w:pPr>
      <w:bookmarkStart w:id="20" w:name="_Toc26430226"/>
      <w:r>
        <w:t>Decomposing</w:t>
      </w:r>
      <w:r w:rsidR="00BE6707">
        <w:t xml:space="preserve"> results for real </w:t>
      </w:r>
      <w:proofErr w:type="spellStart"/>
      <w:r w:rsidR="00BE6707">
        <w:t>GNA</w:t>
      </w:r>
      <w:bookmarkEnd w:id="20"/>
      <w:proofErr w:type="spellEnd"/>
      <w:r w:rsidR="00BE6707">
        <w:t xml:space="preserve"> </w:t>
      </w:r>
    </w:p>
    <w:p w:rsidR="00BE6707" w:rsidRDefault="00BE6707" w:rsidP="00BE6707">
      <w:pPr>
        <w:pStyle w:val="BodyText"/>
      </w:pPr>
      <w:r>
        <w:t>As mentioned in the previous section,</w:t>
      </w:r>
      <w:r w:rsidRPr="00394E17">
        <w:t xml:space="preserve"> </w:t>
      </w:r>
      <w:r>
        <w:t>t</w:t>
      </w:r>
      <w:r w:rsidRPr="00394E17">
        <w:t xml:space="preserve">he </w:t>
      </w:r>
      <w:r>
        <w:t xml:space="preserve">change in </w:t>
      </w:r>
      <w:r w:rsidRPr="00394E17">
        <w:t xml:space="preserve">real </w:t>
      </w:r>
      <w:proofErr w:type="spellStart"/>
      <w:r w:rsidRPr="00394E17">
        <w:t>GNA</w:t>
      </w:r>
      <w:proofErr w:type="spellEnd"/>
      <w:r w:rsidRPr="00394E17">
        <w:t xml:space="preserve"> can </w:t>
      </w:r>
      <w:r>
        <w:t xml:space="preserve">be decomposed into changes in real GNP and the terms of trade and investment effects on the </w:t>
      </w:r>
      <w:proofErr w:type="spellStart"/>
      <w:r>
        <w:t>BoP</w:t>
      </w:r>
      <w:proofErr w:type="spellEnd"/>
      <w:r>
        <w:t xml:space="preserve"> accounts,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Consolas"/>
          <w:sz w:val="20"/>
          <w:lang w:eastAsia="zh-CN"/>
        </w:rPr>
        <w:t>d_qGNA2</w:t>
      </w:r>
      <w:proofErr w:type="spellEnd"/>
      <w:r w:rsidRPr="00471B29">
        <w:rPr>
          <w:rFonts w:ascii="Consolas" w:hAnsi="Consolas" w:cs="Consolas"/>
          <w:sz w:val="20"/>
          <w:lang w:eastAsia="zh-CN"/>
        </w:rPr>
        <w:t xml:space="preserve">(r) = </w:t>
      </w:r>
      <w:proofErr w:type="spellStart"/>
      <w:r w:rsidRPr="00471B29">
        <w:rPr>
          <w:rFonts w:ascii="Consolas" w:hAnsi="Consolas" w:cs="Consolas"/>
          <w:sz w:val="20"/>
          <w:lang w:eastAsia="zh-CN"/>
        </w:rPr>
        <w:t>d_qGNP</w:t>
      </w:r>
      <w:proofErr w:type="spellEnd"/>
      <w:r w:rsidRPr="00471B29">
        <w:rPr>
          <w:rFonts w:ascii="Consolas" w:hAnsi="Consolas" w:cs="Consolas"/>
          <w:sz w:val="20"/>
          <w:lang w:eastAsia="zh-CN"/>
        </w:rPr>
        <w:t xml:space="preserve">(r) </w:t>
      </w:r>
      <w:r w:rsidR="004E59E3" w:rsidRPr="00471B29">
        <w:rPr>
          <w:rFonts w:ascii="Consolas" w:hAnsi="Consolas" w:cs="Consolas"/>
          <w:sz w:val="20"/>
          <w:lang w:eastAsia="zh-CN"/>
        </w:rPr>
        <w:t>+</w:t>
      </w:r>
      <w:r w:rsidRPr="00471B29">
        <w:rPr>
          <w:rFonts w:ascii="Consolas" w:hAnsi="Consolas" w:cs="Consolas"/>
          <w:sz w:val="20"/>
          <w:lang w:eastAsia="zh-CN"/>
        </w:rPr>
        <w:t xml:space="preserve"> </w:t>
      </w:r>
      <w:proofErr w:type="spellStart"/>
      <w:r w:rsidRPr="00471B29">
        <w:rPr>
          <w:rFonts w:ascii="Consolas" w:hAnsi="Consolas" w:cs="Consolas"/>
          <w:sz w:val="20"/>
          <w:lang w:eastAsia="zh-CN"/>
        </w:rPr>
        <w:t>d_</w:t>
      </w:r>
      <w:r w:rsidR="004E59E3" w:rsidRPr="00471B29">
        <w:rPr>
          <w:rFonts w:ascii="Consolas" w:hAnsi="Consolas" w:cs="Consolas"/>
          <w:sz w:val="20"/>
          <w:lang w:eastAsia="zh-CN"/>
        </w:rPr>
        <w:t>q</w:t>
      </w:r>
      <w:r w:rsidRPr="00471B29">
        <w:rPr>
          <w:rFonts w:ascii="Consolas" w:hAnsi="Consolas" w:cs="Consolas"/>
          <w:sz w:val="20"/>
          <w:lang w:eastAsia="zh-CN"/>
        </w:rPr>
        <w:t>BOP</w:t>
      </w:r>
      <w:proofErr w:type="spellEnd"/>
      <w:r w:rsidRPr="00471B29">
        <w:rPr>
          <w:rFonts w:ascii="Consolas" w:hAnsi="Consolas" w:cs="Consolas"/>
          <w:sz w:val="20"/>
          <w:lang w:eastAsia="zh-CN"/>
        </w:rPr>
        <w:t xml:space="preserve">(r); </w:t>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A4</w:t>
      </w:r>
      <w:proofErr w:type="spellEnd"/>
      <w:r w:rsidRPr="00471B29">
        <w:t xml:space="preserve">) </w:t>
      </w:r>
    </w:p>
    <w:p w:rsidR="00BE6707" w:rsidRPr="00471B29" w:rsidRDefault="00BE6707" w:rsidP="00BE6707">
      <w:pPr>
        <w:pStyle w:val="BodyText"/>
      </w:pPr>
      <w:r w:rsidRPr="00471B29">
        <w:t xml:space="preserve">where </w:t>
      </w:r>
      <w:proofErr w:type="spellStart"/>
      <w:r w:rsidRPr="00471B29">
        <w:rPr>
          <w:rFonts w:ascii="Consolas" w:hAnsi="Consolas" w:cs="Consolas"/>
          <w:sz w:val="20"/>
          <w:lang w:eastAsia="zh-CN"/>
        </w:rPr>
        <w:t>d_</w:t>
      </w:r>
      <w:r w:rsidR="004E59E3" w:rsidRPr="00471B29">
        <w:rPr>
          <w:rFonts w:ascii="Consolas" w:hAnsi="Consolas" w:cs="Consolas"/>
          <w:sz w:val="20"/>
          <w:lang w:eastAsia="zh-CN"/>
        </w:rPr>
        <w:t>q</w:t>
      </w:r>
      <w:r w:rsidRPr="00471B29">
        <w:rPr>
          <w:rFonts w:ascii="Consolas" w:hAnsi="Consolas" w:cs="Consolas"/>
          <w:sz w:val="20"/>
          <w:lang w:eastAsia="zh-CN"/>
        </w:rPr>
        <w:t>BOP</w:t>
      </w:r>
      <w:proofErr w:type="spellEnd"/>
      <w:r w:rsidRPr="00471B29">
        <w:rPr>
          <w:rFonts w:ascii="Consolas" w:hAnsi="Consolas" w:cs="Consolas"/>
          <w:sz w:val="20"/>
          <w:lang w:eastAsia="zh-CN"/>
        </w:rPr>
        <w:t>(r)</w:t>
      </w:r>
      <w:r w:rsidRPr="00471B29">
        <w:t xml:space="preserve"> is the </w:t>
      </w:r>
      <w:r w:rsidR="00810D12" w:rsidRPr="00471B29">
        <w:t xml:space="preserve">real </w:t>
      </w:r>
      <w:r w:rsidRPr="00471B29">
        <w:t xml:space="preserve">change in the </w:t>
      </w:r>
      <w:proofErr w:type="spellStart"/>
      <w:r w:rsidR="00810D12" w:rsidRPr="00471B29">
        <w:t>BoP</w:t>
      </w:r>
      <w:proofErr w:type="spellEnd"/>
      <w:r w:rsidRPr="00471B29">
        <w:t xml:space="preserve">, defined as the difference between the current and capital account balances, caused by international relative price changes,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Consolas"/>
          <w:sz w:val="20"/>
          <w:lang w:eastAsia="zh-CN"/>
        </w:rPr>
        <w:t>d_</w:t>
      </w:r>
      <w:r w:rsidR="004E59E3" w:rsidRPr="00471B29">
        <w:rPr>
          <w:rFonts w:ascii="Consolas" w:hAnsi="Consolas" w:cs="Consolas"/>
          <w:sz w:val="20"/>
          <w:lang w:eastAsia="zh-CN"/>
        </w:rPr>
        <w:t>q</w:t>
      </w:r>
      <w:r w:rsidRPr="00471B29">
        <w:rPr>
          <w:rFonts w:ascii="Consolas" w:hAnsi="Consolas" w:cs="Consolas"/>
          <w:sz w:val="20"/>
          <w:lang w:eastAsia="zh-CN"/>
        </w:rPr>
        <w:t>BOP</w:t>
      </w:r>
      <w:proofErr w:type="spellEnd"/>
      <w:r w:rsidRPr="00471B29">
        <w:rPr>
          <w:rFonts w:ascii="Consolas" w:hAnsi="Consolas" w:cs="Consolas"/>
          <w:sz w:val="20"/>
          <w:lang w:eastAsia="zh-CN"/>
        </w:rPr>
        <w:t xml:space="preserve">(r) = </w:t>
      </w:r>
      <w:proofErr w:type="spellStart"/>
      <w:r w:rsidRPr="00471B29">
        <w:rPr>
          <w:rFonts w:ascii="Consolas" w:hAnsi="Consolas" w:cs="Consolas"/>
          <w:sz w:val="20"/>
          <w:lang w:eastAsia="zh-CN"/>
        </w:rPr>
        <w:t>d_p</w:t>
      </w:r>
      <w:r w:rsidR="004E59E3" w:rsidRPr="00471B29">
        <w:rPr>
          <w:rFonts w:ascii="Consolas" w:hAnsi="Consolas" w:cs="Consolas"/>
          <w:sz w:val="20"/>
          <w:lang w:eastAsia="zh-CN"/>
        </w:rPr>
        <w:t>T</w:t>
      </w:r>
      <w:r w:rsidRPr="00471B29">
        <w:rPr>
          <w:rFonts w:ascii="Consolas" w:hAnsi="Consolas" w:cs="Consolas"/>
          <w:sz w:val="20"/>
          <w:lang w:eastAsia="zh-CN"/>
        </w:rPr>
        <w:t>AB</w:t>
      </w:r>
      <w:proofErr w:type="spellEnd"/>
      <w:r w:rsidRPr="00471B29">
        <w:rPr>
          <w:rFonts w:ascii="Consolas" w:hAnsi="Consolas" w:cs="Consolas"/>
          <w:sz w:val="20"/>
          <w:lang w:eastAsia="zh-CN"/>
        </w:rPr>
        <w:t xml:space="preserve">(r) </w:t>
      </w:r>
      <w:r w:rsidR="004E59E3" w:rsidRPr="00471B29">
        <w:rPr>
          <w:rFonts w:ascii="Consolas" w:hAnsi="Consolas" w:cs="Consolas"/>
          <w:sz w:val="20"/>
          <w:lang w:eastAsia="zh-CN"/>
        </w:rPr>
        <w:t>+</w:t>
      </w:r>
      <w:r w:rsidRPr="00471B29">
        <w:rPr>
          <w:rFonts w:ascii="Consolas" w:hAnsi="Consolas" w:cs="Consolas"/>
          <w:sz w:val="20"/>
          <w:lang w:eastAsia="zh-CN"/>
        </w:rPr>
        <w:t xml:space="preserve"> </w:t>
      </w:r>
      <w:proofErr w:type="spellStart"/>
      <w:r w:rsidRPr="00471B29">
        <w:rPr>
          <w:rFonts w:ascii="Consolas" w:hAnsi="Consolas" w:cs="Consolas"/>
          <w:sz w:val="20"/>
          <w:lang w:eastAsia="zh-CN"/>
        </w:rPr>
        <w:t>d_p</w:t>
      </w:r>
      <w:r w:rsidR="004E59E3" w:rsidRPr="00471B29">
        <w:rPr>
          <w:rFonts w:ascii="Consolas" w:hAnsi="Consolas" w:cs="Consolas"/>
          <w:sz w:val="20"/>
          <w:lang w:eastAsia="zh-CN"/>
        </w:rPr>
        <w:t>I</w:t>
      </w:r>
      <w:r w:rsidRPr="00471B29">
        <w:rPr>
          <w:rFonts w:ascii="Consolas" w:hAnsi="Consolas" w:cs="Consolas"/>
          <w:sz w:val="20"/>
          <w:lang w:eastAsia="zh-CN"/>
        </w:rPr>
        <w:t>AB</w:t>
      </w:r>
      <w:proofErr w:type="spellEnd"/>
      <w:r w:rsidRPr="00471B29">
        <w:rPr>
          <w:rFonts w:ascii="Consolas" w:hAnsi="Consolas" w:cs="Consolas"/>
          <w:sz w:val="20"/>
          <w:lang w:eastAsia="zh-CN"/>
        </w:rPr>
        <w:t xml:space="preserve">(r) - </w:t>
      </w:r>
      <w:proofErr w:type="spellStart"/>
      <w:r w:rsidRPr="00471B29">
        <w:rPr>
          <w:rFonts w:ascii="Consolas" w:hAnsi="Consolas" w:cs="Consolas"/>
          <w:sz w:val="20"/>
          <w:lang w:eastAsia="zh-CN"/>
        </w:rPr>
        <w:t>d_p</w:t>
      </w:r>
      <w:r w:rsidR="004E59E3" w:rsidRPr="00471B29">
        <w:rPr>
          <w:rFonts w:ascii="Consolas" w:hAnsi="Consolas" w:cs="Consolas"/>
          <w:sz w:val="20"/>
          <w:lang w:eastAsia="zh-CN"/>
        </w:rPr>
        <w:t>K</w:t>
      </w:r>
      <w:r w:rsidRPr="00471B29">
        <w:rPr>
          <w:rFonts w:ascii="Consolas" w:hAnsi="Consolas" w:cs="Consolas"/>
          <w:sz w:val="20"/>
          <w:lang w:eastAsia="zh-CN"/>
        </w:rPr>
        <w:t>AB</w:t>
      </w:r>
      <w:proofErr w:type="spellEnd"/>
      <w:r w:rsidRPr="00471B29">
        <w:rPr>
          <w:rFonts w:ascii="Consolas" w:hAnsi="Consolas" w:cs="Consolas"/>
          <w:sz w:val="20"/>
          <w:lang w:eastAsia="zh-CN"/>
        </w:rPr>
        <w:t xml:space="preserve">(r); </w:t>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A5</w:t>
      </w:r>
      <w:proofErr w:type="spellEnd"/>
      <w:r w:rsidRPr="00471B29">
        <w:t xml:space="preserve">) </w:t>
      </w:r>
    </w:p>
    <w:p w:rsidR="00BE6707" w:rsidRPr="00471B29" w:rsidRDefault="00BE6707" w:rsidP="00BE6707">
      <w:pPr>
        <w:pStyle w:val="BodyText"/>
      </w:pPr>
      <w:r w:rsidRPr="00471B29">
        <w:t xml:space="preserve">where </w:t>
      </w:r>
      <w:proofErr w:type="spellStart"/>
      <w:r w:rsidRPr="00471B29">
        <w:rPr>
          <w:rFonts w:ascii="Consolas" w:hAnsi="Consolas" w:cs="Consolas"/>
          <w:sz w:val="20"/>
          <w:lang w:eastAsia="zh-CN"/>
        </w:rPr>
        <w:t>d_pTAB</w:t>
      </w:r>
      <w:proofErr w:type="spellEnd"/>
      <w:r w:rsidRPr="00471B29">
        <w:rPr>
          <w:rFonts w:ascii="Consolas" w:hAnsi="Consolas" w:cs="Consolas"/>
          <w:sz w:val="20"/>
          <w:lang w:eastAsia="zh-CN"/>
        </w:rPr>
        <w:t>(r)</w:t>
      </w:r>
      <w:r w:rsidRPr="00471B29">
        <w:t xml:space="preserve"> is the effect of terms of trade changes on the balance of trade, </w:t>
      </w:r>
    </w:p>
    <w:p w:rsidR="00BE6707" w:rsidRPr="00471B29" w:rsidRDefault="00BE6707" w:rsidP="00BE6707">
      <w:pPr>
        <w:pStyle w:val="BodyText"/>
        <w:jc w:val="left"/>
      </w:pPr>
      <w:r w:rsidRPr="00471B29">
        <w:t xml:space="preserve"> </w:t>
      </w:r>
      <w:r w:rsidRPr="00471B29">
        <w:rPr>
          <w:rFonts w:ascii="Arial" w:hAnsi="Arial" w:cs="Arial"/>
          <w:sz w:val="20"/>
        </w:rPr>
        <w:tab/>
      </w:r>
      <w:proofErr w:type="spellStart"/>
      <w:r w:rsidRPr="00471B29">
        <w:rPr>
          <w:rFonts w:ascii="Consolas" w:hAnsi="Consolas" w:cs="Consolas"/>
          <w:sz w:val="20"/>
          <w:lang w:eastAsia="zh-CN"/>
        </w:rPr>
        <w:t>d_pTAB</w:t>
      </w:r>
      <w:proofErr w:type="spellEnd"/>
      <w:r w:rsidRPr="00471B29">
        <w:rPr>
          <w:rFonts w:ascii="Consolas" w:hAnsi="Consolas" w:cs="Consolas"/>
          <w:sz w:val="20"/>
          <w:lang w:eastAsia="zh-CN"/>
        </w:rPr>
        <w:t xml:space="preserve">(r) = </w:t>
      </w:r>
      <w:r w:rsidRPr="00471B29">
        <w:rPr>
          <w:rFonts w:ascii="Consolas" w:hAnsi="Consolas" w:cs="Consolas"/>
          <w:b/>
          <w:bCs/>
          <w:sz w:val="20"/>
          <w:lang w:eastAsia="zh-CN"/>
        </w:rPr>
        <w:t>sum{</w:t>
      </w:r>
      <w:proofErr w:type="spellStart"/>
      <w:r w:rsidRPr="00471B29">
        <w:rPr>
          <w:rFonts w:ascii="Consolas" w:hAnsi="Consolas" w:cs="Consolas"/>
          <w:sz w:val="20"/>
          <w:lang w:eastAsia="zh-CN"/>
        </w:rPr>
        <w:t>i,TRAD_COMM</w:t>
      </w:r>
      <w:proofErr w:type="spellEnd"/>
      <w:r w:rsidRPr="00471B29">
        <w:rPr>
          <w:rFonts w:ascii="Consolas" w:hAnsi="Consolas" w:cs="Consolas"/>
          <w:sz w:val="20"/>
          <w:lang w:eastAsia="zh-CN"/>
        </w:rPr>
        <w:t xml:space="preserve">, </w:t>
      </w:r>
      <w:r w:rsidRPr="00471B29">
        <w:rPr>
          <w:rFonts w:ascii="Consolas" w:hAnsi="Consolas" w:cs="Consolas"/>
          <w:b/>
          <w:bCs/>
          <w:sz w:val="20"/>
          <w:lang w:eastAsia="zh-CN"/>
        </w:rPr>
        <w:t>sum{</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VXWD</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i,r,s</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pfob</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i,r,s</w:t>
      </w:r>
      <w:proofErr w:type="spellEnd"/>
      <w:r w:rsidRPr="00471B29">
        <w:rPr>
          <w:rFonts w:ascii="Consolas" w:hAnsi="Consolas" w:cs="Consolas"/>
          <w:sz w:val="20"/>
          <w:lang w:eastAsia="zh-CN"/>
        </w:rPr>
        <w:t>)</w:t>
      </w:r>
      <w:r w:rsidRPr="00471B29">
        <w:rPr>
          <w:rFonts w:ascii="Consolas" w:hAnsi="Consolas" w:cs="Consolas"/>
          <w:b/>
          <w:bCs/>
          <w:sz w:val="20"/>
          <w:lang w:eastAsia="zh-CN"/>
        </w:rPr>
        <w:t>}}</w:t>
      </w:r>
      <w:r w:rsidRPr="00471B29">
        <w:rPr>
          <w:rFonts w:ascii="Consolas" w:hAnsi="Consolas" w:cs="Consolas"/>
          <w:sz w:val="20"/>
          <w:lang w:eastAsia="zh-CN"/>
        </w:rPr>
        <w:br/>
        <w:t xml:space="preserve">                               + </w:t>
      </w:r>
      <w:r w:rsidRPr="00471B29">
        <w:rPr>
          <w:rFonts w:ascii="Consolas" w:hAnsi="Consolas" w:cs="Consolas"/>
          <w:b/>
          <w:bCs/>
          <w:sz w:val="20"/>
          <w:lang w:eastAsia="zh-CN"/>
        </w:rPr>
        <w:t>sum{</w:t>
      </w:r>
      <w:proofErr w:type="spellStart"/>
      <w:r w:rsidRPr="00471B29">
        <w:rPr>
          <w:rFonts w:ascii="Consolas" w:hAnsi="Consolas" w:cs="Consolas"/>
          <w:sz w:val="20"/>
          <w:lang w:eastAsia="zh-CN"/>
        </w:rPr>
        <w:t>m,MARG_COMM</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VST</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m,r</w:t>
      </w:r>
      <w:proofErr w:type="spellEnd"/>
      <w:r w:rsidRPr="00471B29">
        <w:rPr>
          <w:rFonts w:ascii="Consolas" w:hAnsi="Consolas" w:cs="Consolas"/>
          <w:sz w:val="20"/>
          <w:lang w:eastAsia="zh-CN"/>
        </w:rPr>
        <w:t>)/100 * pm(</w:t>
      </w:r>
      <w:proofErr w:type="spellStart"/>
      <w:r w:rsidRPr="00471B29">
        <w:rPr>
          <w:rFonts w:ascii="Consolas" w:hAnsi="Consolas" w:cs="Consolas"/>
          <w:sz w:val="20"/>
          <w:lang w:eastAsia="zh-CN"/>
        </w:rPr>
        <w:t>m,r</w:t>
      </w:r>
      <w:proofErr w:type="spellEnd"/>
      <w:r w:rsidRPr="00471B29">
        <w:rPr>
          <w:rFonts w:ascii="Consolas" w:hAnsi="Consolas" w:cs="Consolas"/>
          <w:sz w:val="20"/>
          <w:lang w:eastAsia="zh-CN"/>
        </w:rPr>
        <w:t>)</w:t>
      </w:r>
      <w:r w:rsidRPr="00471B29">
        <w:rPr>
          <w:rFonts w:ascii="Consolas" w:hAnsi="Consolas" w:cs="Consolas"/>
          <w:b/>
          <w:bCs/>
          <w:sz w:val="20"/>
          <w:lang w:eastAsia="zh-CN"/>
        </w:rPr>
        <w:t>}</w:t>
      </w:r>
      <w:r w:rsidRPr="00471B29">
        <w:rPr>
          <w:rFonts w:ascii="Consolas" w:hAnsi="Consolas" w:cs="Consolas"/>
          <w:sz w:val="20"/>
          <w:lang w:eastAsia="zh-CN"/>
        </w:rPr>
        <w:br/>
        <w:t xml:space="preserve">                 - </w:t>
      </w:r>
      <w:r w:rsidRPr="00471B29">
        <w:rPr>
          <w:rFonts w:ascii="Consolas" w:hAnsi="Consolas" w:cs="Consolas"/>
          <w:b/>
          <w:bCs/>
          <w:sz w:val="20"/>
          <w:lang w:eastAsia="zh-CN"/>
        </w:rPr>
        <w:t>sum{</w:t>
      </w:r>
      <w:proofErr w:type="spellStart"/>
      <w:r w:rsidRPr="00471B29">
        <w:rPr>
          <w:rFonts w:ascii="Consolas" w:hAnsi="Consolas" w:cs="Consolas"/>
          <w:sz w:val="20"/>
          <w:lang w:eastAsia="zh-CN"/>
        </w:rPr>
        <w:t>i,TRAD_COMM</w:t>
      </w:r>
      <w:proofErr w:type="spellEnd"/>
      <w:r w:rsidRPr="00471B29">
        <w:rPr>
          <w:rFonts w:ascii="Consolas" w:hAnsi="Consolas" w:cs="Consolas"/>
          <w:sz w:val="20"/>
          <w:lang w:eastAsia="zh-CN"/>
        </w:rPr>
        <w:t xml:space="preserve">, </w:t>
      </w:r>
      <w:r w:rsidRPr="00471B29">
        <w:rPr>
          <w:rFonts w:ascii="Consolas" w:hAnsi="Consolas" w:cs="Consolas"/>
          <w:b/>
          <w:bCs/>
          <w:sz w:val="20"/>
          <w:lang w:eastAsia="zh-CN"/>
        </w:rPr>
        <w:t>sum{</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VIWS</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i,s,r</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pcif</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i,s,r</w:t>
      </w:r>
      <w:proofErr w:type="spellEnd"/>
      <w:r w:rsidRPr="00471B29">
        <w:rPr>
          <w:rFonts w:ascii="Consolas" w:hAnsi="Consolas" w:cs="Consolas"/>
          <w:sz w:val="20"/>
          <w:lang w:eastAsia="zh-CN"/>
        </w:rPr>
        <w:t>)</w:t>
      </w:r>
      <w:r w:rsidRPr="00471B29">
        <w:rPr>
          <w:rFonts w:ascii="Consolas" w:hAnsi="Consolas" w:cs="Consolas"/>
          <w:b/>
          <w:bCs/>
          <w:sz w:val="20"/>
          <w:lang w:eastAsia="zh-CN"/>
        </w:rPr>
        <w:t>}}</w:t>
      </w:r>
      <w:r w:rsidRPr="00471B29">
        <w:rPr>
          <w:rFonts w:ascii="Consolas" w:hAnsi="Consolas" w:cs="Consolas"/>
          <w:sz w:val="20"/>
          <w:lang w:eastAsia="zh-CN"/>
        </w:rPr>
        <w:t>;</w:t>
      </w:r>
      <w:r w:rsidRPr="00471B29">
        <w:rPr>
          <w:rFonts w:ascii="Consolas" w:hAnsi="Consolas" w:cs="Consolas"/>
          <w:sz w:val="20"/>
          <w:lang w:eastAsia="zh-CN"/>
        </w:rPr>
        <w:br/>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A6</w:t>
      </w:r>
      <w:proofErr w:type="spellEnd"/>
      <w:r w:rsidRPr="00471B29">
        <w:t xml:space="preserve">) </w:t>
      </w:r>
    </w:p>
    <w:p w:rsidR="00BE6707" w:rsidRPr="00471B29" w:rsidRDefault="00BE6707" w:rsidP="00BE6707">
      <w:pPr>
        <w:pStyle w:val="BodyText"/>
      </w:pPr>
      <w:proofErr w:type="spellStart"/>
      <w:r w:rsidRPr="00471B29">
        <w:rPr>
          <w:rFonts w:ascii="Consolas" w:hAnsi="Consolas" w:cs="Consolas"/>
          <w:sz w:val="20"/>
          <w:lang w:eastAsia="zh-CN"/>
        </w:rPr>
        <w:t>d_pIAB</w:t>
      </w:r>
      <w:proofErr w:type="spellEnd"/>
      <w:r w:rsidRPr="00471B29">
        <w:rPr>
          <w:rFonts w:ascii="Consolas" w:hAnsi="Consolas" w:cs="Consolas"/>
          <w:sz w:val="20"/>
          <w:lang w:eastAsia="zh-CN"/>
        </w:rPr>
        <w:t>(r)</w:t>
      </w:r>
      <w:r w:rsidRPr="00471B29">
        <w:t xml:space="preserve"> is the effect of rental price changes on the balance of foreign income account: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Consolas"/>
          <w:sz w:val="20"/>
          <w:lang w:eastAsia="zh-CN"/>
        </w:rPr>
        <w:t>d_pIAB</w:t>
      </w:r>
      <w:proofErr w:type="spellEnd"/>
      <w:r w:rsidRPr="00471B29">
        <w:rPr>
          <w:rFonts w:ascii="Consolas" w:hAnsi="Consolas" w:cs="Consolas"/>
          <w:sz w:val="20"/>
          <w:lang w:eastAsia="zh-CN"/>
        </w:rPr>
        <w:t xml:space="preserve">(r) = </w:t>
      </w:r>
      <w:r w:rsidRPr="00471B29">
        <w:rPr>
          <w:rFonts w:ascii="Consolas" w:hAnsi="Consolas" w:cs="Consolas"/>
          <w:b/>
          <w:bCs/>
          <w:sz w:val="20"/>
          <w:lang w:eastAsia="zh-CN"/>
        </w:rPr>
        <w:t>sum{</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VOA_cap_j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psK_j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w:t>
      </w:r>
      <w:r w:rsidRPr="00471B29">
        <w:rPr>
          <w:rFonts w:ascii="Consolas" w:hAnsi="Consolas" w:cs="Consolas"/>
          <w:sz w:val="20"/>
          <w:lang w:eastAsia="zh-CN"/>
        </w:rPr>
        <w:br/>
        <w:t xml:space="preserve">                           - </w:t>
      </w:r>
      <w:proofErr w:type="spellStart"/>
      <w:r w:rsidRPr="00471B29">
        <w:rPr>
          <w:rFonts w:ascii="Consolas" w:hAnsi="Consolas" w:cs="Consolas"/>
          <w:sz w:val="20"/>
          <w:lang w:eastAsia="zh-CN"/>
        </w:rPr>
        <w:t>VOA_cap_j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s,r</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psK_j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s,r</w:t>
      </w:r>
      <w:proofErr w:type="spellEnd"/>
      <w:r w:rsidRPr="00471B29">
        <w:rPr>
          <w:rFonts w:ascii="Consolas" w:hAnsi="Consolas" w:cs="Consolas"/>
          <w:sz w:val="20"/>
          <w:lang w:eastAsia="zh-CN"/>
        </w:rPr>
        <w:t>)</w:t>
      </w:r>
      <w:r w:rsidRPr="00471B29">
        <w:rPr>
          <w:rFonts w:ascii="Consolas" w:hAnsi="Consolas" w:cs="Consolas"/>
          <w:b/>
          <w:bCs/>
          <w:sz w:val="20"/>
          <w:lang w:eastAsia="zh-CN"/>
        </w:rPr>
        <w:t>}</w:t>
      </w:r>
      <w:r w:rsidRPr="00471B29">
        <w:rPr>
          <w:rFonts w:ascii="Consolas" w:hAnsi="Consolas" w:cs="Consolas"/>
          <w:sz w:val="20"/>
          <w:lang w:eastAsia="zh-CN"/>
        </w:rPr>
        <w:t xml:space="preserve">; </w:t>
      </w:r>
      <w:r w:rsidRPr="00471B29">
        <w:rPr>
          <w:rFonts w:ascii="Consolas" w:hAnsi="Consolas" w:cs="Arial"/>
          <w:sz w:val="20"/>
          <w:lang w:eastAsia="zh-CN"/>
        </w:rPr>
        <w:tab/>
      </w:r>
      <w:r w:rsidRPr="00471B29">
        <w:t>(</w:t>
      </w:r>
      <w:proofErr w:type="spellStart"/>
      <w:r w:rsidRPr="00471B29">
        <w:t>A7</w:t>
      </w:r>
      <w:proofErr w:type="spellEnd"/>
      <w:r w:rsidRPr="00471B29">
        <w:t xml:space="preserve">) </w:t>
      </w:r>
    </w:p>
    <w:p w:rsidR="00EB5659" w:rsidRPr="00471B29" w:rsidRDefault="00EB5659" w:rsidP="00BE6707">
      <w:pPr>
        <w:pStyle w:val="BodyText"/>
        <w:jc w:val="left"/>
      </w:pPr>
      <w:r w:rsidRPr="00471B29">
        <w:t xml:space="preserve">where </w:t>
      </w:r>
      <w:proofErr w:type="spellStart"/>
      <w:r w:rsidRPr="00471B29">
        <w:rPr>
          <w:rFonts w:ascii="Consolas" w:hAnsi="Consolas" w:cs="Consolas"/>
          <w:sz w:val="20"/>
          <w:lang w:eastAsia="zh-CN"/>
        </w:rPr>
        <w:t>VOA_cap_j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w:t>
      </w:r>
      <w:r w:rsidRPr="00471B29">
        <w:t xml:space="preserve"> is the bilateral capital stock matrix and </w:t>
      </w:r>
      <w:proofErr w:type="spellStart"/>
      <w:r w:rsidRPr="00471B29">
        <w:rPr>
          <w:rFonts w:ascii="Consolas" w:hAnsi="Consolas" w:cs="Consolas"/>
          <w:sz w:val="20"/>
          <w:lang w:eastAsia="zh-CN"/>
        </w:rPr>
        <w:t>psK_j</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w:t>
      </w:r>
      <w:r w:rsidRPr="00471B29">
        <w:t xml:space="preserve"> is the rental price of capital, net of income tax. </w:t>
      </w:r>
    </w:p>
    <w:p w:rsidR="00BE6707" w:rsidRPr="00471B29" w:rsidRDefault="00BE6707" w:rsidP="00BE6707">
      <w:pPr>
        <w:pStyle w:val="BodyText"/>
      </w:pPr>
      <w:proofErr w:type="spellStart"/>
      <w:r w:rsidRPr="00471B29">
        <w:rPr>
          <w:rFonts w:ascii="Consolas" w:hAnsi="Consolas" w:cs="Consolas"/>
          <w:sz w:val="20"/>
          <w:lang w:eastAsia="zh-CN"/>
        </w:rPr>
        <w:t>d_pKAB</w:t>
      </w:r>
      <w:proofErr w:type="spellEnd"/>
      <w:r w:rsidRPr="00471B29">
        <w:rPr>
          <w:rFonts w:ascii="Consolas" w:hAnsi="Consolas" w:cs="Consolas"/>
          <w:sz w:val="20"/>
          <w:lang w:eastAsia="zh-CN"/>
        </w:rPr>
        <w:t>(r)</w:t>
      </w:r>
      <w:r w:rsidRPr="00471B29">
        <w:t xml:space="preserve"> is the effect of investment </w:t>
      </w:r>
      <w:r w:rsidR="00AA15D7" w:rsidRPr="00471B29">
        <w:t xml:space="preserve">goods </w:t>
      </w:r>
      <w:r w:rsidRPr="00471B29">
        <w:t xml:space="preserve">price changes on the balance of capital account: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Consolas"/>
          <w:sz w:val="20"/>
          <w:lang w:eastAsia="zh-CN"/>
        </w:rPr>
        <w:t>d_pKAB</w:t>
      </w:r>
      <w:proofErr w:type="spellEnd"/>
      <w:r w:rsidRPr="00471B29">
        <w:rPr>
          <w:rFonts w:ascii="Consolas" w:hAnsi="Consolas" w:cs="Consolas"/>
          <w:sz w:val="20"/>
          <w:lang w:eastAsia="zh-CN"/>
        </w:rPr>
        <w:t xml:space="preserve">(r) = </w:t>
      </w:r>
      <w:r w:rsidRPr="00471B29">
        <w:rPr>
          <w:rFonts w:ascii="Consolas" w:hAnsi="Consolas" w:cs="Consolas"/>
          <w:b/>
          <w:bCs/>
          <w:sz w:val="20"/>
          <w:lang w:eastAsia="zh-CN"/>
        </w:rPr>
        <w:t>sum{</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proofErr w:type="spellStart"/>
      <w:r w:rsidRPr="00471B29">
        <w:rPr>
          <w:rFonts w:ascii="Consolas" w:hAnsi="Consolas" w:cs="Consolas"/>
          <w:sz w:val="20"/>
          <w:lang w:eastAsia="zh-CN"/>
        </w:rPr>
        <w:t>GSavGInv</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r,s</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pcgds</w:t>
      </w:r>
      <w:proofErr w:type="spellEnd"/>
      <w:r w:rsidRPr="00471B29">
        <w:rPr>
          <w:rFonts w:ascii="Consolas" w:hAnsi="Consolas" w:cs="Consolas"/>
          <w:sz w:val="20"/>
          <w:lang w:eastAsia="zh-CN"/>
        </w:rPr>
        <w:t>(s)</w:t>
      </w:r>
      <w:r w:rsidRPr="00471B29">
        <w:rPr>
          <w:rFonts w:ascii="Consolas" w:hAnsi="Consolas" w:cs="Consolas"/>
          <w:sz w:val="20"/>
          <w:lang w:eastAsia="zh-CN"/>
        </w:rPr>
        <w:br/>
        <w:t xml:space="preserve">                           - </w:t>
      </w:r>
      <w:proofErr w:type="spellStart"/>
      <w:r w:rsidRPr="00471B29">
        <w:rPr>
          <w:rFonts w:ascii="Consolas" w:hAnsi="Consolas" w:cs="Consolas"/>
          <w:sz w:val="20"/>
          <w:lang w:eastAsia="zh-CN"/>
        </w:rPr>
        <w:t>GSavGInv</w:t>
      </w:r>
      <w:proofErr w:type="spellEnd"/>
      <w:r w:rsidRPr="00471B29">
        <w:rPr>
          <w:rFonts w:ascii="Consolas" w:hAnsi="Consolas" w:cs="Consolas"/>
          <w:sz w:val="20"/>
          <w:lang w:eastAsia="zh-CN"/>
        </w:rPr>
        <w:t>(</w:t>
      </w:r>
      <w:proofErr w:type="spellStart"/>
      <w:r w:rsidRPr="00471B29">
        <w:rPr>
          <w:rFonts w:ascii="Consolas" w:hAnsi="Consolas" w:cs="Consolas"/>
          <w:sz w:val="20"/>
          <w:lang w:eastAsia="zh-CN"/>
        </w:rPr>
        <w:t>s,r</w:t>
      </w:r>
      <w:proofErr w:type="spellEnd"/>
      <w:r w:rsidRPr="00471B29">
        <w:rPr>
          <w:rFonts w:ascii="Consolas" w:hAnsi="Consolas" w:cs="Consolas"/>
          <w:sz w:val="20"/>
          <w:lang w:eastAsia="zh-CN"/>
        </w:rPr>
        <w:t xml:space="preserve">)/100 * </w:t>
      </w:r>
      <w:proofErr w:type="spellStart"/>
      <w:r w:rsidRPr="00471B29">
        <w:rPr>
          <w:rFonts w:ascii="Consolas" w:hAnsi="Consolas" w:cs="Consolas"/>
          <w:sz w:val="20"/>
          <w:lang w:eastAsia="zh-CN"/>
        </w:rPr>
        <w:t>pcgds</w:t>
      </w:r>
      <w:proofErr w:type="spellEnd"/>
      <w:r w:rsidRPr="00471B29">
        <w:rPr>
          <w:rFonts w:ascii="Consolas" w:hAnsi="Consolas" w:cs="Consolas"/>
          <w:sz w:val="20"/>
          <w:lang w:eastAsia="zh-CN"/>
        </w:rPr>
        <w:t>(r)</w:t>
      </w:r>
      <w:r w:rsidRPr="00471B29">
        <w:rPr>
          <w:rFonts w:ascii="Consolas" w:hAnsi="Consolas" w:cs="Consolas"/>
          <w:b/>
          <w:bCs/>
          <w:sz w:val="20"/>
          <w:lang w:eastAsia="zh-CN"/>
        </w:rPr>
        <w:t>}</w:t>
      </w:r>
      <w:r w:rsidRPr="00471B29">
        <w:rPr>
          <w:rFonts w:ascii="Consolas" w:hAnsi="Consolas" w:cs="Consolas"/>
          <w:sz w:val="20"/>
          <w:lang w:eastAsia="zh-CN"/>
        </w:rPr>
        <w:t xml:space="preserve">; </w:t>
      </w:r>
      <w:r w:rsidRPr="00471B29">
        <w:rPr>
          <w:rFonts w:ascii="Consolas" w:hAnsi="Consolas" w:cs="Arial"/>
          <w:sz w:val="20"/>
          <w:lang w:eastAsia="zh-CN"/>
        </w:rPr>
        <w:tab/>
      </w:r>
      <w:r w:rsidRPr="00471B29">
        <w:t>(</w:t>
      </w:r>
      <w:proofErr w:type="spellStart"/>
      <w:r w:rsidRPr="00471B29">
        <w:t>A8</w:t>
      </w:r>
      <w:proofErr w:type="spellEnd"/>
      <w:r w:rsidRPr="00471B29">
        <w:t xml:space="preserve">) </w:t>
      </w:r>
    </w:p>
    <w:p w:rsidR="00471B29" w:rsidRDefault="00BE6707" w:rsidP="00BE6707">
      <w:pPr>
        <w:pStyle w:val="BodyText"/>
      </w:pPr>
      <w:r>
        <w:t xml:space="preserve">The decomposition of changes in real </w:t>
      </w:r>
      <w:proofErr w:type="spellStart"/>
      <w:r>
        <w:t>GNA</w:t>
      </w:r>
      <w:proofErr w:type="spellEnd"/>
      <w:r>
        <w:t xml:space="preserve"> is shown in table </w:t>
      </w:r>
      <w:proofErr w:type="spellStart"/>
      <w:r>
        <w:t>A4</w:t>
      </w:r>
      <w:proofErr w:type="spellEnd"/>
      <w:r>
        <w:t>.</w:t>
      </w:r>
      <w:r w:rsidRPr="00835E61">
        <w:t xml:space="preserve"> </w:t>
      </w:r>
    </w:p>
    <w:p w:rsidR="00471B29" w:rsidRDefault="00471B29" w:rsidP="00471B29">
      <w:pPr>
        <w:pStyle w:val="BodyText"/>
      </w:pPr>
      <w:r>
        <w:br w:type="page"/>
      </w:r>
    </w:p>
    <w:p w:rsidR="00BE6707" w:rsidRDefault="00BE6707" w:rsidP="00471B2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EB5659">
            <w:pPr>
              <w:pStyle w:val="TableTitle"/>
              <w:ind w:right="-142"/>
            </w:pPr>
            <w:r w:rsidRPr="00604ACB">
              <w:rPr>
                <w:b w:val="0"/>
              </w:rPr>
              <w:t xml:space="preserve">Table </w:t>
            </w:r>
            <w:r>
              <w:rPr>
                <w:b w:val="0"/>
                <w:noProof/>
              </w:rPr>
              <w:t>A4</w:t>
            </w:r>
            <w:r w:rsidRPr="00604ACB">
              <w:tab/>
            </w:r>
            <w:r w:rsidRPr="005A76D3">
              <w:rPr>
                <w:rFonts w:ascii="Arial Bold" w:hAnsi="Arial Bold"/>
                <w:spacing w:val="-4"/>
              </w:rPr>
              <w:t xml:space="preserve">Decomposition of the changes in real </w:t>
            </w:r>
            <w:proofErr w:type="spellStart"/>
            <w:r w:rsidRPr="005A76D3">
              <w:rPr>
                <w:rFonts w:ascii="Arial Bold" w:hAnsi="Arial Bold"/>
                <w:spacing w:val="-4"/>
              </w:rPr>
              <w:t>GNA</w:t>
            </w:r>
            <w:proofErr w:type="spellEnd"/>
            <w:r>
              <w:rPr>
                <w:rFonts w:ascii="Arial Bold" w:hAnsi="Arial Bold"/>
                <w:spacing w:val="-4"/>
              </w:rPr>
              <w:t xml:space="preserve"> </w:t>
            </w:r>
            <w:r w:rsidRPr="00C905FF">
              <w:rPr>
                <w:rFonts w:ascii="Arial Bold" w:hAnsi="Arial Bold"/>
                <w:spacing w:val="-4"/>
              </w:rPr>
              <w:t>(US$ billion)</w:t>
            </w:r>
          </w:p>
        </w:tc>
      </w:tr>
      <w:tr w:rsidR="00BE6707" w:rsidRPr="005136D8" w:rsidTr="00C73D07">
        <w:tc>
          <w:tcPr>
            <w:tcW w:w="5000" w:type="pct"/>
            <w:tcBorders>
              <w:top w:val="nil"/>
              <w:left w:val="nil"/>
              <w:bottom w:val="nil"/>
              <w:right w:val="nil"/>
            </w:tcBorders>
            <w:shd w:val="clear" w:color="auto" w:fill="auto"/>
          </w:tcPr>
          <w:tbl>
            <w:tblPr>
              <w:tblW w:w="8259" w:type="dxa"/>
              <w:jc w:val="center"/>
              <w:tblLook w:val="04A0" w:firstRow="1" w:lastRow="0" w:firstColumn="1" w:lastColumn="0" w:noHBand="0" w:noVBand="1"/>
            </w:tblPr>
            <w:tblGrid>
              <w:gridCol w:w="1179"/>
              <w:gridCol w:w="1180"/>
              <w:gridCol w:w="1180"/>
              <w:gridCol w:w="1180"/>
              <w:gridCol w:w="1180"/>
              <w:gridCol w:w="1180"/>
              <w:gridCol w:w="1180"/>
            </w:tblGrid>
            <w:tr w:rsidR="00BE6707" w:rsidRPr="00471B29" w:rsidTr="00471B29">
              <w:trPr>
                <w:trHeight w:val="288"/>
                <w:jc w:val="center"/>
              </w:trPr>
              <w:tc>
                <w:tcPr>
                  <w:tcW w:w="1179"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sz w:val="18"/>
                      <w:szCs w:val="18"/>
                      <w:lang w:eastAsia="zh-CN"/>
                    </w:rPr>
                  </w:pPr>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d_qGNA2</w:t>
                  </w:r>
                  <w:proofErr w:type="spellEnd"/>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d_qGNP</w:t>
                  </w:r>
                  <w:proofErr w:type="spellEnd"/>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4E59E3">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w:t>
                  </w:r>
                  <w:r w:rsidR="004E59E3" w:rsidRPr="00471B29">
                    <w:rPr>
                      <w:rFonts w:ascii="Arial" w:hAnsi="Arial" w:cs="Arial"/>
                      <w:color w:val="000000"/>
                      <w:sz w:val="18"/>
                      <w:szCs w:val="18"/>
                      <w:lang w:eastAsia="zh-CN"/>
                    </w:rPr>
                    <w:t>q</w:t>
                  </w:r>
                  <w:r w:rsidRPr="00471B29">
                    <w:rPr>
                      <w:rFonts w:ascii="Arial" w:hAnsi="Arial" w:cs="Arial"/>
                      <w:color w:val="000000"/>
                      <w:sz w:val="18"/>
                      <w:szCs w:val="18"/>
                      <w:lang w:eastAsia="zh-CN"/>
                    </w:rPr>
                    <w:t>BOP</w:t>
                  </w:r>
                  <w:proofErr w:type="spellEnd"/>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d_pTAB</w:t>
                  </w:r>
                  <w:proofErr w:type="spellEnd"/>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d_pIAB</w:t>
                  </w:r>
                  <w:proofErr w:type="spellEnd"/>
                </w:p>
              </w:tc>
              <w:tc>
                <w:tcPr>
                  <w:tcW w:w="1180" w:type="dxa"/>
                  <w:tcBorders>
                    <w:top w:val="single" w:sz="4" w:space="0" w:color="BFBFBF"/>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proofErr w:type="spellStart"/>
                  <w:r w:rsidRPr="00471B29">
                    <w:rPr>
                      <w:rFonts w:ascii="Arial" w:hAnsi="Arial" w:cs="Arial"/>
                      <w:color w:val="000000"/>
                      <w:sz w:val="18"/>
                      <w:szCs w:val="18"/>
                      <w:lang w:eastAsia="zh-CN"/>
                    </w:rPr>
                    <w:t>d_pKAB</w:t>
                  </w:r>
                  <w:proofErr w:type="spellEnd"/>
                </w:p>
              </w:tc>
            </w:tr>
            <w:tr w:rsidR="00BE6707" w:rsidRPr="00471B29" w:rsidTr="00471B29">
              <w:trPr>
                <w:trHeight w:val="288"/>
                <w:jc w:val="center"/>
              </w:trPr>
              <w:tc>
                <w:tcPr>
                  <w:tcW w:w="1179" w:type="dxa"/>
                  <w:tcBorders>
                    <w:top w:val="single" w:sz="4" w:space="0" w:color="BFBFBF"/>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AUS</w:t>
                  </w:r>
                  <w:proofErr w:type="spellEnd"/>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0.13</w:t>
                  </w:r>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0.12</w:t>
                  </w:r>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0.00</w:t>
                  </w:r>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-0.01</w:t>
                  </w:r>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0.02</w:t>
                  </w:r>
                </w:p>
              </w:tc>
              <w:tc>
                <w:tcPr>
                  <w:tcW w:w="1180" w:type="dxa"/>
                  <w:tcBorders>
                    <w:top w:val="single" w:sz="4" w:space="0" w:color="BFBFBF"/>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0.01</w:t>
                  </w:r>
                </w:p>
              </w:tc>
            </w:tr>
            <w:tr w:rsidR="00BE6707" w:rsidRPr="00471B29" w:rsidTr="00C73D07">
              <w:trPr>
                <w:trHeight w:val="288"/>
                <w:jc w:val="center"/>
              </w:trPr>
              <w:tc>
                <w:tcPr>
                  <w:tcW w:w="1179" w:type="dxa"/>
                  <w:tcBorders>
                    <w:top w:val="nil"/>
                    <w:left w:val="nil"/>
                    <w:bottom w:val="nil"/>
                    <w:right w:val="nil"/>
                  </w:tcBorders>
                  <w:shd w:val="clear" w:color="auto" w:fill="DDDDDD"/>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CHN</w:t>
                  </w:r>
                  <w:proofErr w:type="spellEnd"/>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-57.62</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-40.04</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-17.57</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-17.74</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0.75</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0.59</w:t>
                  </w:r>
                </w:p>
              </w:tc>
            </w:tr>
            <w:tr w:rsidR="00BE6707" w:rsidRPr="00471B29" w:rsidTr="00C73D07">
              <w:trPr>
                <w:trHeight w:val="288"/>
                <w:jc w:val="center"/>
              </w:trPr>
              <w:tc>
                <w:tcPr>
                  <w:tcW w:w="1179" w:type="dxa"/>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JPN</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5.05</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2.60</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2.45</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3.14</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0.55</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1.24</w:t>
                  </w:r>
                </w:p>
              </w:tc>
            </w:tr>
            <w:tr w:rsidR="00BE6707" w:rsidRPr="00471B29" w:rsidTr="00C73D07">
              <w:trPr>
                <w:trHeight w:val="288"/>
                <w:jc w:val="center"/>
              </w:trPr>
              <w:tc>
                <w:tcPr>
                  <w:tcW w:w="1179" w:type="dxa"/>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KOR</w:t>
                  </w:r>
                  <w:proofErr w:type="spellEnd"/>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2.43</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1.60</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0.83</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1.04</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-0.04</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0.17</w:t>
                  </w:r>
                </w:p>
              </w:tc>
            </w:tr>
            <w:tr w:rsidR="00BE6707" w:rsidRPr="00471B29" w:rsidTr="00C73D07">
              <w:trPr>
                <w:trHeight w:val="288"/>
                <w:jc w:val="center"/>
              </w:trPr>
              <w:tc>
                <w:tcPr>
                  <w:tcW w:w="1179" w:type="dxa"/>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CAN</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2.85</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1.32</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1.53</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1.68</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-0.38</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-0.23</w:t>
                  </w:r>
                </w:p>
              </w:tc>
            </w:tr>
            <w:tr w:rsidR="00BE6707" w:rsidRPr="00471B29" w:rsidTr="00C73D07">
              <w:trPr>
                <w:trHeight w:val="288"/>
                <w:jc w:val="center"/>
              </w:trPr>
              <w:tc>
                <w:tcPr>
                  <w:tcW w:w="1179" w:type="dxa"/>
                  <w:tcBorders>
                    <w:top w:val="nil"/>
                    <w:left w:val="nil"/>
                    <w:bottom w:val="nil"/>
                    <w:right w:val="nil"/>
                  </w:tcBorders>
                  <w:shd w:val="clear" w:color="auto" w:fill="DDDDDD"/>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USA</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-24.83</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-28.35</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3.52</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1.65</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-1.42</w:t>
                  </w:r>
                </w:p>
              </w:tc>
              <w:tc>
                <w:tcPr>
                  <w:tcW w:w="1180" w:type="dxa"/>
                  <w:tcBorders>
                    <w:top w:val="nil"/>
                    <w:left w:val="nil"/>
                    <w:bottom w:val="nil"/>
                    <w:right w:val="nil"/>
                  </w:tcBorders>
                  <w:shd w:val="clear" w:color="auto" w:fill="DDDDDD"/>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-3.28</w:t>
                  </w:r>
                </w:p>
              </w:tc>
            </w:tr>
            <w:tr w:rsidR="00BE6707" w:rsidRPr="00471B29" w:rsidTr="00C73D07">
              <w:trPr>
                <w:trHeight w:val="288"/>
                <w:jc w:val="center"/>
              </w:trPr>
              <w:tc>
                <w:tcPr>
                  <w:tcW w:w="1179" w:type="dxa"/>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MEX</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8.37</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6.78</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1.59</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1.64</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-0.30</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-0.25</w:t>
                  </w:r>
                </w:p>
              </w:tc>
            </w:tr>
            <w:tr w:rsidR="00BE6707" w:rsidRPr="00471B29" w:rsidTr="00C73D07">
              <w:trPr>
                <w:trHeight w:val="288"/>
                <w:jc w:val="center"/>
              </w:trPr>
              <w:tc>
                <w:tcPr>
                  <w:tcW w:w="1179" w:type="dxa"/>
                  <w:tcBorders>
                    <w:top w:val="nil"/>
                    <w:left w:val="nil"/>
                    <w:bottom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proofErr w:type="spellStart"/>
                  <w:r w:rsidRPr="00471B29">
                    <w:rPr>
                      <w:rFonts w:ascii="Arial" w:hAnsi="Arial" w:cs="Arial"/>
                      <w:color w:val="000000"/>
                      <w:sz w:val="18"/>
                      <w:szCs w:val="18"/>
                    </w:rPr>
                    <w:t>EUN</w:t>
                  </w:r>
                  <w:proofErr w:type="spellEnd"/>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10.77</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6.95</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3.82</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3.74</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1.10</w:t>
                  </w:r>
                </w:p>
              </w:tc>
              <w:tc>
                <w:tcPr>
                  <w:tcW w:w="1180" w:type="dxa"/>
                  <w:tcBorders>
                    <w:top w:val="nil"/>
                    <w:left w:val="nil"/>
                    <w:bottom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1.03</w:t>
                  </w:r>
                </w:p>
              </w:tc>
            </w:tr>
            <w:tr w:rsidR="00BE6707" w:rsidRPr="00471B29" w:rsidTr="00471B29">
              <w:trPr>
                <w:trHeight w:val="288"/>
                <w:jc w:val="center"/>
              </w:trPr>
              <w:tc>
                <w:tcPr>
                  <w:tcW w:w="1179" w:type="dxa"/>
                  <w:tcBorders>
                    <w:top w:val="nil"/>
                    <w:left w:val="nil"/>
                    <w:right w:val="nil"/>
                  </w:tcBorders>
                  <w:shd w:val="clear" w:color="auto" w:fill="auto"/>
                  <w:noWrap/>
                  <w:vAlign w:val="center"/>
                  <w:hideMark/>
                </w:tcPr>
                <w:p w:rsidR="00BE6707" w:rsidRPr="00471B29" w:rsidRDefault="00BE6707" w:rsidP="00C73D07">
                  <w:pPr>
                    <w:rPr>
                      <w:rFonts w:ascii="Arial" w:hAnsi="Arial" w:cs="Arial"/>
                      <w:color w:val="000000"/>
                      <w:sz w:val="18"/>
                      <w:szCs w:val="18"/>
                    </w:rPr>
                  </w:pPr>
                  <w:r w:rsidRPr="00471B29">
                    <w:rPr>
                      <w:rFonts w:ascii="Arial" w:hAnsi="Arial" w:cs="Arial"/>
                      <w:color w:val="000000"/>
                      <w:sz w:val="18"/>
                      <w:szCs w:val="18"/>
                    </w:rPr>
                    <w:t>ROW</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14.95</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11.13</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3.82</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4.85</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-0.29</w:t>
                  </w:r>
                </w:p>
              </w:tc>
              <w:tc>
                <w:tcPr>
                  <w:tcW w:w="1180" w:type="dxa"/>
                  <w:tcBorders>
                    <w:top w:val="nil"/>
                    <w:left w:val="nil"/>
                    <w:right w:val="nil"/>
                  </w:tcBorders>
                  <w:shd w:val="clear" w:color="auto" w:fill="auto"/>
                  <w:noWrap/>
                  <w:vAlign w:val="center"/>
                  <w:hideMark/>
                </w:tcPr>
                <w:p w:rsidR="00BE6707" w:rsidRPr="00471B29" w:rsidRDefault="00BE6707" w:rsidP="00C73D07">
                  <w:pPr>
                    <w:jc w:val="right"/>
                    <w:rPr>
                      <w:rFonts w:ascii="Arial" w:hAnsi="Arial" w:cs="Arial"/>
                      <w:color w:val="000000"/>
                      <w:sz w:val="18"/>
                      <w:szCs w:val="18"/>
                      <w:lang w:eastAsia="zh-CN"/>
                    </w:rPr>
                  </w:pPr>
                  <w:r w:rsidRPr="00471B29">
                    <w:rPr>
                      <w:rFonts w:ascii="Arial" w:hAnsi="Arial" w:cs="Arial"/>
                      <w:color w:val="000000"/>
                      <w:sz w:val="18"/>
                      <w:szCs w:val="18"/>
                      <w:lang w:eastAsia="zh-CN"/>
                    </w:rPr>
                    <w:t>0.73</w:t>
                  </w:r>
                </w:p>
              </w:tc>
            </w:tr>
            <w:tr w:rsidR="00BE6707" w:rsidRPr="00471B29" w:rsidTr="00471B29">
              <w:trPr>
                <w:trHeight w:val="288"/>
                <w:jc w:val="center"/>
              </w:trPr>
              <w:tc>
                <w:tcPr>
                  <w:tcW w:w="1179" w:type="dxa"/>
                  <w:tcBorders>
                    <w:left w:val="nil"/>
                    <w:bottom w:val="single" w:sz="4" w:space="0" w:color="BFBFBF"/>
                    <w:right w:val="nil"/>
                  </w:tcBorders>
                  <w:shd w:val="clear" w:color="auto" w:fill="auto"/>
                  <w:noWrap/>
                  <w:vAlign w:val="center"/>
                  <w:hideMark/>
                </w:tcPr>
                <w:p w:rsidR="00BE6707" w:rsidRPr="00471B29" w:rsidRDefault="00BE6707" w:rsidP="00C73D07">
                  <w:pPr>
                    <w:rPr>
                      <w:rFonts w:ascii="Arial" w:hAnsi="Arial" w:cs="Arial"/>
                      <w:b/>
                      <w:color w:val="000000"/>
                      <w:sz w:val="18"/>
                      <w:szCs w:val="18"/>
                    </w:rPr>
                  </w:pPr>
                  <w:r w:rsidRPr="00471B29">
                    <w:rPr>
                      <w:rFonts w:ascii="Arial" w:hAnsi="Arial" w:cs="Arial"/>
                      <w:b/>
                      <w:color w:val="000000"/>
                      <w:sz w:val="18"/>
                      <w:szCs w:val="18"/>
                    </w:rPr>
                    <w:t>World</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-37.89</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-37.89</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0</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0</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0</w:t>
                  </w:r>
                </w:p>
              </w:tc>
              <w:tc>
                <w:tcPr>
                  <w:tcW w:w="1180" w:type="dxa"/>
                  <w:tcBorders>
                    <w:left w:val="nil"/>
                    <w:bottom w:val="single" w:sz="4" w:space="0" w:color="BFBFBF"/>
                    <w:right w:val="nil"/>
                  </w:tcBorders>
                  <w:shd w:val="clear" w:color="auto" w:fill="auto"/>
                  <w:noWrap/>
                  <w:vAlign w:val="center"/>
                  <w:hideMark/>
                </w:tcPr>
                <w:p w:rsidR="00BE6707" w:rsidRPr="00471B29" w:rsidRDefault="00BE6707" w:rsidP="00C73D07">
                  <w:pPr>
                    <w:jc w:val="right"/>
                    <w:rPr>
                      <w:rFonts w:ascii="Arial" w:hAnsi="Arial" w:cs="Arial"/>
                      <w:b/>
                      <w:color w:val="000000"/>
                      <w:sz w:val="18"/>
                      <w:szCs w:val="18"/>
                      <w:lang w:eastAsia="zh-CN"/>
                    </w:rPr>
                  </w:pPr>
                  <w:r w:rsidRPr="00471B29">
                    <w:rPr>
                      <w:rFonts w:ascii="Arial" w:hAnsi="Arial" w:cs="Arial"/>
                      <w:b/>
                      <w:color w:val="000000"/>
                      <w:sz w:val="18"/>
                      <w:szCs w:val="18"/>
                      <w:lang w:eastAsia="zh-CN"/>
                    </w:rPr>
                    <w:t>0</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C73D07">
            <w:pPr>
              <w:pStyle w:val="Source"/>
            </w:pPr>
            <w:r>
              <w:rPr>
                <w:i/>
              </w:rPr>
              <w:t>Source</w:t>
            </w:r>
            <w:r w:rsidRPr="00167F06">
              <w:t xml:space="preserve">: </w:t>
            </w:r>
            <w:r>
              <w:t>T</w:t>
            </w:r>
            <w:r w:rsidRPr="00693C10">
              <w:rPr>
                <w:szCs w:val="18"/>
              </w:rPr>
              <w:t>he author’s simulation.</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BE6707" w:rsidP="00BE6707">
      <w:pPr>
        <w:pStyle w:val="BodyText"/>
      </w:pPr>
      <w:r>
        <w:t xml:space="preserve">The first column is the results for the alternative measure of changes in real </w:t>
      </w:r>
      <w:proofErr w:type="spellStart"/>
      <w:r>
        <w:t>GNA</w:t>
      </w:r>
      <w:proofErr w:type="spellEnd"/>
      <w:r>
        <w:t xml:space="preserve">, which are identical to that shown in table </w:t>
      </w:r>
      <w:proofErr w:type="spellStart"/>
      <w:r>
        <w:t>A3</w:t>
      </w:r>
      <w:proofErr w:type="spellEnd"/>
      <w:r>
        <w:t xml:space="preserve">, </w:t>
      </w:r>
      <w:r w:rsidR="00AA15D7">
        <w:t xml:space="preserve">where it is </w:t>
      </w:r>
      <w:r>
        <w:t xml:space="preserve">derived from the </w:t>
      </w:r>
      <w:r w:rsidR="00AA15D7">
        <w:t xml:space="preserve">quantity </w:t>
      </w:r>
      <w:r>
        <w:t xml:space="preserve">changes in C, G and S. The increase in tariffs on trade between the US and China distorts domestic relative prices in both economies, resulting in a misallocation of resources in both countries. The loss in allocative efficiency is revealed by the decreases in real national income in the two countries: real GNP declines by </w:t>
      </w:r>
      <w:proofErr w:type="spellStart"/>
      <w:r>
        <w:t>US$28.35</w:t>
      </w:r>
      <w:proofErr w:type="spellEnd"/>
      <w:r>
        <w:t xml:space="preserve"> billion in the US and </w:t>
      </w:r>
      <w:proofErr w:type="spellStart"/>
      <w:r>
        <w:t>US$40.04</w:t>
      </w:r>
      <w:proofErr w:type="spellEnd"/>
      <w:r>
        <w:t xml:space="preserve"> billion in China. Moreover, the tariff increase also affects the international relative prices between countries, which alter the purchasing power of national income produced. The results show that the US benefits from these relative price changes, while China suffers </w:t>
      </w:r>
      <w:r w:rsidR="00AA15D7">
        <w:t xml:space="preserve">a loss </w:t>
      </w:r>
      <w:r>
        <w:t xml:space="preserve">from such changes. These effects are captured by the changes in the two countries’ </w:t>
      </w:r>
      <w:proofErr w:type="spellStart"/>
      <w:r>
        <w:t>BoP</w:t>
      </w:r>
      <w:proofErr w:type="spellEnd"/>
      <w:r>
        <w:t xml:space="preserve"> accounts: the US gains by </w:t>
      </w:r>
      <w:proofErr w:type="spellStart"/>
      <w:r>
        <w:t>US$3.52</w:t>
      </w:r>
      <w:proofErr w:type="spellEnd"/>
      <w:r w:rsidRPr="00985216">
        <w:t xml:space="preserve"> </w:t>
      </w:r>
      <w:r>
        <w:t xml:space="preserve">billion and China loses by </w:t>
      </w:r>
      <w:proofErr w:type="spellStart"/>
      <w:r>
        <w:t>US$17.57</w:t>
      </w:r>
      <w:proofErr w:type="spellEnd"/>
      <w:r w:rsidRPr="00985216">
        <w:t xml:space="preserve"> </w:t>
      </w:r>
      <w:r>
        <w:t xml:space="preserve">billion. Overall, China’s real </w:t>
      </w:r>
      <w:proofErr w:type="spellStart"/>
      <w:r>
        <w:t>GNA</w:t>
      </w:r>
      <w:proofErr w:type="spellEnd"/>
      <w:r>
        <w:t xml:space="preserve">, declines by </w:t>
      </w:r>
      <w:proofErr w:type="spellStart"/>
      <w:r>
        <w:t>US$57.67</w:t>
      </w:r>
      <w:proofErr w:type="spellEnd"/>
      <w:r>
        <w:t xml:space="preserve"> billion, </w:t>
      </w:r>
      <w:r w:rsidR="00AA15D7">
        <w:t xml:space="preserve">greater than the decline in its production income, </w:t>
      </w:r>
      <w:r>
        <w:t xml:space="preserve">GNP, while the US real national expenditure, </w:t>
      </w:r>
      <w:proofErr w:type="spellStart"/>
      <w:r>
        <w:t>GNA</w:t>
      </w:r>
      <w:proofErr w:type="spellEnd"/>
      <w:r>
        <w:t xml:space="preserve">, declines by </w:t>
      </w:r>
      <w:proofErr w:type="spellStart"/>
      <w:r>
        <w:t>US$24.83</w:t>
      </w:r>
      <w:proofErr w:type="spellEnd"/>
      <w:r>
        <w:t xml:space="preserve"> billion, less than its produced national income. </w:t>
      </w:r>
    </w:p>
    <w:p w:rsidR="00BE6707" w:rsidRDefault="00BE6707" w:rsidP="00BE6707">
      <w:pPr>
        <w:pStyle w:val="BodyText"/>
      </w:pPr>
      <w:r>
        <w:t xml:space="preserve">It can also be seen from the table what contributes to the </w:t>
      </w:r>
      <w:proofErr w:type="spellStart"/>
      <w:r>
        <w:t>BoP</w:t>
      </w:r>
      <w:proofErr w:type="spellEnd"/>
      <w:r>
        <w:t xml:space="preserve"> results. In the case of China, the change in its </w:t>
      </w:r>
      <w:proofErr w:type="spellStart"/>
      <w:r>
        <w:t>BoP</w:t>
      </w:r>
      <w:proofErr w:type="spellEnd"/>
      <w:r>
        <w:t xml:space="preserve"> results almost entirely from the worsening of its terms of trade. In the case of the US, the gains in the terms of trade (</w:t>
      </w:r>
      <w:proofErr w:type="spellStart"/>
      <w:r w:rsidRPr="001D0430">
        <w:rPr>
          <w:rFonts w:ascii="Calibri" w:eastAsia="Times New Roman" w:hAnsi="Calibri"/>
          <w:color w:val="000000"/>
          <w:sz w:val="22"/>
          <w:szCs w:val="22"/>
          <w:lang w:eastAsia="zh-CN"/>
        </w:rPr>
        <w:t>d_</w:t>
      </w:r>
      <w:r>
        <w:rPr>
          <w:rFonts w:ascii="Calibri" w:eastAsia="Times New Roman" w:hAnsi="Calibri"/>
          <w:color w:val="000000"/>
          <w:sz w:val="22"/>
          <w:szCs w:val="22"/>
          <w:lang w:eastAsia="zh-CN"/>
        </w:rPr>
        <w:t>pTAB</w:t>
      </w:r>
      <w:proofErr w:type="spellEnd"/>
      <w:r>
        <w:t>) is largely offset by the loss in its net foreign income (</w:t>
      </w:r>
      <w:proofErr w:type="spellStart"/>
      <w:r w:rsidRPr="001D0430">
        <w:rPr>
          <w:rFonts w:ascii="Calibri" w:eastAsia="Times New Roman" w:hAnsi="Calibri"/>
          <w:color w:val="000000"/>
          <w:sz w:val="22"/>
          <w:szCs w:val="22"/>
          <w:lang w:eastAsia="zh-CN"/>
        </w:rPr>
        <w:t>d_</w:t>
      </w:r>
      <w:r>
        <w:rPr>
          <w:rFonts w:ascii="Calibri" w:eastAsia="Times New Roman" w:hAnsi="Calibri"/>
          <w:color w:val="000000"/>
          <w:sz w:val="22"/>
          <w:szCs w:val="22"/>
          <w:lang w:eastAsia="zh-CN"/>
        </w:rPr>
        <w:t>pIAB</w:t>
      </w:r>
      <w:proofErr w:type="spellEnd"/>
      <w:r>
        <w:rPr>
          <w:rFonts w:ascii="Calibri" w:eastAsia="Times New Roman" w:hAnsi="Calibri"/>
          <w:color w:val="000000"/>
          <w:sz w:val="22"/>
          <w:szCs w:val="22"/>
          <w:lang w:eastAsia="zh-CN"/>
        </w:rPr>
        <w:t>)</w:t>
      </w:r>
      <w:r>
        <w:t xml:space="preserve">. Therefore, the gains in its capital account dominate the overall gains in its </w:t>
      </w:r>
      <w:proofErr w:type="spellStart"/>
      <w:r>
        <w:t>BoP</w:t>
      </w:r>
      <w:proofErr w:type="spellEnd"/>
      <w:r>
        <w:t>.</w:t>
      </w:r>
      <w:r w:rsidRPr="00835E61">
        <w:t xml:space="preserve"> </w:t>
      </w:r>
    </w:p>
    <w:p w:rsidR="00BE6707" w:rsidRDefault="00BE6707" w:rsidP="00BE6707">
      <w:pPr>
        <w:pStyle w:val="BodyText"/>
      </w:pPr>
      <w:r>
        <w:t xml:space="preserve">This decomposition of changes in real </w:t>
      </w:r>
      <w:proofErr w:type="spellStart"/>
      <w:r>
        <w:t>GNA</w:t>
      </w:r>
      <w:proofErr w:type="spellEnd"/>
      <w:r>
        <w:t xml:space="preserve"> provides an intuitive way of interpreting welfare effects of a policy change. Change</w:t>
      </w:r>
      <w:r w:rsidR="00252D9D">
        <w:t>s</w:t>
      </w:r>
      <w:r>
        <w:t xml:space="preserve"> in real </w:t>
      </w:r>
      <w:proofErr w:type="spellStart"/>
      <w:r>
        <w:t>GNA</w:t>
      </w:r>
      <w:proofErr w:type="spellEnd"/>
      <w:r>
        <w:t xml:space="preserve"> can be decomposed into a </w:t>
      </w:r>
      <w:r w:rsidR="00814189">
        <w:t xml:space="preserve">factor </w:t>
      </w:r>
      <w:r>
        <w:t>allocation efficiency effect</w:t>
      </w:r>
      <w:r w:rsidR="00814189">
        <w:t xml:space="preserve"> across industries and across </w:t>
      </w:r>
      <w:r w:rsidR="00252D9D">
        <w:t>borders</w:t>
      </w:r>
      <w:r>
        <w:t xml:space="preserve"> and a broadly defined terms of trade effect. The former is captured by any change in real GNP, while the latter is captured by the changes in a country’s </w:t>
      </w:r>
      <w:r w:rsidR="00255E6B">
        <w:t xml:space="preserve">external accounts </w:t>
      </w:r>
      <w:r>
        <w:t>that result from changes in international relative prices</w:t>
      </w:r>
      <w:r w:rsidR="00252D9D">
        <w:t xml:space="preserve"> and the changes in quantities that they cause</w:t>
      </w:r>
      <w:r>
        <w:t xml:space="preserve">. The change in a country’s real GNP represents the gains or losses in physical production. The change in the </w:t>
      </w:r>
      <w:proofErr w:type="spellStart"/>
      <w:r>
        <w:t>BoP</w:t>
      </w:r>
      <w:proofErr w:type="spellEnd"/>
      <w:r>
        <w:t xml:space="preserve"> reflects the changes in the purchasing power of national income, which redistributes the produced national income between countries through variations in international relative prices. </w:t>
      </w:r>
    </w:p>
    <w:p w:rsidR="00BE6707" w:rsidRDefault="00BE6707" w:rsidP="00BE6707">
      <w:pPr>
        <w:pStyle w:val="Heading1nochapterno"/>
      </w:pPr>
      <w:r>
        <w:lastRenderedPageBreak/>
        <w:t xml:space="preserve">Appendix B: </w:t>
      </w:r>
      <w:r w:rsidRPr="00B403B8">
        <w:t xml:space="preserve">Measuring real </w:t>
      </w:r>
      <w:proofErr w:type="spellStart"/>
      <w:r w:rsidRPr="00B403B8">
        <w:t>GNA</w:t>
      </w:r>
      <w:proofErr w:type="spellEnd"/>
      <w:r w:rsidRPr="00B403B8">
        <w:t xml:space="preserve"> in </w:t>
      </w:r>
      <w:proofErr w:type="spellStart"/>
      <w:r w:rsidRPr="00B403B8">
        <w:t>CGE</w:t>
      </w:r>
      <w:proofErr w:type="spellEnd"/>
      <w:r w:rsidRPr="00B403B8">
        <w:t xml:space="preserve"> models with limited </w:t>
      </w:r>
      <w:proofErr w:type="spellStart"/>
      <w:r w:rsidRPr="00B403B8">
        <w:t>BoP</w:t>
      </w:r>
      <w:proofErr w:type="spellEnd"/>
      <w:r w:rsidRPr="00B403B8">
        <w:t xml:space="preserve"> data</w:t>
      </w:r>
    </w:p>
    <w:p w:rsidR="00BE6707" w:rsidRDefault="00BE6707" w:rsidP="00BE6707">
      <w:pPr>
        <w:pStyle w:val="BodyText"/>
      </w:pPr>
      <w:r>
        <w:t xml:space="preserve">Most policy-oriented </w:t>
      </w:r>
      <w:proofErr w:type="spellStart"/>
      <w:r>
        <w:t>CGE</w:t>
      </w:r>
      <w:proofErr w:type="spellEnd"/>
      <w:r>
        <w:t xml:space="preserve"> models do not include complete </w:t>
      </w:r>
      <w:proofErr w:type="spellStart"/>
      <w:r>
        <w:t>BoP</w:t>
      </w:r>
      <w:proofErr w:type="spellEnd"/>
      <w:r>
        <w:t xml:space="preserve"> data, particularly, bilateral capital account data, which is required to measure real </w:t>
      </w:r>
      <w:proofErr w:type="spellStart"/>
      <w:r>
        <w:t>GNA</w:t>
      </w:r>
      <w:proofErr w:type="spellEnd"/>
      <w:r>
        <w:t xml:space="preserve"> accurately. In this section, two examples are provided to test the alternative ways of measuring real </w:t>
      </w:r>
      <w:proofErr w:type="spellStart"/>
      <w:r>
        <w:t>GNA</w:t>
      </w:r>
      <w:proofErr w:type="spellEnd"/>
      <w:r>
        <w:t xml:space="preserve"> in </w:t>
      </w:r>
      <w:proofErr w:type="spellStart"/>
      <w:r>
        <w:t>CGE</w:t>
      </w:r>
      <w:proofErr w:type="spellEnd"/>
      <w:r>
        <w:t xml:space="preserve"> models with limited </w:t>
      </w:r>
      <w:proofErr w:type="spellStart"/>
      <w:r>
        <w:t>BoP</w:t>
      </w:r>
      <w:proofErr w:type="spellEnd"/>
      <w:r>
        <w:t xml:space="preserve"> data. </w:t>
      </w:r>
    </w:p>
    <w:p w:rsidR="00BE6707" w:rsidRDefault="00BE6707" w:rsidP="00471B29">
      <w:pPr>
        <w:pStyle w:val="Heading2"/>
        <w:ind w:left="0" w:firstLine="0"/>
      </w:pPr>
      <w:bookmarkStart w:id="21" w:name="_Toc26430227"/>
      <w:r>
        <w:t xml:space="preserve">Real </w:t>
      </w:r>
      <w:proofErr w:type="spellStart"/>
      <w:r>
        <w:t>GNA</w:t>
      </w:r>
      <w:proofErr w:type="spellEnd"/>
      <w:r>
        <w:t xml:space="preserve"> in a global model without bilateral capital account data</w:t>
      </w:r>
      <w:bookmarkEnd w:id="21"/>
    </w:p>
    <w:p w:rsidR="00BE6707" w:rsidRDefault="00BE6707" w:rsidP="00BE6707">
      <w:pPr>
        <w:pStyle w:val="BodyText"/>
      </w:pPr>
      <w:r>
        <w:t xml:space="preserve">This section uses the </w:t>
      </w:r>
      <w:proofErr w:type="spellStart"/>
      <w:r>
        <w:t>GTAP</w:t>
      </w:r>
      <w:proofErr w:type="spellEnd"/>
      <w:r>
        <w:t xml:space="preserve"> model and its version 7 database </w:t>
      </w:r>
      <w:r w:rsidR="00F07D56">
        <w:t>(</w:t>
      </w:r>
      <w:r w:rsidR="000278C8" w:rsidRPr="000278C8">
        <w:t>Narayanan</w:t>
      </w:r>
      <w:r w:rsidR="000278C8" w:rsidRPr="008F05C5">
        <w:t xml:space="preserve"> and Walmsley</w:t>
      </w:r>
      <w:r w:rsidR="00F07D56">
        <w:t xml:space="preserve"> 2008) </w:t>
      </w:r>
      <w:r>
        <w:t xml:space="preserve">to show how to calculate real </w:t>
      </w:r>
      <w:proofErr w:type="spellStart"/>
      <w:r>
        <w:t>GNA</w:t>
      </w:r>
      <w:proofErr w:type="spellEnd"/>
      <w:r>
        <w:t xml:space="preserve"> in a global </w:t>
      </w:r>
      <w:proofErr w:type="spellStart"/>
      <w:r>
        <w:t>CGE</w:t>
      </w:r>
      <w:proofErr w:type="spellEnd"/>
      <w:r>
        <w:t xml:space="preserve"> model</w:t>
      </w:r>
      <w:r w:rsidRPr="007E3CED">
        <w:t xml:space="preserve"> </w:t>
      </w:r>
      <w:r>
        <w:t xml:space="preserve">with limited </w:t>
      </w:r>
      <w:proofErr w:type="spellStart"/>
      <w:r>
        <w:t>BoP</w:t>
      </w:r>
      <w:proofErr w:type="spellEnd"/>
      <w:r>
        <w:t xml:space="preserve"> data. The </w:t>
      </w:r>
      <w:proofErr w:type="spellStart"/>
      <w:r>
        <w:t>GTAP</w:t>
      </w:r>
      <w:proofErr w:type="spellEnd"/>
      <w:r>
        <w:t xml:space="preserve"> database includes only bilateral trade account data. Without the saving-investment matrix, foreign capital investment can only be estimated as net flows between the national saving and investment aggregates that are implied in the database. The model is used to simulate the impacts of the same policy change as used in </w:t>
      </w:r>
      <w:r w:rsidR="007F3314">
        <w:t>appendix A</w:t>
      </w:r>
      <w:r>
        <w:t>, a 25 per cent rise in the US tariffs on the bilateral imports between the US and China.</w:t>
      </w:r>
      <w:r w:rsidRPr="00835E61">
        <w:t xml:space="preserve"> </w:t>
      </w:r>
    </w:p>
    <w:p w:rsidR="00BE6707" w:rsidRDefault="00BE6707" w:rsidP="00BE6707">
      <w:pPr>
        <w:pStyle w:val="BodyText"/>
      </w:pPr>
      <w:r>
        <w:t xml:space="preserve">According to the </w:t>
      </w:r>
      <w:proofErr w:type="spellStart"/>
      <w:r>
        <w:t>GTAP</w:t>
      </w:r>
      <w:proofErr w:type="spellEnd"/>
      <w:r>
        <w:t xml:space="preserve"> model theory, the saving price for a country is defined as the investment goods price for the country, adjusted by a scaling factor.</w:t>
      </w:r>
      <w:r w:rsidRPr="00835E61">
        <w:t xml:space="preserve">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Consolas"/>
          <w:sz w:val="20"/>
          <w:lang w:eastAsia="zh-CN"/>
        </w:rPr>
        <w:t>psave</w:t>
      </w:r>
      <w:proofErr w:type="spellEnd"/>
      <w:r w:rsidRPr="00471B29">
        <w:rPr>
          <w:rFonts w:ascii="Consolas" w:hAnsi="Consolas" w:cs="Consolas"/>
          <w:sz w:val="20"/>
          <w:lang w:eastAsia="zh-CN"/>
        </w:rPr>
        <w:t xml:space="preserve">(r) = </w:t>
      </w:r>
      <w:proofErr w:type="spellStart"/>
      <w:r w:rsidRPr="00471B29">
        <w:rPr>
          <w:rFonts w:ascii="Consolas" w:hAnsi="Consolas" w:cs="Consolas"/>
          <w:sz w:val="20"/>
          <w:lang w:eastAsia="zh-CN"/>
        </w:rPr>
        <w:t>pcgds</w:t>
      </w:r>
      <w:proofErr w:type="spellEnd"/>
      <w:r w:rsidRPr="00471B29">
        <w:rPr>
          <w:rFonts w:ascii="Consolas" w:hAnsi="Consolas" w:cs="Consolas"/>
          <w:sz w:val="20"/>
          <w:lang w:eastAsia="zh-CN"/>
        </w:rPr>
        <w:t xml:space="preserve">(r) </w:t>
      </w:r>
      <w:r w:rsidRPr="00471B29">
        <w:rPr>
          <w:rFonts w:ascii="Consolas" w:hAnsi="Consolas" w:cs="Consolas"/>
          <w:sz w:val="20"/>
          <w:lang w:eastAsia="zh-CN"/>
        </w:rPr>
        <w:br/>
        <w:t xml:space="preserve">            + </w:t>
      </w:r>
      <w:r w:rsidRPr="00471B29">
        <w:rPr>
          <w:rFonts w:ascii="Consolas" w:hAnsi="Consolas" w:cs="Consolas"/>
          <w:b/>
          <w:bCs/>
          <w:sz w:val="20"/>
          <w:lang w:eastAsia="zh-CN"/>
        </w:rPr>
        <w:t>sum</w:t>
      </w:r>
      <w:r w:rsidRPr="00471B29">
        <w:rPr>
          <w:rFonts w:ascii="Consolas" w:hAnsi="Consolas" w:cs="Consolas"/>
          <w:sz w:val="20"/>
          <w:lang w:eastAsia="zh-CN"/>
        </w:rPr>
        <w:t>(</w:t>
      </w:r>
      <w:proofErr w:type="spellStart"/>
      <w:r w:rsidRPr="00471B29">
        <w:rPr>
          <w:rFonts w:ascii="Consolas" w:hAnsi="Consolas" w:cs="Consolas"/>
          <w:sz w:val="20"/>
          <w:lang w:eastAsia="zh-CN"/>
        </w:rPr>
        <w:t>s,REG</w:t>
      </w:r>
      <w:proofErr w:type="spellEnd"/>
      <w:r w:rsidRPr="00471B29">
        <w:rPr>
          <w:rFonts w:ascii="Consolas" w:hAnsi="Consolas" w:cs="Consolas"/>
          <w:sz w:val="20"/>
          <w:lang w:eastAsia="zh-CN"/>
        </w:rPr>
        <w:t xml:space="preserve">, </w:t>
      </w:r>
      <w:r w:rsidRPr="00471B29">
        <w:rPr>
          <w:rFonts w:ascii="Consolas" w:hAnsi="Consolas" w:cs="Consolas"/>
          <w:b/>
          <w:bCs/>
          <w:sz w:val="20"/>
          <w:lang w:eastAsia="zh-CN"/>
        </w:rPr>
        <w:t>[[</w:t>
      </w:r>
      <w:proofErr w:type="spellStart"/>
      <w:r w:rsidRPr="00471B29">
        <w:rPr>
          <w:rFonts w:ascii="Consolas" w:hAnsi="Consolas" w:cs="Consolas"/>
          <w:sz w:val="20"/>
          <w:lang w:eastAsia="zh-CN"/>
        </w:rPr>
        <w:t>NETINV</w:t>
      </w:r>
      <w:proofErr w:type="spellEnd"/>
      <w:r w:rsidRPr="00471B29">
        <w:rPr>
          <w:rFonts w:ascii="Consolas" w:hAnsi="Consolas" w:cs="Consolas"/>
          <w:sz w:val="20"/>
          <w:lang w:eastAsia="zh-CN"/>
        </w:rPr>
        <w:t>(s) - SAVE(s)</w:t>
      </w:r>
      <w:r w:rsidRPr="00471B29">
        <w:rPr>
          <w:rFonts w:ascii="Consolas" w:hAnsi="Consolas" w:cs="Consolas"/>
          <w:b/>
          <w:bCs/>
          <w:sz w:val="20"/>
          <w:lang w:eastAsia="zh-CN"/>
        </w:rPr>
        <w:t>]</w:t>
      </w:r>
      <w:r w:rsidRPr="00471B29">
        <w:rPr>
          <w:rFonts w:ascii="Consolas" w:hAnsi="Consolas" w:cs="Consolas"/>
          <w:sz w:val="20"/>
          <w:lang w:eastAsia="zh-CN"/>
        </w:rPr>
        <w:t xml:space="preserve"> / </w:t>
      </w:r>
      <w:proofErr w:type="spellStart"/>
      <w:r w:rsidRPr="00471B29">
        <w:rPr>
          <w:rFonts w:ascii="Consolas" w:hAnsi="Consolas" w:cs="Consolas"/>
          <w:sz w:val="20"/>
          <w:lang w:eastAsia="zh-CN"/>
        </w:rPr>
        <w:t>GLOBINV</w:t>
      </w:r>
      <w:proofErr w:type="spellEnd"/>
      <w:r w:rsidRPr="00471B29">
        <w:rPr>
          <w:rFonts w:ascii="Consolas" w:hAnsi="Consolas" w:cs="Consolas"/>
          <w:b/>
          <w:bCs/>
          <w:sz w:val="20"/>
          <w:lang w:eastAsia="zh-CN"/>
        </w:rPr>
        <w:t>]</w:t>
      </w:r>
      <w:r w:rsidRPr="00471B29">
        <w:rPr>
          <w:rFonts w:ascii="Consolas" w:hAnsi="Consolas" w:cs="Consolas"/>
          <w:sz w:val="20"/>
          <w:lang w:eastAsia="zh-CN"/>
        </w:rPr>
        <w:t xml:space="preserve"> * </w:t>
      </w:r>
      <w:proofErr w:type="spellStart"/>
      <w:r w:rsidRPr="00471B29">
        <w:rPr>
          <w:rFonts w:ascii="Consolas" w:hAnsi="Consolas" w:cs="Consolas"/>
          <w:sz w:val="20"/>
          <w:lang w:eastAsia="zh-CN"/>
        </w:rPr>
        <w:t>pcgds</w:t>
      </w:r>
      <w:proofErr w:type="spellEnd"/>
      <w:r w:rsidRPr="00471B29">
        <w:rPr>
          <w:rFonts w:ascii="Consolas" w:hAnsi="Consolas" w:cs="Consolas"/>
          <w:sz w:val="20"/>
          <w:lang w:eastAsia="zh-CN"/>
        </w:rPr>
        <w:t>(s));</w:t>
      </w:r>
      <w:r w:rsidRPr="00471B29">
        <w:rPr>
          <w:rFonts w:ascii="Consolas" w:hAnsi="Consolas" w:cs="Arial"/>
          <w:sz w:val="20"/>
          <w:lang w:eastAsia="zh-CN"/>
        </w:rPr>
        <w:t xml:space="preserve"> </w:t>
      </w:r>
      <w:r w:rsidRPr="00471B29">
        <w:rPr>
          <w:rFonts w:ascii="Consolas" w:hAnsi="Consolas" w:cs="Arial"/>
          <w:sz w:val="20"/>
          <w:lang w:eastAsia="zh-CN"/>
        </w:rPr>
        <w:tab/>
      </w:r>
      <w:r w:rsidRPr="00471B29">
        <w:t>(</w:t>
      </w:r>
      <w:proofErr w:type="spellStart"/>
      <w:r w:rsidRPr="00471B29">
        <w:t>A9</w:t>
      </w:r>
      <w:proofErr w:type="spellEnd"/>
      <w:r w:rsidRPr="00471B29">
        <w:t xml:space="preserve">) </w:t>
      </w:r>
    </w:p>
    <w:p w:rsidR="00BE6707" w:rsidRPr="00471B29" w:rsidRDefault="00BE6707" w:rsidP="00BE6707">
      <w:pPr>
        <w:pStyle w:val="BodyText"/>
      </w:pPr>
      <w:r w:rsidRPr="00471B29">
        <w:t xml:space="preserve">where </w:t>
      </w:r>
      <w:proofErr w:type="spellStart"/>
      <w:r w:rsidRPr="00471B29">
        <w:rPr>
          <w:rFonts w:ascii="Consolas" w:hAnsi="Consolas" w:cs="Consolas"/>
          <w:sz w:val="20"/>
          <w:lang w:eastAsia="zh-CN"/>
        </w:rPr>
        <w:t>psave</w:t>
      </w:r>
      <w:proofErr w:type="spellEnd"/>
      <w:r w:rsidRPr="00471B29">
        <w:rPr>
          <w:rFonts w:ascii="Consolas" w:hAnsi="Consolas" w:cs="Consolas"/>
          <w:sz w:val="20"/>
          <w:lang w:eastAsia="zh-CN"/>
        </w:rPr>
        <w:t>(r)</w:t>
      </w:r>
      <w:r w:rsidRPr="00471B29">
        <w:t xml:space="preserve"> and </w:t>
      </w:r>
      <w:proofErr w:type="spellStart"/>
      <w:r w:rsidRPr="00471B29">
        <w:rPr>
          <w:rFonts w:ascii="Consolas" w:hAnsi="Consolas" w:cs="Consolas"/>
          <w:sz w:val="20"/>
          <w:lang w:eastAsia="zh-CN"/>
        </w:rPr>
        <w:t>pcgds</w:t>
      </w:r>
      <w:proofErr w:type="spellEnd"/>
      <w:r w:rsidRPr="00471B29">
        <w:rPr>
          <w:rFonts w:ascii="Consolas" w:hAnsi="Consolas" w:cs="Consolas"/>
          <w:sz w:val="20"/>
          <w:lang w:eastAsia="zh-CN"/>
        </w:rPr>
        <w:t>(r)</w:t>
      </w:r>
      <w:r w:rsidRPr="00471B29">
        <w:t xml:space="preserve"> are the price of saving, net of depreciation, and the price of capital goods. The second term is the scaling factor, which is defined as the world average price of capital goods, weighted by the shares of net foreign investment in global investment. This scaling factor is used to ensure equality between global saving and investment. </w:t>
      </w:r>
    </w:p>
    <w:p w:rsidR="00BE6707" w:rsidRPr="00471B29" w:rsidRDefault="00BE6707" w:rsidP="00BE6707">
      <w:pPr>
        <w:pStyle w:val="BodyText"/>
      </w:pPr>
      <w:r w:rsidRPr="00471B29">
        <w:t xml:space="preserve">Once the saving price is obtained, the real saving </w:t>
      </w:r>
      <w:proofErr w:type="spellStart"/>
      <w:r w:rsidRPr="00471B29">
        <w:rPr>
          <w:rFonts w:ascii="Consolas" w:hAnsi="Consolas" w:cs="Consolas"/>
          <w:sz w:val="20"/>
          <w:lang w:eastAsia="zh-CN"/>
        </w:rPr>
        <w:t>qsave</w:t>
      </w:r>
      <w:proofErr w:type="spellEnd"/>
      <w:r w:rsidRPr="00471B29">
        <w:rPr>
          <w:rFonts w:ascii="Consolas" w:hAnsi="Consolas" w:cs="Consolas"/>
          <w:sz w:val="20"/>
          <w:lang w:eastAsia="zh-CN"/>
        </w:rPr>
        <w:t>(r)</w:t>
      </w:r>
      <w:r w:rsidRPr="00471B29">
        <w:t xml:space="preserve"> can be derived as the nominal saving divided by </w:t>
      </w:r>
      <w:proofErr w:type="spellStart"/>
      <w:r w:rsidRPr="00471B29">
        <w:rPr>
          <w:rFonts w:ascii="Consolas" w:hAnsi="Consolas" w:cs="Consolas"/>
          <w:sz w:val="20"/>
          <w:lang w:eastAsia="zh-CN"/>
        </w:rPr>
        <w:t>psave</w:t>
      </w:r>
      <w:proofErr w:type="spellEnd"/>
      <w:r w:rsidRPr="00471B29">
        <w:rPr>
          <w:rFonts w:ascii="Consolas" w:hAnsi="Consolas" w:cs="Consolas"/>
          <w:sz w:val="20"/>
          <w:lang w:eastAsia="zh-CN"/>
        </w:rPr>
        <w:t>(r)</w:t>
      </w:r>
      <w:r w:rsidRPr="00471B29">
        <w:t xml:space="preserve">. </w:t>
      </w:r>
      <w:r w:rsidR="00810D12" w:rsidRPr="00471B29">
        <w:t>Changes in r</w:t>
      </w:r>
      <w:r w:rsidRPr="00471B29">
        <w:t xml:space="preserve">eal </w:t>
      </w:r>
      <w:proofErr w:type="spellStart"/>
      <w:r w:rsidRPr="00471B29">
        <w:t>GNA</w:t>
      </w:r>
      <w:proofErr w:type="spellEnd"/>
      <w:r w:rsidRPr="00471B29">
        <w:t xml:space="preserve"> can then be defined as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Arial"/>
          <w:sz w:val="20"/>
          <w:lang w:eastAsia="zh-CN"/>
        </w:rPr>
        <w:t>d_qGNA</w:t>
      </w:r>
      <w:proofErr w:type="spellEnd"/>
      <w:r w:rsidRPr="00471B29">
        <w:rPr>
          <w:rFonts w:ascii="Consolas" w:hAnsi="Consolas" w:cs="Arial"/>
          <w:sz w:val="20"/>
          <w:lang w:eastAsia="zh-CN"/>
        </w:rPr>
        <w:t xml:space="preserve">(r) = </w:t>
      </w:r>
      <w:proofErr w:type="spellStart"/>
      <w:r w:rsidR="00810D12" w:rsidRPr="00471B29">
        <w:rPr>
          <w:rFonts w:ascii="Consolas" w:hAnsi="Consolas" w:cs="Consolas"/>
          <w:sz w:val="20"/>
          <w:lang w:eastAsia="zh-CN"/>
        </w:rPr>
        <w:t>d_p</w:t>
      </w:r>
      <w:r w:rsidRPr="00471B29">
        <w:rPr>
          <w:rFonts w:ascii="Consolas" w:hAnsi="Consolas" w:cs="Consolas"/>
          <w:sz w:val="20"/>
          <w:lang w:eastAsia="zh-CN"/>
        </w:rPr>
        <w:t>PRIV</w:t>
      </w:r>
      <w:proofErr w:type="spellEnd"/>
      <w:r w:rsidRPr="00471B29">
        <w:rPr>
          <w:rFonts w:ascii="Consolas" w:hAnsi="Consolas" w:cs="Consolas"/>
          <w:sz w:val="20"/>
          <w:lang w:eastAsia="zh-CN"/>
        </w:rPr>
        <w:t xml:space="preserve">(r) + </w:t>
      </w:r>
      <w:proofErr w:type="spellStart"/>
      <w:r w:rsidR="00810D12" w:rsidRPr="00471B29">
        <w:rPr>
          <w:rFonts w:ascii="Consolas" w:hAnsi="Consolas" w:cs="Consolas"/>
          <w:sz w:val="20"/>
          <w:lang w:eastAsia="zh-CN"/>
        </w:rPr>
        <w:t>d_q</w:t>
      </w:r>
      <w:r w:rsidRPr="00471B29">
        <w:rPr>
          <w:rFonts w:ascii="Consolas" w:hAnsi="Consolas" w:cs="Consolas"/>
          <w:sz w:val="20"/>
          <w:lang w:eastAsia="zh-CN"/>
        </w:rPr>
        <w:t>GOV</w:t>
      </w:r>
      <w:proofErr w:type="spellEnd"/>
      <w:r w:rsidRPr="00471B29">
        <w:rPr>
          <w:rFonts w:ascii="Consolas" w:hAnsi="Consolas" w:cs="Consolas"/>
          <w:sz w:val="20"/>
          <w:lang w:eastAsia="zh-CN"/>
        </w:rPr>
        <w:t xml:space="preserve">(r) + </w:t>
      </w:r>
      <w:proofErr w:type="spellStart"/>
      <w:r w:rsidR="003741C7" w:rsidRPr="00471B29">
        <w:rPr>
          <w:rFonts w:ascii="Consolas" w:hAnsi="Consolas" w:cs="Consolas"/>
          <w:sz w:val="20"/>
          <w:lang w:eastAsia="zh-CN"/>
        </w:rPr>
        <w:t>d_q</w:t>
      </w:r>
      <w:r w:rsidRPr="00471B29">
        <w:rPr>
          <w:rFonts w:ascii="Consolas" w:hAnsi="Consolas" w:cs="Consolas"/>
          <w:sz w:val="20"/>
          <w:lang w:eastAsia="zh-CN"/>
        </w:rPr>
        <w:t>save</w:t>
      </w:r>
      <w:proofErr w:type="spellEnd"/>
      <w:r w:rsidRPr="00471B29">
        <w:rPr>
          <w:rFonts w:ascii="Consolas" w:hAnsi="Consolas" w:cs="Consolas"/>
          <w:sz w:val="20"/>
          <w:lang w:eastAsia="zh-CN"/>
        </w:rPr>
        <w:t xml:space="preserve">(r) + </w:t>
      </w:r>
      <w:proofErr w:type="spellStart"/>
      <w:r w:rsidR="003741C7" w:rsidRPr="00471B29">
        <w:rPr>
          <w:rFonts w:ascii="Consolas" w:hAnsi="Consolas" w:cs="Consolas"/>
          <w:sz w:val="20"/>
          <w:lang w:eastAsia="zh-CN"/>
        </w:rPr>
        <w:t>d_q</w:t>
      </w:r>
      <w:r w:rsidRPr="00471B29">
        <w:rPr>
          <w:rFonts w:ascii="Consolas" w:hAnsi="Consolas" w:cs="Consolas"/>
          <w:sz w:val="20"/>
          <w:lang w:eastAsia="zh-CN"/>
        </w:rPr>
        <w:t>DEP</w:t>
      </w:r>
      <w:proofErr w:type="spellEnd"/>
      <w:r w:rsidRPr="00471B29">
        <w:rPr>
          <w:rFonts w:ascii="Consolas" w:hAnsi="Consolas" w:cs="Consolas"/>
          <w:sz w:val="20"/>
          <w:lang w:eastAsia="zh-CN"/>
        </w:rPr>
        <w:t>(r);</w:t>
      </w:r>
      <w:r w:rsidRPr="00471B29">
        <w:rPr>
          <w:rFonts w:ascii="Consolas" w:hAnsi="Consolas" w:cs="Arial"/>
          <w:sz w:val="20"/>
          <w:lang w:eastAsia="zh-CN"/>
        </w:rPr>
        <w:t xml:space="preserve"> </w:t>
      </w:r>
      <w:r w:rsidRPr="00471B29">
        <w:t>(</w:t>
      </w:r>
      <w:proofErr w:type="spellStart"/>
      <w:r w:rsidRPr="00471B29">
        <w:t>A10</w:t>
      </w:r>
      <w:proofErr w:type="spellEnd"/>
      <w:r w:rsidRPr="00471B29">
        <w:t xml:space="preserve">) </w:t>
      </w:r>
    </w:p>
    <w:p w:rsidR="00BE6707" w:rsidRPr="000730B8" w:rsidRDefault="00BE6707" w:rsidP="00BE6707">
      <w:pPr>
        <w:pStyle w:val="BodyText"/>
      </w:pPr>
      <w:r w:rsidRPr="00471B29">
        <w:t xml:space="preserve">where </w:t>
      </w:r>
      <w:proofErr w:type="spellStart"/>
      <w:r w:rsidR="003741C7" w:rsidRPr="00471B29">
        <w:rPr>
          <w:rFonts w:ascii="Consolas" w:hAnsi="Consolas" w:cs="Consolas"/>
          <w:sz w:val="20"/>
          <w:lang w:eastAsia="zh-CN"/>
        </w:rPr>
        <w:t>d_q</w:t>
      </w:r>
      <w:r w:rsidRPr="00471B29">
        <w:rPr>
          <w:rFonts w:ascii="Consolas" w:hAnsi="Consolas" w:cs="Consolas"/>
          <w:sz w:val="20"/>
          <w:lang w:eastAsia="zh-CN"/>
        </w:rPr>
        <w:t>save</w:t>
      </w:r>
      <w:proofErr w:type="spellEnd"/>
      <w:r w:rsidRPr="00471B29">
        <w:rPr>
          <w:rFonts w:ascii="Consolas" w:hAnsi="Consolas" w:cs="Consolas"/>
          <w:sz w:val="20"/>
          <w:lang w:eastAsia="zh-CN"/>
        </w:rPr>
        <w:t>(r)</w:t>
      </w:r>
      <w:r w:rsidRPr="00471B29">
        <w:t xml:space="preserve"> is a quantitative index for the net savings of country </w:t>
      </w:r>
      <w:r w:rsidRPr="00471B29">
        <w:rPr>
          <w:i/>
        </w:rPr>
        <w:t>r</w:t>
      </w:r>
      <w:r w:rsidRPr="00471B29">
        <w:t xml:space="preserve">, derived from the </w:t>
      </w:r>
      <w:r w:rsidRPr="000730B8">
        <w:t xml:space="preserve">nominal income and the saving price, </w:t>
      </w:r>
      <w:proofErr w:type="spellStart"/>
      <w:r w:rsidRPr="000730B8">
        <w:rPr>
          <w:rFonts w:ascii="Consolas" w:hAnsi="Consolas" w:cs="Consolas"/>
          <w:sz w:val="20"/>
          <w:lang w:eastAsia="zh-CN"/>
        </w:rPr>
        <w:t>psave</w:t>
      </w:r>
      <w:proofErr w:type="spellEnd"/>
      <w:r w:rsidRPr="000730B8">
        <w:rPr>
          <w:rFonts w:ascii="Consolas" w:hAnsi="Consolas" w:cs="Consolas"/>
          <w:sz w:val="20"/>
          <w:lang w:eastAsia="zh-CN"/>
        </w:rPr>
        <w:t>(r)</w:t>
      </w:r>
      <w:r w:rsidRPr="000730B8">
        <w:t xml:space="preserve">. </w:t>
      </w:r>
    </w:p>
    <w:p w:rsidR="00BE6707" w:rsidRPr="00471B29" w:rsidRDefault="00BE6707" w:rsidP="00BE6707">
      <w:pPr>
        <w:pStyle w:val="BodyText"/>
      </w:pPr>
      <w:r>
        <w:lastRenderedPageBreak/>
        <w:t xml:space="preserve">The </w:t>
      </w:r>
      <w:proofErr w:type="spellStart"/>
      <w:r>
        <w:t>GTAP</w:t>
      </w:r>
      <w:proofErr w:type="spellEnd"/>
      <w:r>
        <w:t xml:space="preserve"> model defines a change variable, EV, which is also based on the saving price as defined above. It is therefore convenient to compare the change in real </w:t>
      </w:r>
      <w:proofErr w:type="spellStart"/>
      <w:r>
        <w:t>GNA</w:t>
      </w:r>
      <w:proofErr w:type="spellEnd"/>
      <w:r>
        <w:t xml:space="preserve"> with EV. As </w:t>
      </w:r>
      <w:r w:rsidRPr="00471B29">
        <w:t xml:space="preserve">EV is net of depreciation, to be comparable with real </w:t>
      </w:r>
      <w:proofErr w:type="spellStart"/>
      <w:r w:rsidRPr="00471B29">
        <w:t>GNA</w:t>
      </w:r>
      <w:proofErr w:type="spellEnd"/>
      <w:r w:rsidRPr="00471B29">
        <w:t xml:space="preserve">, the change in real depreciation needs to be added to EV to form a new variable </w:t>
      </w:r>
      <w:proofErr w:type="spellStart"/>
      <w:r w:rsidRPr="00471B29">
        <w:rPr>
          <w:rFonts w:ascii="Consolas" w:hAnsi="Consolas" w:cs="Arial"/>
          <w:sz w:val="20"/>
          <w:lang w:eastAsia="zh-CN"/>
        </w:rPr>
        <w:t>EVplus</w:t>
      </w:r>
      <w:proofErr w:type="spellEnd"/>
      <w:r w:rsidRPr="00471B29">
        <w:t xml:space="preserve">. </w:t>
      </w:r>
    </w:p>
    <w:p w:rsidR="00BE6707" w:rsidRPr="00471B29" w:rsidRDefault="00BE6707" w:rsidP="00BE6707">
      <w:pPr>
        <w:pStyle w:val="BodyText"/>
        <w:jc w:val="left"/>
      </w:pPr>
      <w:r w:rsidRPr="00471B29">
        <w:rPr>
          <w:rFonts w:ascii="Arial" w:hAnsi="Arial" w:cs="Arial"/>
          <w:sz w:val="20"/>
        </w:rPr>
        <w:tab/>
      </w:r>
      <w:proofErr w:type="spellStart"/>
      <w:r w:rsidRPr="00471B29">
        <w:rPr>
          <w:rFonts w:ascii="Consolas" w:hAnsi="Consolas" w:cs="Arial"/>
          <w:sz w:val="20"/>
          <w:lang w:eastAsia="zh-CN"/>
        </w:rPr>
        <w:t>EVplus</w:t>
      </w:r>
      <w:proofErr w:type="spellEnd"/>
      <w:r w:rsidRPr="00471B29">
        <w:rPr>
          <w:rFonts w:ascii="Consolas" w:hAnsi="Consolas" w:cs="Arial"/>
          <w:sz w:val="20"/>
          <w:lang w:eastAsia="zh-CN"/>
        </w:rPr>
        <w:t>(r) = EV</w:t>
      </w:r>
      <w:r w:rsidRPr="00471B29">
        <w:rPr>
          <w:rFonts w:ascii="Consolas" w:hAnsi="Consolas" w:cs="Consolas"/>
          <w:sz w:val="20"/>
          <w:lang w:eastAsia="zh-CN"/>
        </w:rPr>
        <w:t xml:space="preserve">(r) + </w:t>
      </w:r>
      <w:proofErr w:type="spellStart"/>
      <w:r w:rsidR="003741C7" w:rsidRPr="00471B29">
        <w:rPr>
          <w:rFonts w:ascii="Consolas" w:hAnsi="Consolas" w:cs="Consolas"/>
          <w:sz w:val="20"/>
          <w:lang w:eastAsia="zh-CN"/>
        </w:rPr>
        <w:t>d_q</w:t>
      </w:r>
      <w:r w:rsidRPr="00471B29">
        <w:rPr>
          <w:rFonts w:ascii="Consolas" w:hAnsi="Consolas" w:cs="Consolas"/>
          <w:sz w:val="20"/>
          <w:lang w:eastAsia="zh-CN"/>
        </w:rPr>
        <w:t>DEP</w:t>
      </w:r>
      <w:proofErr w:type="spellEnd"/>
      <w:r w:rsidRPr="00471B29">
        <w:rPr>
          <w:rFonts w:ascii="Consolas" w:hAnsi="Consolas" w:cs="Consolas"/>
          <w:sz w:val="20"/>
          <w:lang w:eastAsia="zh-CN"/>
        </w:rPr>
        <w:t>(r);</w:t>
      </w:r>
      <w:r w:rsidRPr="00471B29">
        <w:rPr>
          <w:rFonts w:ascii="Consolas" w:hAnsi="Consolas" w:cs="Arial"/>
          <w:sz w:val="20"/>
          <w:lang w:eastAsia="zh-CN"/>
        </w:rPr>
        <w:t xml:space="preserve"> </w:t>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rPr>
          <w:rFonts w:ascii="Consolas" w:hAnsi="Consolas" w:cs="Arial"/>
          <w:sz w:val="20"/>
          <w:lang w:eastAsia="zh-CN"/>
        </w:rPr>
        <w:tab/>
      </w:r>
      <w:r w:rsidRPr="00471B29">
        <w:t>(</w:t>
      </w:r>
      <w:proofErr w:type="spellStart"/>
      <w:r w:rsidRPr="00471B29">
        <w:t>A11</w:t>
      </w:r>
      <w:proofErr w:type="spellEnd"/>
      <w:r w:rsidRPr="00471B29">
        <w:t>)</w:t>
      </w:r>
    </w:p>
    <w:p w:rsidR="00BE6707" w:rsidRDefault="00BE6707" w:rsidP="00BE6707">
      <w:pPr>
        <w:pStyle w:val="BodyText"/>
      </w:pPr>
      <w:r w:rsidRPr="00471B29">
        <w:t xml:space="preserve">Table </w:t>
      </w:r>
      <w:proofErr w:type="spellStart"/>
      <w:r w:rsidRPr="00471B29">
        <w:t>A5</w:t>
      </w:r>
      <w:proofErr w:type="spellEnd"/>
      <w:r w:rsidRPr="00471B29">
        <w:t xml:space="preserve"> reports various measures of national account aggregates, real </w:t>
      </w:r>
      <w:proofErr w:type="spellStart"/>
      <w:r w:rsidRPr="00471B29">
        <w:t>GDA</w:t>
      </w:r>
      <w:proofErr w:type="spellEnd"/>
      <w:r w:rsidRPr="00471B29">
        <w:t xml:space="preserve">, GDP and </w:t>
      </w:r>
      <w:proofErr w:type="spellStart"/>
      <w:r>
        <w:t>GNA</w:t>
      </w:r>
      <w:proofErr w:type="spellEnd"/>
      <w:r>
        <w:t xml:space="preserve">, and </w:t>
      </w:r>
      <w:proofErr w:type="spellStart"/>
      <w:r>
        <w:t>EVplus</w:t>
      </w:r>
      <w:proofErr w:type="spellEnd"/>
      <w:r>
        <w:t xml:space="preserve">. As foreign factors and income are not identified via separate variables in the </w:t>
      </w:r>
      <w:r w:rsidR="007F3314">
        <w:t xml:space="preserve">standard </w:t>
      </w:r>
      <w:proofErr w:type="spellStart"/>
      <w:r>
        <w:t>GTAP</w:t>
      </w:r>
      <w:proofErr w:type="spellEnd"/>
      <w:r>
        <w:t xml:space="preserve"> model, national income (GNP) is equal to GDP.</w:t>
      </w:r>
      <w:r w:rsidRPr="00835E61">
        <w:t xml:space="preserve"> </w:t>
      </w:r>
    </w:p>
    <w:p w:rsidR="00BE6707" w:rsidRDefault="00BE6707" w:rsidP="000730B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3741C7">
            <w:pPr>
              <w:pStyle w:val="TableTitle"/>
              <w:ind w:right="-142"/>
            </w:pPr>
            <w:r w:rsidRPr="00604ACB">
              <w:rPr>
                <w:b w:val="0"/>
              </w:rPr>
              <w:t xml:space="preserve">Table </w:t>
            </w:r>
            <w:r>
              <w:rPr>
                <w:b w:val="0"/>
                <w:noProof/>
              </w:rPr>
              <w:t>A5</w:t>
            </w:r>
            <w:r w:rsidRPr="00604ACB">
              <w:tab/>
            </w:r>
            <w:r w:rsidRPr="00074C96">
              <w:rPr>
                <w:rFonts w:ascii="Arial Bold" w:hAnsi="Arial Bold"/>
                <w:spacing w:val="-4"/>
              </w:rPr>
              <w:t xml:space="preserve">Changes in real </w:t>
            </w:r>
            <w:proofErr w:type="spellStart"/>
            <w:r w:rsidRPr="00074C96">
              <w:rPr>
                <w:rFonts w:ascii="Arial Bold" w:hAnsi="Arial Bold"/>
                <w:spacing w:val="-4"/>
              </w:rPr>
              <w:t>GDA</w:t>
            </w:r>
            <w:proofErr w:type="spellEnd"/>
            <w:r w:rsidRPr="00074C96">
              <w:rPr>
                <w:rFonts w:ascii="Arial Bold" w:hAnsi="Arial Bold"/>
                <w:spacing w:val="-4"/>
              </w:rPr>
              <w:t xml:space="preserve">, GDP, </w:t>
            </w:r>
            <w:proofErr w:type="spellStart"/>
            <w:r w:rsidRPr="00074C96">
              <w:rPr>
                <w:rFonts w:ascii="Arial Bold" w:hAnsi="Arial Bold"/>
                <w:spacing w:val="-4"/>
              </w:rPr>
              <w:t>GNA</w:t>
            </w:r>
            <w:proofErr w:type="spellEnd"/>
            <w:r w:rsidRPr="00074C96">
              <w:rPr>
                <w:rFonts w:ascii="Arial Bold" w:hAnsi="Arial Bold"/>
                <w:spacing w:val="-4"/>
              </w:rPr>
              <w:t xml:space="preserve"> and </w:t>
            </w:r>
            <w:proofErr w:type="spellStart"/>
            <w:r w:rsidRPr="00074C96">
              <w:rPr>
                <w:rFonts w:ascii="Arial Bold" w:hAnsi="Arial Bold"/>
                <w:spacing w:val="-4"/>
              </w:rPr>
              <w:t>EVplus</w:t>
            </w:r>
            <w:proofErr w:type="spellEnd"/>
            <w:r w:rsidRPr="00074C96">
              <w:rPr>
                <w:rFonts w:ascii="Arial Bold" w:hAnsi="Arial Bold"/>
                <w:spacing w:val="-4"/>
              </w:rPr>
              <w:t xml:space="preserve"> </w:t>
            </w:r>
            <w:r w:rsidR="003741C7">
              <w:rPr>
                <w:rFonts w:ascii="Arial Bold" w:hAnsi="Arial Bold"/>
                <w:spacing w:val="-4"/>
              </w:rPr>
              <w:t xml:space="preserve">with the </w:t>
            </w:r>
            <w:proofErr w:type="spellStart"/>
            <w:r w:rsidR="003741C7">
              <w:rPr>
                <w:rFonts w:ascii="Arial Bold" w:hAnsi="Arial Bold"/>
                <w:spacing w:val="-4"/>
              </w:rPr>
              <w:t>GTAP</w:t>
            </w:r>
            <w:proofErr w:type="spellEnd"/>
            <w:r w:rsidR="003741C7">
              <w:rPr>
                <w:rFonts w:ascii="Arial Bold" w:hAnsi="Arial Bold"/>
                <w:spacing w:val="-4"/>
              </w:rPr>
              <w:t xml:space="preserve"> model</w:t>
            </w:r>
            <w:r>
              <w:rPr>
                <w:rFonts w:ascii="Arial Bold" w:hAnsi="Arial Bold"/>
                <w:spacing w:val="-4"/>
              </w:rPr>
              <w:t xml:space="preserve"> </w:t>
            </w:r>
            <w:r w:rsidRPr="00C905FF">
              <w:rPr>
                <w:rFonts w:ascii="Arial Bold" w:hAnsi="Arial Bold"/>
                <w:spacing w:val="-4"/>
              </w:rPr>
              <w:t>(US$ billion)</w:t>
            </w:r>
          </w:p>
        </w:tc>
      </w:tr>
      <w:tr w:rsidR="00BE6707" w:rsidRPr="005136D8" w:rsidTr="00C73D07">
        <w:tc>
          <w:tcPr>
            <w:tcW w:w="5000" w:type="pct"/>
            <w:tcBorders>
              <w:top w:val="nil"/>
              <w:left w:val="nil"/>
              <w:bottom w:val="nil"/>
              <w:right w:val="nil"/>
            </w:tcBorders>
            <w:shd w:val="clear" w:color="auto" w:fill="auto"/>
          </w:tcPr>
          <w:tbl>
            <w:tblPr>
              <w:tblW w:w="5000" w:type="pct"/>
              <w:jc w:val="center"/>
              <w:tblLook w:val="04A0" w:firstRow="1" w:lastRow="0" w:firstColumn="1" w:lastColumn="0" w:noHBand="0" w:noVBand="1"/>
            </w:tblPr>
            <w:tblGrid>
              <w:gridCol w:w="1243"/>
              <w:gridCol w:w="1815"/>
              <w:gridCol w:w="1815"/>
              <w:gridCol w:w="1815"/>
              <w:gridCol w:w="1817"/>
            </w:tblGrid>
            <w:tr w:rsidR="00BE6707" w:rsidRPr="00167AC4" w:rsidTr="00471B29">
              <w:trPr>
                <w:trHeight w:val="288"/>
                <w:jc w:val="center"/>
              </w:trPr>
              <w:tc>
                <w:tcPr>
                  <w:tcW w:w="730"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rPr>
                      <w:rFonts w:ascii="Arial" w:hAnsi="Arial" w:cs="Arial"/>
                      <w:color w:val="000000"/>
                      <w:sz w:val="18"/>
                      <w:szCs w:val="18"/>
                      <w:lang w:eastAsia="zh-CN"/>
                    </w:rPr>
                  </w:pPr>
                </w:p>
              </w:tc>
              <w:tc>
                <w:tcPr>
                  <w:tcW w:w="1067" w:type="pct"/>
                  <w:tcBorders>
                    <w:top w:val="single" w:sz="4" w:space="0" w:color="BFBFBF"/>
                    <w:left w:val="nil"/>
                    <w:bottom w:val="single" w:sz="4" w:space="0" w:color="BFBFBF"/>
                    <w:right w:val="nil"/>
                  </w:tcBorders>
                  <w:vAlign w:val="center"/>
                </w:tcPr>
                <w:p w:rsidR="00BE6707" w:rsidRPr="00167AC4" w:rsidRDefault="00BE6707" w:rsidP="00C73D07">
                  <w:pPr>
                    <w:jc w:val="right"/>
                    <w:rPr>
                      <w:rFonts w:ascii="Arial" w:hAnsi="Arial" w:cs="Arial"/>
                      <w:color w:val="000000"/>
                      <w:sz w:val="18"/>
                      <w:szCs w:val="18"/>
                    </w:rPr>
                  </w:pPr>
                  <w:proofErr w:type="spellStart"/>
                  <w:r w:rsidRPr="00167AC4">
                    <w:rPr>
                      <w:rFonts w:ascii="Arial" w:hAnsi="Arial" w:cs="Arial"/>
                      <w:color w:val="000000"/>
                      <w:sz w:val="18"/>
                      <w:szCs w:val="18"/>
                    </w:rPr>
                    <w:t>d_qGDA</w:t>
                  </w:r>
                  <w:proofErr w:type="spellEnd"/>
                </w:p>
              </w:tc>
              <w:tc>
                <w:tcPr>
                  <w:tcW w:w="1067" w:type="pct"/>
                  <w:tcBorders>
                    <w:top w:val="single" w:sz="4" w:space="0" w:color="BFBFBF"/>
                    <w:left w:val="nil"/>
                    <w:bottom w:val="single" w:sz="4" w:space="0" w:color="BFBFBF"/>
                    <w:right w:val="nil"/>
                  </w:tcBorders>
                  <w:vAlign w:val="center"/>
                </w:tcPr>
                <w:p w:rsidR="00BE6707" w:rsidRPr="00167AC4" w:rsidRDefault="00BE6707" w:rsidP="00C73D07">
                  <w:pPr>
                    <w:jc w:val="right"/>
                    <w:rPr>
                      <w:rFonts w:ascii="Arial" w:hAnsi="Arial" w:cs="Arial"/>
                      <w:color w:val="000000"/>
                      <w:sz w:val="18"/>
                      <w:szCs w:val="18"/>
                    </w:rPr>
                  </w:pPr>
                  <w:proofErr w:type="spellStart"/>
                  <w:r w:rsidRPr="00167AC4">
                    <w:rPr>
                      <w:rFonts w:ascii="Arial" w:hAnsi="Arial" w:cs="Arial"/>
                      <w:color w:val="000000"/>
                      <w:sz w:val="18"/>
                      <w:szCs w:val="18"/>
                    </w:rPr>
                    <w:t>d_qGDP</w:t>
                  </w:r>
                  <w:proofErr w:type="spellEnd"/>
                </w:p>
              </w:tc>
              <w:tc>
                <w:tcPr>
                  <w:tcW w:w="1067"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proofErr w:type="spellStart"/>
                  <w:r w:rsidRPr="00167AC4">
                    <w:rPr>
                      <w:rFonts w:ascii="Arial" w:hAnsi="Arial" w:cs="Arial"/>
                      <w:color w:val="000000"/>
                      <w:sz w:val="18"/>
                      <w:szCs w:val="18"/>
                    </w:rPr>
                    <w:t>d_qGNA</w:t>
                  </w:r>
                  <w:proofErr w:type="spellEnd"/>
                </w:p>
              </w:tc>
              <w:tc>
                <w:tcPr>
                  <w:tcW w:w="1068"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proofErr w:type="spellStart"/>
                  <w:r w:rsidRPr="00167AC4">
                    <w:rPr>
                      <w:rFonts w:ascii="Arial" w:hAnsi="Arial" w:cs="Arial"/>
                      <w:color w:val="000000"/>
                      <w:sz w:val="18"/>
                      <w:szCs w:val="18"/>
                    </w:rPr>
                    <w:t>EVplus</w:t>
                  </w:r>
                  <w:proofErr w:type="spellEnd"/>
                </w:p>
              </w:tc>
            </w:tr>
            <w:tr w:rsidR="00BE6707" w:rsidRPr="00167AC4" w:rsidTr="00471B29">
              <w:trPr>
                <w:trHeight w:val="288"/>
                <w:jc w:val="center"/>
              </w:trPr>
              <w:tc>
                <w:tcPr>
                  <w:tcW w:w="730" w:type="pct"/>
                  <w:tcBorders>
                    <w:top w:val="single" w:sz="4" w:space="0" w:color="BFBFBF"/>
                    <w:left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AUS</w:t>
                  </w:r>
                  <w:proofErr w:type="spellEnd"/>
                </w:p>
              </w:tc>
              <w:tc>
                <w:tcPr>
                  <w:tcW w:w="1067" w:type="pct"/>
                  <w:tcBorders>
                    <w:top w:val="single" w:sz="4" w:space="0" w:color="BFBFBF"/>
                    <w:left w:val="nil"/>
                    <w:right w:val="nil"/>
                  </w:tcBorders>
                  <w:vAlign w:val="center"/>
                </w:tcPr>
                <w:p w:rsidR="00BE6707" w:rsidRPr="00167AC4" w:rsidRDefault="00BE6707" w:rsidP="00C73D07">
                  <w:pPr>
                    <w:jc w:val="right"/>
                    <w:rPr>
                      <w:rFonts w:ascii="Arial" w:hAnsi="Arial" w:cs="Arial"/>
                      <w:color w:val="000000"/>
                      <w:sz w:val="18"/>
                      <w:szCs w:val="18"/>
                      <w:lang w:eastAsia="zh-CN"/>
                    </w:rPr>
                  </w:pPr>
                  <w:r w:rsidRPr="00167AC4">
                    <w:rPr>
                      <w:rFonts w:ascii="Arial" w:hAnsi="Arial" w:cs="Arial"/>
                      <w:color w:val="000000"/>
                      <w:sz w:val="18"/>
                      <w:szCs w:val="18"/>
                    </w:rPr>
                    <w:t>0.00</w:t>
                  </w:r>
                </w:p>
              </w:tc>
              <w:tc>
                <w:tcPr>
                  <w:tcW w:w="1067" w:type="pct"/>
                  <w:tcBorders>
                    <w:top w:val="single" w:sz="4" w:space="0" w:color="BFBFBF"/>
                    <w:left w:val="nil"/>
                    <w:right w:val="nil"/>
                  </w:tcBorders>
                  <w:vAlign w:val="center"/>
                </w:tcPr>
                <w:p w:rsidR="00BE6707" w:rsidRPr="00167AC4" w:rsidRDefault="00BE6707" w:rsidP="00C73D07">
                  <w:pPr>
                    <w:jc w:val="right"/>
                    <w:rPr>
                      <w:rFonts w:ascii="Arial" w:hAnsi="Arial" w:cs="Arial"/>
                      <w:color w:val="000000"/>
                      <w:sz w:val="18"/>
                      <w:szCs w:val="18"/>
                      <w:lang w:eastAsia="zh-CN"/>
                    </w:rPr>
                  </w:pPr>
                  <w:r w:rsidRPr="00167AC4">
                    <w:rPr>
                      <w:rFonts w:ascii="Arial" w:hAnsi="Arial" w:cs="Arial"/>
                      <w:color w:val="000000"/>
                      <w:sz w:val="18"/>
                      <w:szCs w:val="18"/>
                    </w:rPr>
                    <w:t>0.03</w:t>
                  </w:r>
                </w:p>
              </w:tc>
              <w:tc>
                <w:tcPr>
                  <w:tcW w:w="1067" w:type="pct"/>
                  <w:tcBorders>
                    <w:top w:val="single" w:sz="4" w:space="0" w:color="BFBFBF"/>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-0.06</w:t>
                  </w:r>
                </w:p>
              </w:tc>
              <w:tc>
                <w:tcPr>
                  <w:tcW w:w="1068" w:type="pct"/>
                  <w:tcBorders>
                    <w:top w:val="single" w:sz="4" w:space="0" w:color="BFBFBF"/>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r w:rsidRPr="00167AC4">
                    <w:rPr>
                      <w:rFonts w:ascii="Arial" w:hAnsi="Arial" w:cs="Arial"/>
                      <w:color w:val="000000"/>
                      <w:sz w:val="18"/>
                      <w:szCs w:val="18"/>
                    </w:rPr>
                    <w:t>-0.06</w:t>
                  </w:r>
                </w:p>
              </w:tc>
            </w:tr>
            <w:tr w:rsidR="00BE6707" w:rsidRPr="00167AC4" w:rsidTr="00471B29">
              <w:trPr>
                <w:trHeight w:val="288"/>
                <w:jc w:val="center"/>
              </w:trPr>
              <w:tc>
                <w:tcPr>
                  <w:tcW w:w="730" w:type="pct"/>
                  <w:tcBorders>
                    <w:top w:val="nil"/>
                    <w:left w:val="nil"/>
                    <w:bottom w:val="nil"/>
                    <w:right w:val="nil"/>
                  </w:tcBorders>
                  <w:shd w:val="clear" w:color="auto" w:fill="DDDDDD"/>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CHN</w:t>
                  </w:r>
                  <w:proofErr w:type="spellEnd"/>
                </w:p>
              </w:tc>
              <w:tc>
                <w:tcPr>
                  <w:tcW w:w="1067"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-54.86</w:t>
                  </w:r>
                </w:p>
              </w:tc>
              <w:tc>
                <w:tcPr>
                  <w:tcW w:w="1067"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-41.39</w:t>
                  </w:r>
                </w:p>
              </w:tc>
              <w:tc>
                <w:tcPr>
                  <w:tcW w:w="1067"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-57.06</w:t>
                  </w:r>
                </w:p>
              </w:tc>
              <w:tc>
                <w:tcPr>
                  <w:tcW w:w="1068"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-57.85</w:t>
                  </w:r>
                </w:p>
              </w:tc>
            </w:tr>
            <w:tr w:rsidR="00BE6707" w:rsidRPr="00167AC4" w:rsidTr="00471B29">
              <w:trPr>
                <w:trHeight w:val="288"/>
                <w:jc w:val="center"/>
              </w:trPr>
              <w:tc>
                <w:tcPr>
                  <w:tcW w:w="730" w:type="pct"/>
                  <w:tcBorders>
                    <w:top w:val="nil"/>
                    <w:left w:val="nil"/>
                    <w:bottom w:val="nil"/>
                    <w:right w:val="nil"/>
                  </w:tcBorders>
                  <w:shd w:val="clear" w:color="auto" w:fill="auto"/>
                  <w:noWrap/>
                  <w:vAlign w:val="center"/>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JPN</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4.83</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2.17</w:t>
                  </w:r>
                </w:p>
              </w:tc>
              <w:tc>
                <w:tcPr>
                  <w:tcW w:w="1067"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4.48</w:t>
                  </w:r>
                </w:p>
              </w:tc>
              <w:tc>
                <w:tcPr>
                  <w:tcW w:w="1068"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4.47</w:t>
                  </w:r>
                </w:p>
              </w:tc>
            </w:tr>
            <w:tr w:rsidR="00BE6707" w:rsidRPr="00167AC4" w:rsidTr="00471B29">
              <w:trPr>
                <w:trHeight w:val="288"/>
                <w:jc w:val="center"/>
              </w:trPr>
              <w:tc>
                <w:tcPr>
                  <w:tcW w:w="730" w:type="pct"/>
                  <w:tcBorders>
                    <w:top w:val="nil"/>
                    <w:left w:val="nil"/>
                    <w:bottom w:val="nil"/>
                    <w:right w:val="nil"/>
                  </w:tcBorders>
                  <w:shd w:val="clear" w:color="auto" w:fill="auto"/>
                  <w:noWrap/>
                  <w:vAlign w:val="center"/>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KOR</w:t>
                  </w:r>
                  <w:proofErr w:type="spellEnd"/>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2.18</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1.43</w:t>
                  </w:r>
                </w:p>
              </w:tc>
              <w:tc>
                <w:tcPr>
                  <w:tcW w:w="1067"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2.12</w:t>
                  </w:r>
                </w:p>
              </w:tc>
              <w:tc>
                <w:tcPr>
                  <w:tcW w:w="1068"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2.11</w:t>
                  </w:r>
                </w:p>
              </w:tc>
            </w:tr>
            <w:tr w:rsidR="00BE6707" w:rsidRPr="00167AC4" w:rsidTr="00471B29">
              <w:trPr>
                <w:trHeight w:val="288"/>
                <w:jc w:val="center"/>
              </w:trPr>
              <w:tc>
                <w:tcPr>
                  <w:tcW w:w="730" w:type="pct"/>
                  <w:tcBorders>
                    <w:top w:val="nil"/>
                    <w:left w:val="nil"/>
                    <w:bottom w:val="nil"/>
                    <w:right w:val="nil"/>
                  </w:tcBorders>
                  <w:shd w:val="clear" w:color="auto" w:fill="auto"/>
                  <w:noWrap/>
                  <w:vAlign w:val="center"/>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CAN</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3.17</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1.64</w:t>
                  </w:r>
                </w:p>
              </w:tc>
              <w:tc>
                <w:tcPr>
                  <w:tcW w:w="1067"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3.13</w:t>
                  </w:r>
                </w:p>
              </w:tc>
              <w:tc>
                <w:tcPr>
                  <w:tcW w:w="1068"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3.11</w:t>
                  </w:r>
                </w:p>
              </w:tc>
            </w:tr>
            <w:tr w:rsidR="00BE6707" w:rsidRPr="00167AC4" w:rsidTr="00471B29">
              <w:trPr>
                <w:trHeight w:val="288"/>
                <w:jc w:val="center"/>
              </w:trPr>
              <w:tc>
                <w:tcPr>
                  <w:tcW w:w="730" w:type="pct"/>
                  <w:tcBorders>
                    <w:top w:val="nil"/>
                    <w:left w:val="nil"/>
                    <w:bottom w:val="nil"/>
                    <w:right w:val="nil"/>
                  </w:tcBorders>
                  <w:shd w:val="clear" w:color="auto" w:fill="DDDDDD"/>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USA</w:t>
                  </w:r>
                </w:p>
              </w:tc>
              <w:tc>
                <w:tcPr>
                  <w:tcW w:w="1067"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-34.19</w:t>
                  </w:r>
                </w:p>
              </w:tc>
              <w:tc>
                <w:tcPr>
                  <w:tcW w:w="1067"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-34.47</w:t>
                  </w:r>
                </w:p>
              </w:tc>
              <w:tc>
                <w:tcPr>
                  <w:tcW w:w="1067"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-30.71</w:t>
                  </w:r>
                </w:p>
              </w:tc>
              <w:tc>
                <w:tcPr>
                  <w:tcW w:w="1068"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-30.64</w:t>
                  </w:r>
                </w:p>
              </w:tc>
            </w:tr>
            <w:tr w:rsidR="00BE6707" w:rsidRPr="00167AC4" w:rsidTr="00471B29">
              <w:trPr>
                <w:trHeight w:val="288"/>
                <w:jc w:val="center"/>
              </w:trPr>
              <w:tc>
                <w:tcPr>
                  <w:tcW w:w="730"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MEX</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9.20</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7.19</w:t>
                  </w:r>
                </w:p>
              </w:tc>
              <w:tc>
                <w:tcPr>
                  <w:tcW w:w="1067"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8.80</w:t>
                  </w:r>
                </w:p>
              </w:tc>
              <w:tc>
                <w:tcPr>
                  <w:tcW w:w="1068"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8.75</w:t>
                  </w:r>
                </w:p>
              </w:tc>
            </w:tr>
            <w:tr w:rsidR="00BE6707" w:rsidRPr="00167AC4" w:rsidTr="00471B29">
              <w:trPr>
                <w:trHeight w:val="288"/>
                <w:jc w:val="center"/>
              </w:trPr>
              <w:tc>
                <w:tcPr>
                  <w:tcW w:w="730"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EUN</w:t>
                  </w:r>
                  <w:proofErr w:type="spellEnd"/>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7.93</w:t>
                  </w:r>
                </w:p>
              </w:tc>
              <w:tc>
                <w:tcPr>
                  <w:tcW w:w="1067"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4.50</w:t>
                  </w:r>
                </w:p>
              </w:tc>
              <w:tc>
                <w:tcPr>
                  <w:tcW w:w="1067"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7.30</w:t>
                  </w:r>
                </w:p>
              </w:tc>
              <w:tc>
                <w:tcPr>
                  <w:tcW w:w="1068"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7.29</w:t>
                  </w:r>
                </w:p>
              </w:tc>
            </w:tr>
            <w:tr w:rsidR="00BE6707" w:rsidRPr="00167AC4" w:rsidTr="00471B29">
              <w:trPr>
                <w:trHeight w:val="288"/>
                <w:jc w:val="center"/>
              </w:trPr>
              <w:tc>
                <w:tcPr>
                  <w:tcW w:w="730" w:type="pct"/>
                  <w:tcBorders>
                    <w:top w:val="nil"/>
                    <w:left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ROW</w:t>
                  </w:r>
                </w:p>
              </w:tc>
              <w:tc>
                <w:tcPr>
                  <w:tcW w:w="1067" w:type="pct"/>
                  <w:tcBorders>
                    <w:top w:val="nil"/>
                    <w:left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12.85</w:t>
                  </w:r>
                </w:p>
              </w:tc>
              <w:tc>
                <w:tcPr>
                  <w:tcW w:w="1067" w:type="pct"/>
                  <w:tcBorders>
                    <w:top w:val="nil"/>
                    <w:left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10.02</w:t>
                  </w:r>
                </w:p>
              </w:tc>
              <w:tc>
                <w:tcPr>
                  <w:tcW w:w="1067" w:type="pct"/>
                  <w:tcBorders>
                    <w:top w:val="nil"/>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13.11</w:t>
                  </w:r>
                </w:p>
              </w:tc>
              <w:tc>
                <w:tcPr>
                  <w:tcW w:w="1068" w:type="pct"/>
                  <w:tcBorders>
                    <w:top w:val="nil"/>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13.09</w:t>
                  </w:r>
                </w:p>
              </w:tc>
            </w:tr>
            <w:tr w:rsidR="00BE6707" w:rsidRPr="00167AC4" w:rsidTr="00471B29">
              <w:trPr>
                <w:trHeight w:val="288"/>
                <w:jc w:val="center"/>
              </w:trPr>
              <w:tc>
                <w:tcPr>
                  <w:tcW w:w="730" w:type="pct"/>
                  <w:tcBorders>
                    <w:left w:val="nil"/>
                    <w:bottom w:val="single" w:sz="4" w:space="0" w:color="BFBFBF"/>
                    <w:right w:val="nil"/>
                  </w:tcBorders>
                  <w:shd w:val="clear" w:color="auto" w:fill="auto"/>
                  <w:noWrap/>
                  <w:vAlign w:val="center"/>
                  <w:hideMark/>
                </w:tcPr>
                <w:p w:rsidR="00BE6707" w:rsidRPr="00167AC4" w:rsidRDefault="00BE6707" w:rsidP="00C73D07">
                  <w:pPr>
                    <w:rPr>
                      <w:rFonts w:ascii="Arial" w:hAnsi="Arial" w:cs="Arial"/>
                      <w:b/>
                      <w:color w:val="000000"/>
                      <w:sz w:val="18"/>
                      <w:szCs w:val="18"/>
                    </w:rPr>
                  </w:pPr>
                  <w:r w:rsidRPr="00167AC4">
                    <w:rPr>
                      <w:rFonts w:ascii="Arial" w:hAnsi="Arial" w:cs="Arial"/>
                      <w:b/>
                      <w:color w:val="000000"/>
                      <w:sz w:val="18"/>
                      <w:szCs w:val="18"/>
                    </w:rPr>
                    <w:t>World</w:t>
                  </w:r>
                </w:p>
              </w:tc>
              <w:tc>
                <w:tcPr>
                  <w:tcW w:w="1067" w:type="pct"/>
                  <w:tcBorders>
                    <w:left w:val="nil"/>
                    <w:bottom w:val="single" w:sz="4" w:space="0" w:color="BFBFBF"/>
                    <w:right w:val="nil"/>
                  </w:tcBorders>
                  <w:vAlign w:val="center"/>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-48.90</w:t>
                  </w:r>
                </w:p>
              </w:tc>
              <w:tc>
                <w:tcPr>
                  <w:tcW w:w="1067" w:type="pct"/>
                  <w:tcBorders>
                    <w:left w:val="nil"/>
                    <w:bottom w:val="single" w:sz="4" w:space="0" w:color="BFBFBF"/>
                    <w:right w:val="nil"/>
                  </w:tcBorders>
                  <w:vAlign w:val="center"/>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-48.90</w:t>
                  </w:r>
                </w:p>
              </w:tc>
              <w:tc>
                <w:tcPr>
                  <w:tcW w:w="1067" w:type="pct"/>
                  <w:tcBorders>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-48.90</w:t>
                  </w:r>
                </w:p>
              </w:tc>
              <w:tc>
                <w:tcPr>
                  <w:tcW w:w="1068" w:type="pct"/>
                  <w:tcBorders>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-49.71</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C73D07">
            <w:pPr>
              <w:pStyle w:val="Source"/>
            </w:pPr>
            <w:r>
              <w:rPr>
                <w:i/>
              </w:rPr>
              <w:t>Source</w:t>
            </w:r>
            <w:r w:rsidRPr="00167F06">
              <w:t xml:space="preserve">: </w:t>
            </w:r>
            <w:r>
              <w:t>T</w:t>
            </w:r>
            <w:r w:rsidRPr="00693C10">
              <w:rPr>
                <w:szCs w:val="18"/>
              </w:rPr>
              <w:t>he author’s simulation.</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BE6707" w:rsidP="00BE6707">
      <w:pPr>
        <w:pStyle w:val="BodyText"/>
      </w:pPr>
      <w:r>
        <w:t xml:space="preserve">At the global level, real </w:t>
      </w:r>
      <w:proofErr w:type="spellStart"/>
      <w:r>
        <w:t>GDA</w:t>
      </w:r>
      <w:proofErr w:type="spellEnd"/>
      <w:r>
        <w:t xml:space="preserve">, GDP and </w:t>
      </w:r>
      <w:proofErr w:type="spellStart"/>
      <w:r>
        <w:t>GNA</w:t>
      </w:r>
      <w:proofErr w:type="spellEnd"/>
      <w:r>
        <w:t xml:space="preserve"> are all equal because they measure the same global output, whereas </w:t>
      </w:r>
      <w:proofErr w:type="spellStart"/>
      <w:r>
        <w:t>EVplus</w:t>
      </w:r>
      <w:proofErr w:type="spellEnd"/>
      <w:r>
        <w:t xml:space="preserve"> does not. This is because EV is a money metric measure of utility, which is not based on national income. This is an advantage of real </w:t>
      </w:r>
      <w:proofErr w:type="spellStart"/>
      <w:r>
        <w:t>GNA</w:t>
      </w:r>
      <w:proofErr w:type="spellEnd"/>
      <w:r>
        <w:t xml:space="preserve">: changes in real expenditure can be fully accounted for by changes in the production and distribution of real income. </w:t>
      </w:r>
    </w:p>
    <w:p w:rsidR="00BE6707" w:rsidRDefault="00BE6707" w:rsidP="00BE6707">
      <w:pPr>
        <w:pStyle w:val="BodyText"/>
      </w:pPr>
      <w:r>
        <w:t xml:space="preserve">At the individual economy level, changes in real </w:t>
      </w:r>
      <w:proofErr w:type="spellStart"/>
      <w:r>
        <w:t>GNA</w:t>
      </w:r>
      <w:proofErr w:type="spellEnd"/>
      <w:r>
        <w:t xml:space="preserve"> can also be measured as changes in real GDP plus the changes in the components of the </w:t>
      </w:r>
      <w:proofErr w:type="spellStart"/>
      <w:r>
        <w:t>BoP</w:t>
      </w:r>
      <w:proofErr w:type="spellEnd"/>
      <w:r>
        <w:t xml:space="preserve"> that result from terms of trade and investment changes. In the </w:t>
      </w:r>
      <w:proofErr w:type="spellStart"/>
      <w:r>
        <w:t>GTAP</w:t>
      </w:r>
      <w:proofErr w:type="spellEnd"/>
      <w:r>
        <w:t xml:space="preserve"> model, this may be defined as,</w:t>
      </w:r>
      <w:r w:rsidRPr="00835E61">
        <w:t xml:space="preserve"> </w:t>
      </w:r>
    </w:p>
    <w:p w:rsidR="00BE6707" w:rsidRPr="00167AC4" w:rsidRDefault="00BE6707" w:rsidP="00BE6707">
      <w:pPr>
        <w:pStyle w:val="BodyText"/>
        <w:jc w:val="left"/>
      </w:pPr>
      <w:r w:rsidRPr="00167AC4">
        <w:rPr>
          <w:rFonts w:ascii="Arial" w:hAnsi="Arial" w:cs="Arial"/>
          <w:sz w:val="20"/>
        </w:rPr>
        <w:tab/>
      </w:r>
      <w:proofErr w:type="spellStart"/>
      <w:r w:rsidRPr="00167AC4">
        <w:rPr>
          <w:rFonts w:ascii="Consolas" w:hAnsi="Consolas" w:cs="Consolas"/>
          <w:sz w:val="20"/>
          <w:lang w:eastAsia="zh-CN"/>
        </w:rPr>
        <w:t>d_qGNA2</w:t>
      </w:r>
      <w:proofErr w:type="spellEnd"/>
      <w:r w:rsidRPr="00167AC4">
        <w:rPr>
          <w:rFonts w:ascii="Consolas" w:hAnsi="Consolas" w:cs="Consolas"/>
          <w:sz w:val="20"/>
          <w:lang w:eastAsia="zh-CN"/>
        </w:rPr>
        <w:t xml:space="preserve">(r) = </w:t>
      </w:r>
      <w:proofErr w:type="spellStart"/>
      <w:r w:rsidRPr="00167AC4">
        <w:rPr>
          <w:rFonts w:ascii="Consolas" w:hAnsi="Consolas" w:cs="Consolas"/>
          <w:sz w:val="20"/>
          <w:lang w:eastAsia="zh-CN"/>
        </w:rPr>
        <w:t>d_qGDP</w:t>
      </w:r>
      <w:proofErr w:type="spellEnd"/>
      <w:r w:rsidRPr="00167AC4">
        <w:rPr>
          <w:rFonts w:ascii="Consolas" w:hAnsi="Consolas" w:cs="Consolas"/>
          <w:sz w:val="20"/>
          <w:lang w:eastAsia="zh-CN"/>
        </w:rPr>
        <w:t xml:space="preserve">(r) + </w:t>
      </w:r>
      <w:proofErr w:type="spellStart"/>
      <w:r w:rsidRPr="00167AC4">
        <w:rPr>
          <w:rFonts w:ascii="Consolas" w:hAnsi="Consolas" w:cs="Consolas"/>
          <w:sz w:val="20"/>
          <w:lang w:eastAsia="zh-CN"/>
        </w:rPr>
        <w:t>d_pTAB</w:t>
      </w:r>
      <w:proofErr w:type="spellEnd"/>
      <w:r w:rsidRPr="00167AC4">
        <w:rPr>
          <w:rFonts w:ascii="Consolas" w:hAnsi="Consolas" w:cs="Consolas"/>
          <w:sz w:val="20"/>
          <w:lang w:eastAsia="zh-CN"/>
        </w:rPr>
        <w:t xml:space="preserve">(r) – </w:t>
      </w:r>
      <w:proofErr w:type="spellStart"/>
      <w:r w:rsidRPr="00167AC4">
        <w:rPr>
          <w:rFonts w:ascii="Consolas" w:hAnsi="Consolas" w:cs="Consolas"/>
          <w:sz w:val="20"/>
          <w:lang w:eastAsia="zh-CN"/>
        </w:rPr>
        <w:t>d_pKAB</w:t>
      </w:r>
      <w:proofErr w:type="spellEnd"/>
      <w:r w:rsidRPr="00167AC4">
        <w:rPr>
          <w:rFonts w:ascii="Consolas" w:hAnsi="Consolas" w:cs="Consolas"/>
          <w:sz w:val="20"/>
          <w:lang w:eastAsia="zh-CN"/>
        </w:rPr>
        <w:t>(r);</w:t>
      </w:r>
      <w:r w:rsidRPr="00167AC4">
        <w:rPr>
          <w:rFonts w:ascii="Consolas" w:hAnsi="Consolas" w:cs="Arial"/>
          <w:sz w:val="20"/>
          <w:lang w:eastAsia="zh-CN"/>
        </w:rPr>
        <w:t xml:space="preserve"> </w:t>
      </w:r>
      <w:r w:rsidRPr="00167AC4">
        <w:rPr>
          <w:rFonts w:ascii="Consolas" w:hAnsi="Consolas" w:cs="Arial"/>
          <w:sz w:val="20"/>
          <w:lang w:eastAsia="zh-CN"/>
        </w:rPr>
        <w:tab/>
      </w:r>
      <w:r w:rsidRPr="00167AC4">
        <w:rPr>
          <w:rFonts w:ascii="Consolas" w:hAnsi="Consolas" w:cs="Arial"/>
          <w:sz w:val="20"/>
          <w:lang w:eastAsia="zh-CN"/>
        </w:rPr>
        <w:tab/>
      </w:r>
      <w:r w:rsidRPr="00167AC4">
        <w:t>(</w:t>
      </w:r>
      <w:proofErr w:type="spellStart"/>
      <w:r w:rsidRPr="00167AC4">
        <w:t>A12</w:t>
      </w:r>
      <w:proofErr w:type="spellEnd"/>
      <w:r w:rsidRPr="00167AC4">
        <w:t xml:space="preserve">) </w:t>
      </w:r>
    </w:p>
    <w:p w:rsidR="00BE6707" w:rsidRDefault="00BE6707" w:rsidP="00BE6707">
      <w:pPr>
        <w:pStyle w:val="BodyText"/>
      </w:pPr>
      <w:r w:rsidRPr="00167AC4">
        <w:t xml:space="preserve">where </w:t>
      </w:r>
      <w:proofErr w:type="spellStart"/>
      <w:r w:rsidRPr="00167AC4">
        <w:rPr>
          <w:rFonts w:ascii="Consolas" w:hAnsi="Consolas" w:cs="Consolas"/>
          <w:sz w:val="20"/>
          <w:lang w:eastAsia="zh-CN"/>
        </w:rPr>
        <w:t>d_pTAB</w:t>
      </w:r>
      <w:proofErr w:type="spellEnd"/>
      <w:r w:rsidRPr="00167AC4">
        <w:rPr>
          <w:rFonts w:ascii="Consolas" w:hAnsi="Consolas" w:cs="Consolas"/>
          <w:sz w:val="20"/>
          <w:lang w:eastAsia="zh-CN"/>
        </w:rPr>
        <w:t>(r)</w:t>
      </w:r>
      <w:r w:rsidRPr="00167AC4">
        <w:t xml:space="preserve"> is the change in the trade balance due to terms of trade effects and </w:t>
      </w:r>
      <w:proofErr w:type="spellStart"/>
      <w:r w:rsidRPr="00167AC4">
        <w:rPr>
          <w:rFonts w:ascii="Consolas" w:hAnsi="Consolas" w:cs="Consolas"/>
          <w:sz w:val="20"/>
          <w:lang w:eastAsia="zh-CN"/>
        </w:rPr>
        <w:t>d_pKAB</w:t>
      </w:r>
      <w:proofErr w:type="spellEnd"/>
      <w:r w:rsidRPr="00167AC4">
        <w:rPr>
          <w:rFonts w:ascii="Consolas" w:hAnsi="Consolas" w:cs="Consolas"/>
          <w:sz w:val="20"/>
          <w:lang w:eastAsia="zh-CN"/>
        </w:rPr>
        <w:t>(r)</w:t>
      </w:r>
      <w:r w:rsidRPr="00167AC4">
        <w:t xml:space="preserve"> is the changes in the capital account, due to changes in the prices of investment goods. The former is easy to calculate, as shown in equation </w:t>
      </w:r>
      <w:proofErr w:type="spellStart"/>
      <w:r w:rsidRPr="00167AC4">
        <w:t>A6</w:t>
      </w:r>
      <w:proofErr w:type="spellEnd"/>
      <w:r w:rsidRPr="00167AC4">
        <w:t xml:space="preserve">. Without a bilateral saving-investment </w:t>
      </w:r>
      <w:r>
        <w:t xml:space="preserve">matrix, however, the latter can only be defined using the saving price estimated in equation </w:t>
      </w:r>
      <w:proofErr w:type="spellStart"/>
      <w:r>
        <w:t>A9</w:t>
      </w:r>
      <w:proofErr w:type="spellEnd"/>
      <w:r>
        <w:t xml:space="preserve"> above,</w:t>
      </w:r>
      <w:r w:rsidRPr="00835E61">
        <w:t xml:space="preserve"> </w:t>
      </w:r>
    </w:p>
    <w:p w:rsidR="00BE6707" w:rsidRPr="00167AC4" w:rsidRDefault="00BE6707" w:rsidP="00BE6707">
      <w:pPr>
        <w:pStyle w:val="BodyText"/>
        <w:jc w:val="left"/>
      </w:pPr>
      <w:r w:rsidRPr="00167AC4">
        <w:rPr>
          <w:rFonts w:ascii="Arial" w:hAnsi="Arial" w:cs="Arial"/>
          <w:sz w:val="20"/>
        </w:rPr>
        <w:lastRenderedPageBreak/>
        <w:tab/>
      </w:r>
      <w:proofErr w:type="spellStart"/>
      <w:r w:rsidRPr="00167AC4">
        <w:rPr>
          <w:rFonts w:ascii="Consolas" w:hAnsi="Consolas" w:cs="Consolas"/>
          <w:sz w:val="20"/>
          <w:lang w:eastAsia="zh-CN"/>
        </w:rPr>
        <w:t>d_pKAB</w:t>
      </w:r>
      <w:proofErr w:type="spellEnd"/>
      <w:r w:rsidRPr="00167AC4">
        <w:rPr>
          <w:rFonts w:ascii="Consolas" w:hAnsi="Consolas" w:cs="Consolas"/>
          <w:sz w:val="20"/>
          <w:lang w:eastAsia="zh-CN"/>
        </w:rPr>
        <w:t xml:space="preserve">(r) = SAVE(r)/100 * </w:t>
      </w:r>
      <w:proofErr w:type="spellStart"/>
      <w:r w:rsidRPr="00167AC4">
        <w:rPr>
          <w:rFonts w:ascii="Consolas" w:hAnsi="Consolas" w:cs="Consolas"/>
          <w:sz w:val="20"/>
          <w:lang w:eastAsia="zh-CN"/>
        </w:rPr>
        <w:t>psave</w:t>
      </w:r>
      <w:proofErr w:type="spellEnd"/>
      <w:r w:rsidRPr="00167AC4">
        <w:rPr>
          <w:rFonts w:ascii="Consolas" w:hAnsi="Consolas" w:cs="Consolas"/>
          <w:sz w:val="20"/>
          <w:lang w:eastAsia="zh-CN"/>
        </w:rPr>
        <w:t xml:space="preserve">(r) - </w:t>
      </w:r>
      <w:proofErr w:type="spellStart"/>
      <w:r w:rsidRPr="00167AC4">
        <w:rPr>
          <w:rFonts w:ascii="Consolas" w:hAnsi="Consolas" w:cs="Consolas"/>
          <w:sz w:val="20"/>
          <w:lang w:eastAsia="zh-CN"/>
        </w:rPr>
        <w:t>NETINV</w:t>
      </w:r>
      <w:proofErr w:type="spellEnd"/>
      <w:r w:rsidRPr="00167AC4">
        <w:rPr>
          <w:rFonts w:ascii="Consolas" w:hAnsi="Consolas" w:cs="Consolas"/>
          <w:sz w:val="20"/>
          <w:lang w:eastAsia="zh-CN"/>
        </w:rPr>
        <w:t xml:space="preserve">(r)/100 * </w:t>
      </w:r>
      <w:proofErr w:type="spellStart"/>
      <w:r w:rsidRPr="00167AC4">
        <w:rPr>
          <w:rFonts w:ascii="Consolas" w:hAnsi="Consolas" w:cs="Consolas"/>
          <w:sz w:val="20"/>
          <w:lang w:eastAsia="zh-CN"/>
        </w:rPr>
        <w:t>pcgds</w:t>
      </w:r>
      <w:proofErr w:type="spellEnd"/>
      <w:r w:rsidRPr="00167AC4">
        <w:rPr>
          <w:rFonts w:ascii="Consolas" w:hAnsi="Consolas" w:cs="Consolas"/>
          <w:sz w:val="20"/>
          <w:lang w:eastAsia="zh-CN"/>
        </w:rPr>
        <w:t>(r);</w:t>
      </w:r>
      <w:r w:rsidRPr="00167AC4">
        <w:rPr>
          <w:rFonts w:ascii="Consolas" w:hAnsi="Consolas" w:cs="Arial"/>
          <w:sz w:val="20"/>
          <w:lang w:eastAsia="zh-CN"/>
        </w:rPr>
        <w:t xml:space="preserve"> </w:t>
      </w:r>
      <w:r w:rsidRPr="00167AC4">
        <w:rPr>
          <w:rFonts w:ascii="Consolas" w:hAnsi="Consolas" w:cs="Arial"/>
          <w:sz w:val="20"/>
          <w:lang w:eastAsia="zh-CN"/>
        </w:rPr>
        <w:tab/>
      </w:r>
      <w:r w:rsidRPr="00167AC4">
        <w:t>(</w:t>
      </w:r>
      <w:proofErr w:type="spellStart"/>
      <w:r w:rsidRPr="00167AC4">
        <w:t>A13</w:t>
      </w:r>
      <w:proofErr w:type="spellEnd"/>
      <w:r w:rsidRPr="00167AC4">
        <w:t xml:space="preserve">) </w:t>
      </w:r>
    </w:p>
    <w:p w:rsidR="00BE6707" w:rsidRDefault="00BE6707" w:rsidP="00BE6707">
      <w:pPr>
        <w:pStyle w:val="BodyText"/>
      </w:pPr>
      <w:r>
        <w:t xml:space="preserve">The results are shown in table </w:t>
      </w:r>
      <w:proofErr w:type="spellStart"/>
      <w:r>
        <w:t>A6</w:t>
      </w:r>
      <w:proofErr w:type="spellEnd"/>
      <w:r>
        <w:t xml:space="preserve">. The two methods of measurement produce identical results for real </w:t>
      </w:r>
      <w:proofErr w:type="spellStart"/>
      <w:r>
        <w:t>GNA</w:t>
      </w:r>
      <w:proofErr w:type="spellEnd"/>
      <w:r>
        <w:t xml:space="preserve">. The changes in real </w:t>
      </w:r>
      <w:proofErr w:type="spellStart"/>
      <w:r>
        <w:t>GNA</w:t>
      </w:r>
      <w:proofErr w:type="spellEnd"/>
      <w:r>
        <w:t xml:space="preserve"> can also be decomposed into changes in real GDP and two </w:t>
      </w:r>
      <w:proofErr w:type="spellStart"/>
      <w:r>
        <w:t>BoP</w:t>
      </w:r>
      <w:proofErr w:type="spellEnd"/>
      <w:r>
        <w:t xml:space="preserve"> accounts. </w:t>
      </w:r>
      <w:r w:rsidR="000D7289">
        <w:t>T</w:t>
      </w:r>
      <w:r>
        <w:t>hese results are broadly consistent with th</w:t>
      </w:r>
      <w:r w:rsidR="000D7289">
        <w:t>os</w:t>
      </w:r>
      <w:r>
        <w:t xml:space="preserve">e </w:t>
      </w:r>
      <w:r w:rsidR="000D7289">
        <w:t>i</w:t>
      </w:r>
      <w:r w:rsidR="00C96CE9">
        <w:t xml:space="preserve">n table </w:t>
      </w:r>
      <w:proofErr w:type="spellStart"/>
      <w:r w:rsidR="00C96CE9">
        <w:t>A</w:t>
      </w:r>
      <w:r w:rsidR="000D7289">
        <w:t>4</w:t>
      </w:r>
      <w:proofErr w:type="spellEnd"/>
      <w:r>
        <w:t xml:space="preserve">. </w:t>
      </w:r>
    </w:p>
    <w:p w:rsidR="00BE6707" w:rsidRDefault="00BE6707" w:rsidP="000730B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3741C7">
            <w:pPr>
              <w:pStyle w:val="TableTitle"/>
              <w:ind w:right="-142"/>
            </w:pPr>
            <w:r w:rsidRPr="00604ACB">
              <w:rPr>
                <w:b w:val="0"/>
              </w:rPr>
              <w:t xml:space="preserve">Table </w:t>
            </w:r>
            <w:r>
              <w:rPr>
                <w:b w:val="0"/>
                <w:noProof/>
              </w:rPr>
              <w:t>A6</w:t>
            </w:r>
            <w:r w:rsidRPr="00604ACB">
              <w:tab/>
            </w:r>
            <w:r w:rsidRPr="00074C96">
              <w:rPr>
                <w:rFonts w:ascii="Arial Bold" w:hAnsi="Arial Bold"/>
                <w:spacing w:val="-4"/>
              </w:rPr>
              <w:t xml:space="preserve">Decomposition of the changes in real </w:t>
            </w:r>
            <w:proofErr w:type="spellStart"/>
            <w:r w:rsidRPr="00074C96">
              <w:rPr>
                <w:rFonts w:ascii="Arial Bold" w:hAnsi="Arial Bold"/>
                <w:spacing w:val="-4"/>
              </w:rPr>
              <w:t>GNA</w:t>
            </w:r>
            <w:proofErr w:type="spellEnd"/>
            <w:r w:rsidRPr="00074C96">
              <w:rPr>
                <w:rFonts w:ascii="Arial Bold" w:hAnsi="Arial Bold"/>
                <w:spacing w:val="-4"/>
              </w:rPr>
              <w:t xml:space="preserve"> </w:t>
            </w:r>
            <w:r w:rsidR="003741C7">
              <w:rPr>
                <w:rFonts w:ascii="Arial Bold" w:hAnsi="Arial Bold"/>
                <w:spacing w:val="-4"/>
              </w:rPr>
              <w:t xml:space="preserve">with the </w:t>
            </w:r>
            <w:r w:rsidR="000D7289">
              <w:rPr>
                <w:rFonts w:ascii="Arial Bold" w:hAnsi="Arial Bold"/>
                <w:spacing w:val="-4"/>
              </w:rPr>
              <w:t xml:space="preserve">standard </w:t>
            </w:r>
            <w:proofErr w:type="spellStart"/>
            <w:r w:rsidR="003741C7">
              <w:rPr>
                <w:rFonts w:ascii="Arial Bold" w:hAnsi="Arial Bold"/>
                <w:spacing w:val="-4"/>
              </w:rPr>
              <w:t>GTAP</w:t>
            </w:r>
            <w:proofErr w:type="spellEnd"/>
            <w:r w:rsidR="003741C7">
              <w:rPr>
                <w:rFonts w:ascii="Arial Bold" w:hAnsi="Arial Bold"/>
                <w:spacing w:val="-4"/>
              </w:rPr>
              <w:t xml:space="preserve"> model</w:t>
            </w:r>
            <w:r w:rsidRPr="00074C96">
              <w:rPr>
                <w:rFonts w:ascii="Arial Bold" w:hAnsi="Arial Bold"/>
                <w:spacing w:val="-4"/>
              </w:rPr>
              <w:t xml:space="preserve"> </w:t>
            </w:r>
            <w:r w:rsidRPr="00C905FF">
              <w:rPr>
                <w:rFonts w:ascii="Arial Bold" w:hAnsi="Arial Bold"/>
                <w:spacing w:val="-4"/>
              </w:rPr>
              <w:t>(US$ billion)</w:t>
            </w:r>
          </w:p>
        </w:tc>
      </w:tr>
      <w:tr w:rsidR="00BE6707" w:rsidRPr="005136D8" w:rsidTr="00C73D07">
        <w:tc>
          <w:tcPr>
            <w:tcW w:w="5000" w:type="pct"/>
            <w:tcBorders>
              <w:top w:val="nil"/>
              <w:left w:val="nil"/>
              <w:bottom w:val="nil"/>
              <w:right w:val="nil"/>
            </w:tcBorders>
            <w:shd w:val="clear" w:color="auto" w:fill="auto"/>
          </w:tcPr>
          <w:tbl>
            <w:tblPr>
              <w:tblW w:w="5000" w:type="pct"/>
              <w:jc w:val="center"/>
              <w:tblLook w:val="04A0" w:firstRow="1" w:lastRow="0" w:firstColumn="1" w:lastColumn="0" w:noHBand="0" w:noVBand="1"/>
            </w:tblPr>
            <w:tblGrid>
              <w:gridCol w:w="1060"/>
              <w:gridCol w:w="1490"/>
              <w:gridCol w:w="1488"/>
              <w:gridCol w:w="1490"/>
              <w:gridCol w:w="1490"/>
              <w:gridCol w:w="1487"/>
            </w:tblGrid>
            <w:tr w:rsidR="00BE6707" w:rsidRPr="00167AC4" w:rsidTr="00167AC4">
              <w:trPr>
                <w:trHeight w:val="288"/>
                <w:jc w:val="center"/>
              </w:trPr>
              <w:tc>
                <w:tcPr>
                  <w:tcW w:w="623"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sz w:val="18"/>
                      <w:szCs w:val="18"/>
                      <w:lang w:eastAsia="zh-CN"/>
                    </w:rPr>
                  </w:pPr>
                </w:p>
              </w:tc>
              <w:tc>
                <w:tcPr>
                  <w:tcW w:w="876"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d_qGNA</w:t>
                  </w:r>
                  <w:proofErr w:type="spellEnd"/>
                </w:p>
              </w:tc>
              <w:tc>
                <w:tcPr>
                  <w:tcW w:w="875"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d_qGNA2</w:t>
                  </w:r>
                  <w:proofErr w:type="spellEnd"/>
                </w:p>
              </w:tc>
              <w:tc>
                <w:tcPr>
                  <w:tcW w:w="876"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d_qGDP</w:t>
                  </w:r>
                  <w:proofErr w:type="spellEnd"/>
                </w:p>
              </w:tc>
              <w:tc>
                <w:tcPr>
                  <w:tcW w:w="876"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d_pTAB</w:t>
                  </w:r>
                  <w:proofErr w:type="spellEnd"/>
                </w:p>
              </w:tc>
              <w:tc>
                <w:tcPr>
                  <w:tcW w:w="876" w:type="pct"/>
                  <w:tcBorders>
                    <w:top w:val="single" w:sz="4" w:space="0" w:color="BFBFBF"/>
                    <w:left w:val="nil"/>
                    <w:bottom w:val="single" w:sz="4" w:space="0" w:color="BFBFBF"/>
                    <w:right w:val="nil"/>
                  </w:tcBorders>
                  <w:vAlign w:val="center"/>
                </w:tcPr>
                <w:p w:rsidR="00BE6707" w:rsidRPr="00167AC4" w:rsidRDefault="00BE6707" w:rsidP="00C73D07">
                  <w:pPr>
                    <w:jc w:val="right"/>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d_pKAB</w:t>
                  </w:r>
                  <w:proofErr w:type="spellEnd"/>
                </w:p>
              </w:tc>
            </w:tr>
            <w:tr w:rsidR="00BE6707" w:rsidRPr="00167AC4" w:rsidTr="00167AC4">
              <w:trPr>
                <w:trHeight w:val="288"/>
                <w:jc w:val="center"/>
              </w:trPr>
              <w:tc>
                <w:tcPr>
                  <w:tcW w:w="623" w:type="pct"/>
                  <w:tcBorders>
                    <w:top w:val="single" w:sz="4" w:space="0" w:color="BFBFBF"/>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AUS</w:t>
                  </w:r>
                  <w:proofErr w:type="spellEnd"/>
                </w:p>
              </w:tc>
              <w:tc>
                <w:tcPr>
                  <w:tcW w:w="876" w:type="pct"/>
                  <w:tcBorders>
                    <w:top w:val="single" w:sz="4" w:space="0" w:color="BFBFBF"/>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lang w:eastAsia="zh-CN"/>
                    </w:rPr>
                  </w:pPr>
                  <w:r w:rsidRPr="00167AC4">
                    <w:rPr>
                      <w:rFonts w:ascii="Arial" w:hAnsi="Arial" w:cs="Arial"/>
                      <w:color w:val="000000"/>
                      <w:sz w:val="18"/>
                      <w:szCs w:val="18"/>
                    </w:rPr>
                    <w:t>-0.06</w:t>
                  </w:r>
                </w:p>
              </w:tc>
              <w:tc>
                <w:tcPr>
                  <w:tcW w:w="875" w:type="pct"/>
                  <w:tcBorders>
                    <w:top w:val="single" w:sz="4" w:space="0" w:color="BFBFBF"/>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-0.06</w:t>
                  </w:r>
                </w:p>
              </w:tc>
              <w:tc>
                <w:tcPr>
                  <w:tcW w:w="876" w:type="pct"/>
                  <w:tcBorders>
                    <w:top w:val="single" w:sz="4" w:space="0" w:color="BFBFBF"/>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lang w:eastAsia="zh-CN"/>
                    </w:rPr>
                  </w:pPr>
                  <w:r w:rsidRPr="00167AC4">
                    <w:rPr>
                      <w:rFonts w:ascii="Arial" w:hAnsi="Arial" w:cs="Arial"/>
                      <w:color w:val="000000"/>
                      <w:sz w:val="18"/>
                      <w:szCs w:val="18"/>
                    </w:rPr>
                    <w:t>0.03</w:t>
                  </w:r>
                </w:p>
              </w:tc>
              <w:tc>
                <w:tcPr>
                  <w:tcW w:w="876" w:type="pct"/>
                  <w:tcBorders>
                    <w:top w:val="single" w:sz="4" w:space="0" w:color="BFBFBF"/>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-0.02</w:t>
                  </w:r>
                </w:p>
              </w:tc>
              <w:tc>
                <w:tcPr>
                  <w:tcW w:w="876" w:type="pct"/>
                  <w:tcBorders>
                    <w:top w:val="single" w:sz="4" w:space="0" w:color="BFBFBF"/>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0.07</w:t>
                  </w:r>
                </w:p>
              </w:tc>
            </w:tr>
            <w:tr w:rsidR="00BE6707" w:rsidRPr="00167AC4" w:rsidTr="00167AC4">
              <w:trPr>
                <w:trHeight w:val="288"/>
                <w:jc w:val="center"/>
              </w:trPr>
              <w:tc>
                <w:tcPr>
                  <w:tcW w:w="623" w:type="pct"/>
                  <w:tcBorders>
                    <w:top w:val="nil"/>
                    <w:left w:val="nil"/>
                    <w:bottom w:val="nil"/>
                    <w:right w:val="nil"/>
                  </w:tcBorders>
                  <w:shd w:val="clear" w:color="auto" w:fill="DDDDDD"/>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CHN</w:t>
                  </w:r>
                  <w:proofErr w:type="spellEnd"/>
                </w:p>
              </w:tc>
              <w:tc>
                <w:tcPr>
                  <w:tcW w:w="876"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-57.06</w:t>
                  </w:r>
                </w:p>
              </w:tc>
              <w:tc>
                <w:tcPr>
                  <w:tcW w:w="875" w:type="pct"/>
                  <w:tcBorders>
                    <w:top w:val="nil"/>
                    <w:left w:val="nil"/>
                    <w:bottom w:val="nil"/>
                    <w:right w:val="nil"/>
                  </w:tcBorders>
                  <w:shd w:val="clear" w:color="auto" w:fill="DDDDDD"/>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-57.06</w:t>
                  </w:r>
                </w:p>
              </w:tc>
              <w:tc>
                <w:tcPr>
                  <w:tcW w:w="876" w:type="pct"/>
                  <w:tcBorders>
                    <w:top w:val="nil"/>
                    <w:left w:val="nil"/>
                    <w:bottom w:val="nil"/>
                    <w:right w:val="nil"/>
                  </w:tcBorders>
                  <w:shd w:val="clear" w:color="auto" w:fill="DDDDDD"/>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-41.39</w:t>
                  </w:r>
                </w:p>
              </w:tc>
              <w:tc>
                <w:tcPr>
                  <w:tcW w:w="876"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-17.38</w:t>
                  </w:r>
                </w:p>
              </w:tc>
              <w:tc>
                <w:tcPr>
                  <w:tcW w:w="876"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-1.71</w:t>
                  </w:r>
                </w:p>
              </w:tc>
            </w:tr>
            <w:tr w:rsidR="00BE6707" w:rsidRPr="00167AC4" w:rsidTr="00167AC4">
              <w:trPr>
                <w:trHeight w:val="288"/>
                <w:jc w:val="center"/>
              </w:trPr>
              <w:tc>
                <w:tcPr>
                  <w:tcW w:w="623"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JPN</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4.48</w:t>
                  </w:r>
                </w:p>
              </w:tc>
              <w:tc>
                <w:tcPr>
                  <w:tcW w:w="875"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4.48</w:t>
                  </w:r>
                </w:p>
              </w:tc>
              <w:tc>
                <w:tcPr>
                  <w:tcW w:w="876"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2.17</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3.12</w:t>
                  </w:r>
                </w:p>
              </w:tc>
              <w:tc>
                <w:tcPr>
                  <w:tcW w:w="876"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0.81</w:t>
                  </w:r>
                </w:p>
              </w:tc>
            </w:tr>
            <w:tr w:rsidR="00BE6707" w:rsidRPr="00167AC4" w:rsidTr="00167AC4">
              <w:trPr>
                <w:trHeight w:val="288"/>
                <w:jc w:val="center"/>
              </w:trPr>
              <w:tc>
                <w:tcPr>
                  <w:tcW w:w="623"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KOR</w:t>
                  </w:r>
                  <w:proofErr w:type="spellEnd"/>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2.12</w:t>
                  </w:r>
                </w:p>
              </w:tc>
              <w:tc>
                <w:tcPr>
                  <w:tcW w:w="875"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2.12</w:t>
                  </w:r>
                </w:p>
              </w:tc>
              <w:tc>
                <w:tcPr>
                  <w:tcW w:w="876"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1.43</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1.03</w:t>
                  </w:r>
                </w:p>
              </w:tc>
              <w:tc>
                <w:tcPr>
                  <w:tcW w:w="876"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0.34</w:t>
                  </w:r>
                </w:p>
              </w:tc>
            </w:tr>
            <w:tr w:rsidR="00BE6707" w:rsidRPr="00167AC4" w:rsidTr="00167AC4">
              <w:trPr>
                <w:trHeight w:val="288"/>
                <w:jc w:val="center"/>
              </w:trPr>
              <w:tc>
                <w:tcPr>
                  <w:tcW w:w="623"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CAN</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3.13</w:t>
                  </w:r>
                </w:p>
              </w:tc>
              <w:tc>
                <w:tcPr>
                  <w:tcW w:w="875"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3.13</w:t>
                  </w:r>
                </w:p>
              </w:tc>
              <w:tc>
                <w:tcPr>
                  <w:tcW w:w="876"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1.64</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1.73</w:t>
                  </w:r>
                </w:p>
              </w:tc>
              <w:tc>
                <w:tcPr>
                  <w:tcW w:w="876"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0.24</w:t>
                  </w:r>
                </w:p>
              </w:tc>
            </w:tr>
            <w:tr w:rsidR="00BE6707" w:rsidRPr="00167AC4" w:rsidTr="00167AC4">
              <w:trPr>
                <w:trHeight w:val="288"/>
                <w:jc w:val="center"/>
              </w:trPr>
              <w:tc>
                <w:tcPr>
                  <w:tcW w:w="623" w:type="pct"/>
                  <w:tcBorders>
                    <w:top w:val="nil"/>
                    <w:left w:val="nil"/>
                    <w:bottom w:val="nil"/>
                    <w:right w:val="nil"/>
                  </w:tcBorders>
                  <w:shd w:val="clear" w:color="auto" w:fill="DDDDDD"/>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USA</w:t>
                  </w:r>
                </w:p>
              </w:tc>
              <w:tc>
                <w:tcPr>
                  <w:tcW w:w="876"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-30.71</w:t>
                  </w:r>
                </w:p>
              </w:tc>
              <w:tc>
                <w:tcPr>
                  <w:tcW w:w="875" w:type="pct"/>
                  <w:tcBorders>
                    <w:top w:val="nil"/>
                    <w:left w:val="nil"/>
                    <w:bottom w:val="nil"/>
                    <w:right w:val="nil"/>
                  </w:tcBorders>
                  <w:shd w:val="clear" w:color="auto" w:fill="DDDDDD"/>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-30.71</w:t>
                  </w:r>
                </w:p>
              </w:tc>
              <w:tc>
                <w:tcPr>
                  <w:tcW w:w="876" w:type="pct"/>
                  <w:tcBorders>
                    <w:top w:val="nil"/>
                    <w:left w:val="nil"/>
                    <w:bottom w:val="nil"/>
                    <w:right w:val="nil"/>
                  </w:tcBorders>
                  <w:shd w:val="clear" w:color="auto" w:fill="DDDDDD"/>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-34.47</w:t>
                  </w:r>
                </w:p>
              </w:tc>
              <w:tc>
                <w:tcPr>
                  <w:tcW w:w="876" w:type="pct"/>
                  <w:tcBorders>
                    <w:top w:val="nil"/>
                    <w:left w:val="nil"/>
                    <w:bottom w:val="nil"/>
                    <w:right w:val="nil"/>
                  </w:tcBorders>
                  <w:shd w:val="clear" w:color="auto" w:fill="DDDDDD"/>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1.24</w:t>
                  </w:r>
                </w:p>
              </w:tc>
              <w:tc>
                <w:tcPr>
                  <w:tcW w:w="876" w:type="pct"/>
                  <w:tcBorders>
                    <w:top w:val="nil"/>
                    <w:left w:val="nil"/>
                    <w:bottom w:val="nil"/>
                    <w:right w:val="nil"/>
                  </w:tcBorders>
                  <w:shd w:val="clear" w:color="auto" w:fill="DDDDDD"/>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-2.52</w:t>
                  </w:r>
                </w:p>
              </w:tc>
            </w:tr>
            <w:tr w:rsidR="00BE6707" w:rsidRPr="00167AC4" w:rsidTr="00167AC4">
              <w:trPr>
                <w:trHeight w:val="288"/>
                <w:jc w:val="center"/>
              </w:trPr>
              <w:tc>
                <w:tcPr>
                  <w:tcW w:w="623"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MEX</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8.80</w:t>
                  </w:r>
                </w:p>
              </w:tc>
              <w:tc>
                <w:tcPr>
                  <w:tcW w:w="875"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8.80</w:t>
                  </w:r>
                </w:p>
              </w:tc>
              <w:tc>
                <w:tcPr>
                  <w:tcW w:w="876"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7.19</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1.72</w:t>
                  </w:r>
                </w:p>
              </w:tc>
              <w:tc>
                <w:tcPr>
                  <w:tcW w:w="876"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0.10</w:t>
                  </w:r>
                </w:p>
              </w:tc>
            </w:tr>
            <w:tr w:rsidR="00BE6707" w:rsidRPr="00167AC4" w:rsidTr="00167AC4">
              <w:trPr>
                <w:trHeight w:val="288"/>
                <w:jc w:val="center"/>
              </w:trPr>
              <w:tc>
                <w:tcPr>
                  <w:tcW w:w="623" w:type="pct"/>
                  <w:tcBorders>
                    <w:top w:val="nil"/>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proofErr w:type="spellStart"/>
                  <w:r w:rsidRPr="00167AC4">
                    <w:rPr>
                      <w:rFonts w:ascii="Arial" w:hAnsi="Arial" w:cs="Arial"/>
                      <w:color w:val="000000"/>
                      <w:sz w:val="18"/>
                      <w:szCs w:val="18"/>
                    </w:rPr>
                    <w:t>EUN</w:t>
                  </w:r>
                  <w:proofErr w:type="spellEnd"/>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7.30</w:t>
                  </w:r>
                </w:p>
              </w:tc>
              <w:tc>
                <w:tcPr>
                  <w:tcW w:w="875"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7.30</w:t>
                  </w:r>
                </w:p>
              </w:tc>
              <w:tc>
                <w:tcPr>
                  <w:tcW w:w="876" w:type="pct"/>
                  <w:tcBorders>
                    <w:top w:val="nil"/>
                    <w:left w:val="nil"/>
                    <w:bottom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4.50</w:t>
                  </w:r>
                </w:p>
              </w:tc>
              <w:tc>
                <w:tcPr>
                  <w:tcW w:w="876" w:type="pct"/>
                  <w:tcBorders>
                    <w:top w:val="nil"/>
                    <w:left w:val="nil"/>
                    <w:bottom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3.75</w:t>
                  </w:r>
                </w:p>
              </w:tc>
              <w:tc>
                <w:tcPr>
                  <w:tcW w:w="876" w:type="pct"/>
                  <w:tcBorders>
                    <w:top w:val="nil"/>
                    <w:left w:val="nil"/>
                    <w:bottom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0.95</w:t>
                  </w:r>
                </w:p>
              </w:tc>
            </w:tr>
            <w:tr w:rsidR="00BE6707" w:rsidRPr="00167AC4" w:rsidTr="00167AC4">
              <w:trPr>
                <w:trHeight w:val="288"/>
                <w:jc w:val="center"/>
              </w:trPr>
              <w:tc>
                <w:tcPr>
                  <w:tcW w:w="623" w:type="pct"/>
                  <w:tcBorders>
                    <w:top w:val="nil"/>
                    <w:left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rPr>
                  </w:pPr>
                  <w:r w:rsidRPr="00167AC4">
                    <w:rPr>
                      <w:rFonts w:ascii="Arial" w:hAnsi="Arial" w:cs="Arial"/>
                      <w:color w:val="000000"/>
                      <w:sz w:val="18"/>
                      <w:szCs w:val="18"/>
                    </w:rPr>
                    <w:t>ROW</w:t>
                  </w:r>
                </w:p>
              </w:tc>
              <w:tc>
                <w:tcPr>
                  <w:tcW w:w="876" w:type="pct"/>
                  <w:tcBorders>
                    <w:top w:val="nil"/>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13.11</w:t>
                  </w:r>
                </w:p>
              </w:tc>
              <w:tc>
                <w:tcPr>
                  <w:tcW w:w="875" w:type="pct"/>
                  <w:tcBorders>
                    <w:top w:val="nil"/>
                    <w:left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13.11</w:t>
                  </w:r>
                </w:p>
              </w:tc>
              <w:tc>
                <w:tcPr>
                  <w:tcW w:w="876" w:type="pct"/>
                  <w:tcBorders>
                    <w:top w:val="nil"/>
                    <w:left w:val="nil"/>
                    <w:right w:val="nil"/>
                  </w:tcBorders>
                  <w:shd w:val="clear" w:color="auto" w:fill="auto"/>
                  <w:noWrap/>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10.02</w:t>
                  </w:r>
                </w:p>
              </w:tc>
              <w:tc>
                <w:tcPr>
                  <w:tcW w:w="876" w:type="pct"/>
                  <w:tcBorders>
                    <w:top w:val="nil"/>
                    <w:left w:val="nil"/>
                    <w:right w:val="nil"/>
                  </w:tcBorders>
                  <w:shd w:val="clear" w:color="auto" w:fill="auto"/>
                  <w:noWrap/>
                  <w:vAlign w:val="center"/>
                  <w:hideMark/>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4.81</w:t>
                  </w:r>
                </w:p>
              </w:tc>
              <w:tc>
                <w:tcPr>
                  <w:tcW w:w="876" w:type="pct"/>
                  <w:tcBorders>
                    <w:top w:val="nil"/>
                    <w:left w:val="nil"/>
                    <w:right w:val="nil"/>
                  </w:tcBorders>
                  <w:vAlign w:val="center"/>
                </w:tcPr>
                <w:p w:rsidR="00BE6707" w:rsidRPr="00167AC4" w:rsidRDefault="00BE6707" w:rsidP="00C73D07">
                  <w:pPr>
                    <w:jc w:val="right"/>
                    <w:rPr>
                      <w:rFonts w:ascii="Arial" w:hAnsi="Arial" w:cs="Arial"/>
                      <w:color w:val="000000"/>
                      <w:sz w:val="18"/>
                      <w:szCs w:val="18"/>
                    </w:rPr>
                  </w:pPr>
                  <w:r w:rsidRPr="00167AC4">
                    <w:rPr>
                      <w:rFonts w:ascii="Arial" w:hAnsi="Arial" w:cs="Arial"/>
                      <w:color w:val="000000"/>
                      <w:sz w:val="18"/>
                      <w:szCs w:val="18"/>
                    </w:rPr>
                    <w:t>1.72</w:t>
                  </w:r>
                </w:p>
              </w:tc>
            </w:tr>
            <w:tr w:rsidR="00BE6707" w:rsidRPr="00167AC4" w:rsidTr="00167AC4">
              <w:trPr>
                <w:trHeight w:val="288"/>
                <w:jc w:val="center"/>
              </w:trPr>
              <w:tc>
                <w:tcPr>
                  <w:tcW w:w="623" w:type="pct"/>
                  <w:tcBorders>
                    <w:left w:val="nil"/>
                    <w:bottom w:val="single" w:sz="4" w:space="0" w:color="BFBFBF"/>
                    <w:right w:val="nil"/>
                  </w:tcBorders>
                  <w:shd w:val="clear" w:color="auto" w:fill="auto"/>
                  <w:noWrap/>
                  <w:vAlign w:val="center"/>
                  <w:hideMark/>
                </w:tcPr>
                <w:p w:rsidR="00BE6707" w:rsidRPr="00167AC4" w:rsidRDefault="00BE6707" w:rsidP="00C73D07">
                  <w:pPr>
                    <w:rPr>
                      <w:rFonts w:ascii="Arial" w:hAnsi="Arial" w:cs="Arial"/>
                      <w:b/>
                      <w:color w:val="000000"/>
                      <w:sz w:val="18"/>
                      <w:szCs w:val="18"/>
                    </w:rPr>
                  </w:pPr>
                  <w:r w:rsidRPr="00167AC4">
                    <w:rPr>
                      <w:rFonts w:ascii="Arial" w:hAnsi="Arial" w:cs="Arial"/>
                      <w:b/>
                      <w:color w:val="000000"/>
                      <w:sz w:val="18"/>
                      <w:szCs w:val="18"/>
                    </w:rPr>
                    <w:t>World</w:t>
                  </w:r>
                </w:p>
              </w:tc>
              <w:tc>
                <w:tcPr>
                  <w:tcW w:w="876" w:type="pct"/>
                  <w:tcBorders>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b/>
                      <w:color w:val="000000"/>
                      <w:sz w:val="18"/>
                      <w:szCs w:val="18"/>
                      <w:lang w:eastAsia="zh-CN"/>
                    </w:rPr>
                  </w:pPr>
                  <w:r w:rsidRPr="00167AC4">
                    <w:rPr>
                      <w:rFonts w:ascii="Arial" w:hAnsi="Arial" w:cs="Arial"/>
                      <w:b/>
                      <w:color w:val="000000"/>
                      <w:sz w:val="18"/>
                      <w:szCs w:val="18"/>
                    </w:rPr>
                    <w:t>-48.90</w:t>
                  </w:r>
                </w:p>
              </w:tc>
              <w:tc>
                <w:tcPr>
                  <w:tcW w:w="875" w:type="pct"/>
                  <w:tcBorders>
                    <w:left w:val="nil"/>
                    <w:bottom w:val="single" w:sz="4" w:space="0" w:color="BFBFBF"/>
                    <w:right w:val="nil"/>
                  </w:tcBorders>
                  <w:shd w:val="clear" w:color="auto" w:fill="auto"/>
                  <w:noWrap/>
                  <w:vAlign w:val="center"/>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-48.90</w:t>
                  </w:r>
                </w:p>
              </w:tc>
              <w:tc>
                <w:tcPr>
                  <w:tcW w:w="876" w:type="pct"/>
                  <w:tcBorders>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-48.90</w:t>
                  </w:r>
                </w:p>
              </w:tc>
              <w:tc>
                <w:tcPr>
                  <w:tcW w:w="876" w:type="pct"/>
                  <w:tcBorders>
                    <w:left w:val="nil"/>
                    <w:bottom w:val="single" w:sz="4" w:space="0" w:color="BFBFBF"/>
                    <w:right w:val="nil"/>
                  </w:tcBorders>
                  <w:shd w:val="clear" w:color="auto" w:fill="auto"/>
                  <w:noWrap/>
                  <w:vAlign w:val="center"/>
                  <w:hideMark/>
                </w:tcPr>
                <w:p w:rsidR="00BE6707" w:rsidRPr="00167AC4" w:rsidRDefault="00BE6707" w:rsidP="00C73D07">
                  <w:pPr>
                    <w:jc w:val="right"/>
                    <w:rPr>
                      <w:rFonts w:ascii="Arial" w:hAnsi="Arial" w:cs="Arial"/>
                      <w:b/>
                      <w:color w:val="000000"/>
                      <w:sz w:val="18"/>
                      <w:szCs w:val="18"/>
                      <w:lang w:eastAsia="zh-CN"/>
                    </w:rPr>
                  </w:pPr>
                  <w:r w:rsidRPr="00167AC4">
                    <w:rPr>
                      <w:rFonts w:ascii="Arial" w:hAnsi="Arial" w:cs="Arial"/>
                      <w:b/>
                      <w:color w:val="000000"/>
                      <w:sz w:val="18"/>
                      <w:szCs w:val="18"/>
                      <w:lang w:eastAsia="zh-CN"/>
                    </w:rPr>
                    <w:t>0</w:t>
                  </w:r>
                </w:p>
              </w:tc>
              <w:tc>
                <w:tcPr>
                  <w:tcW w:w="876" w:type="pct"/>
                  <w:tcBorders>
                    <w:left w:val="nil"/>
                    <w:bottom w:val="single" w:sz="4" w:space="0" w:color="BFBFBF"/>
                    <w:right w:val="nil"/>
                  </w:tcBorders>
                  <w:vAlign w:val="center"/>
                </w:tcPr>
                <w:p w:rsidR="00BE6707" w:rsidRPr="00167AC4" w:rsidRDefault="00BE6707" w:rsidP="00C73D07">
                  <w:pPr>
                    <w:jc w:val="right"/>
                    <w:rPr>
                      <w:rFonts w:ascii="Arial" w:hAnsi="Arial" w:cs="Arial"/>
                      <w:b/>
                      <w:color w:val="000000"/>
                      <w:sz w:val="18"/>
                      <w:szCs w:val="18"/>
                    </w:rPr>
                  </w:pPr>
                  <w:r w:rsidRPr="00167AC4">
                    <w:rPr>
                      <w:rFonts w:ascii="Arial" w:hAnsi="Arial" w:cs="Arial"/>
                      <w:b/>
                      <w:color w:val="000000"/>
                      <w:sz w:val="18"/>
                      <w:szCs w:val="18"/>
                    </w:rPr>
                    <w:t>0</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C73D07">
            <w:pPr>
              <w:pStyle w:val="Source"/>
            </w:pPr>
            <w:r>
              <w:rPr>
                <w:i/>
              </w:rPr>
              <w:t>Source</w:t>
            </w:r>
            <w:r w:rsidRPr="00167F06">
              <w:t xml:space="preserve">: </w:t>
            </w:r>
            <w:r>
              <w:t>T</w:t>
            </w:r>
            <w:r w:rsidRPr="00693C10">
              <w:rPr>
                <w:szCs w:val="18"/>
              </w:rPr>
              <w:t>he author’s simulation.</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Default="000D7289" w:rsidP="00BE6707">
      <w:pPr>
        <w:pStyle w:val="BodyText"/>
      </w:pPr>
      <w:r>
        <w:t>T</w:t>
      </w:r>
      <w:r w:rsidR="00BE6707">
        <w:t xml:space="preserve">here are also </w:t>
      </w:r>
      <w:r>
        <w:t xml:space="preserve">some </w:t>
      </w:r>
      <w:r w:rsidR="00BE6707">
        <w:t xml:space="preserve">differences for real </w:t>
      </w:r>
      <w:proofErr w:type="spellStart"/>
      <w:r w:rsidR="00BE6707">
        <w:t>GNA</w:t>
      </w:r>
      <w:proofErr w:type="spellEnd"/>
      <w:r w:rsidR="00BE6707">
        <w:t xml:space="preserve">. For example, the price changes for capital account balance, </w:t>
      </w:r>
      <w:proofErr w:type="spellStart"/>
      <w:r w:rsidR="00BE6707" w:rsidRPr="001D0430">
        <w:rPr>
          <w:rFonts w:ascii="Calibri" w:eastAsia="Times New Roman" w:hAnsi="Calibri"/>
          <w:color w:val="000000"/>
          <w:sz w:val="22"/>
          <w:szCs w:val="22"/>
          <w:lang w:eastAsia="zh-CN"/>
        </w:rPr>
        <w:t>d_</w:t>
      </w:r>
      <w:r w:rsidR="00BE6707">
        <w:rPr>
          <w:rFonts w:ascii="Calibri" w:eastAsia="Times New Roman" w:hAnsi="Calibri"/>
          <w:color w:val="000000"/>
          <w:sz w:val="22"/>
          <w:szCs w:val="22"/>
          <w:lang w:eastAsia="zh-CN"/>
        </w:rPr>
        <w:t>pKAB</w:t>
      </w:r>
      <w:proofErr w:type="spellEnd"/>
      <w:r w:rsidR="00BE6707">
        <w:rPr>
          <w:rFonts w:ascii="Calibri" w:eastAsia="Times New Roman" w:hAnsi="Calibri"/>
          <w:color w:val="000000"/>
          <w:sz w:val="22"/>
          <w:szCs w:val="22"/>
          <w:lang w:eastAsia="zh-CN"/>
        </w:rPr>
        <w:t>,</w:t>
      </w:r>
      <w:r w:rsidR="00BE6707">
        <w:t xml:space="preserve"> show less variations across countries in table </w:t>
      </w:r>
      <w:proofErr w:type="spellStart"/>
      <w:r w:rsidR="00BE6707">
        <w:t>A6</w:t>
      </w:r>
      <w:proofErr w:type="spellEnd"/>
      <w:r w:rsidR="00BE6707">
        <w:t xml:space="preserve"> than in table </w:t>
      </w:r>
      <w:proofErr w:type="spellStart"/>
      <w:r w:rsidR="00BE6707">
        <w:t>A4</w:t>
      </w:r>
      <w:proofErr w:type="spellEnd"/>
      <w:r w:rsidR="00BE6707">
        <w:t xml:space="preserve">. This is because the calculation of </w:t>
      </w:r>
      <w:proofErr w:type="spellStart"/>
      <w:r w:rsidR="00BE6707" w:rsidRPr="001D0430">
        <w:rPr>
          <w:rFonts w:ascii="Calibri" w:eastAsia="Times New Roman" w:hAnsi="Calibri"/>
          <w:color w:val="000000"/>
          <w:sz w:val="22"/>
          <w:szCs w:val="22"/>
          <w:lang w:eastAsia="zh-CN"/>
        </w:rPr>
        <w:t>d_</w:t>
      </w:r>
      <w:r w:rsidR="00BE6707">
        <w:rPr>
          <w:rFonts w:ascii="Calibri" w:eastAsia="Times New Roman" w:hAnsi="Calibri"/>
          <w:color w:val="000000"/>
          <w:sz w:val="22"/>
          <w:szCs w:val="22"/>
          <w:lang w:eastAsia="zh-CN"/>
        </w:rPr>
        <w:t>pKAB</w:t>
      </w:r>
      <w:proofErr w:type="spellEnd"/>
      <w:r w:rsidR="00BE6707">
        <w:t xml:space="preserve"> is based on national aggregate saving and investment, while in the previous model, it is based on a bilateral saving-investment matrix. Without this matrix, the saving price in the </w:t>
      </w:r>
      <w:proofErr w:type="spellStart"/>
      <w:r w:rsidR="00BE6707">
        <w:t>GTAP</w:t>
      </w:r>
      <w:proofErr w:type="spellEnd"/>
      <w:r w:rsidR="00BE6707">
        <w:t xml:space="preserve"> model cannot be defined as a weighted average of the prices of capital goods in all countries where the savings are invested. In the </w:t>
      </w:r>
      <w:proofErr w:type="spellStart"/>
      <w:r w:rsidR="00BE6707">
        <w:t>GTAP</w:t>
      </w:r>
      <w:proofErr w:type="spellEnd"/>
      <w:r w:rsidR="00BE6707">
        <w:t xml:space="preserve"> model, the saving price is instead defined as equal to a country’s  own investment price index, adjusted by a uniform scaling factor, which implies no country-specific differences in saving prices. </w:t>
      </w:r>
    </w:p>
    <w:p w:rsidR="00BE6707" w:rsidRDefault="00BE6707" w:rsidP="00BE6707">
      <w:pPr>
        <w:pStyle w:val="BodyText"/>
      </w:pPr>
      <w:r>
        <w:t xml:space="preserve">Without the information on how savings are invested across countries, saving prices cannot be accurately determined for individual countries. As a result, the country-specific variations in the changes in real </w:t>
      </w:r>
      <w:proofErr w:type="spellStart"/>
      <w:r>
        <w:t>GNA</w:t>
      </w:r>
      <w:proofErr w:type="spellEnd"/>
      <w:r>
        <w:t xml:space="preserve"> cannot be fully captured. For an accurate measure of saving price, the information on a bilateral saving-investment matrix is essential. Without such information, simplif</w:t>
      </w:r>
      <w:r w:rsidR="000D7289">
        <w:t>ying</w:t>
      </w:r>
      <w:r>
        <w:t xml:space="preserve"> assumptions have to be made when defining a saving price. Different assumptions may lead to different definitions of saving prices. Although it is impossible to know how accurate they are, saving prices can still be measured consistently so that national account identities remain intact. So long as saving prices are </w:t>
      </w:r>
      <w:r w:rsidR="00D73F46">
        <w:t xml:space="preserve">estimated so that real expenditures add up to real incomes globally, </w:t>
      </w:r>
      <w:r>
        <w:t xml:space="preserve">real </w:t>
      </w:r>
      <w:proofErr w:type="spellStart"/>
      <w:r>
        <w:t>GNA</w:t>
      </w:r>
      <w:proofErr w:type="spellEnd"/>
      <w:r>
        <w:t xml:space="preserve"> can be calculated and used as a</w:t>
      </w:r>
      <w:r w:rsidR="00D73F46">
        <w:t>n approximate</w:t>
      </w:r>
      <w:r>
        <w:t xml:space="preserve"> </w:t>
      </w:r>
      <w:r w:rsidR="00D73F46">
        <w:t xml:space="preserve">(usually a lower bound, because </w:t>
      </w:r>
      <w:r w:rsidR="009C4687">
        <w:t xml:space="preserve">the true </w:t>
      </w:r>
      <w:r w:rsidR="00D73F46">
        <w:t xml:space="preserve">differences are </w:t>
      </w:r>
      <w:r w:rsidR="009C4687">
        <w:t xml:space="preserve">likely to be </w:t>
      </w:r>
      <w:r w:rsidR="00D73F46">
        <w:t xml:space="preserve">averaged out) </w:t>
      </w:r>
      <w:r>
        <w:t>welfare indicator for policy analysis in these global models.</w:t>
      </w:r>
      <w:r w:rsidRPr="00835E61">
        <w:t xml:space="preserve"> </w:t>
      </w:r>
    </w:p>
    <w:p w:rsidR="00BE6707" w:rsidRDefault="00BE6707" w:rsidP="00BE6707">
      <w:pPr>
        <w:pStyle w:val="Heading2"/>
      </w:pPr>
      <w:bookmarkStart w:id="22" w:name="_Toc26430228"/>
      <w:r>
        <w:lastRenderedPageBreak/>
        <w:t xml:space="preserve">Real </w:t>
      </w:r>
      <w:proofErr w:type="spellStart"/>
      <w:r>
        <w:t>GNA</w:t>
      </w:r>
      <w:proofErr w:type="spellEnd"/>
      <w:r>
        <w:t xml:space="preserve"> in a single-country model</w:t>
      </w:r>
      <w:bookmarkEnd w:id="22"/>
    </w:p>
    <w:p w:rsidR="00BE6707" w:rsidRPr="000730B8" w:rsidRDefault="00BE6707" w:rsidP="00BE6707">
      <w:pPr>
        <w:pStyle w:val="BodyText"/>
        <w:rPr>
          <w:spacing w:val="2"/>
        </w:rPr>
      </w:pPr>
      <w:r w:rsidRPr="000730B8">
        <w:rPr>
          <w:spacing w:val="2"/>
        </w:rPr>
        <w:t>Unlike global model</w:t>
      </w:r>
      <w:r w:rsidR="00C96CE9" w:rsidRPr="000730B8">
        <w:rPr>
          <w:spacing w:val="2"/>
        </w:rPr>
        <w:t>s</w:t>
      </w:r>
      <w:r w:rsidRPr="000730B8">
        <w:rPr>
          <w:spacing w:val="2"/>
        </w:rPr>
        <w:t xml:space="preserve">, single-country </w:t>
      </w:r>
      <w:proofErr w:type="spellStart"/>
      <w:r w:rsidRPr="000730B8">
        <w:rPr>
          <w:spacing w:val="2"/>
        </w:rPr>
        <w:t>CGE</w:t>
      </w:r>
      <w:proofErr w:type="spellEnd"/>
      <w:r w:rsidRPr="000730B8">
        <w:rPr>
          <w:spacing w:val="2"/>
        </w:rPr>
        <w:t xml:space="preserve"> models do not include information on the behaviours of the rest of the world. </w:t>
      </w:r>
      <w:r w:rsidR="00C96CE9" w:rsidRPr="000730B8">
        <w:rPr>
          <w:spacing w:val="2"/>
        </w:rPr>
        <w:t>A</w:t>
      </w:r>
      <w:r w:rsidRPr="000730B8">
        <w:rPr>
          <w:spacing w:val="2"/>
        </w:rPr>
        <w:t xml:space="preserve">ssumptions are usually made to model the responses of the rest of the world to the country’s trade and investment activities. For example, in the case of a small country, the foreign prices of its imports and the foreign demands for its exports are assumed to be constant. If foreign capital is used </w:t>
      </w:r>
      <w:r w:rsidR="00C96CE9" w:rsidRPr="000730B8">
        <w:rPr>
          <w:spacing w:val="2"/>
        </w:rPr>
        <w:t xml:space="preserve">in </w:t>
      </w:r>
      <w:r w:rsidRPr="000730B8">
        <w:rPr>
          <w:spacing w:val="2"/>
        </w:rPr>
        <w:t xml:space="preserve">production, the payment of foreign capital income can be subtracted from the country’s GDP to measure GNP. Real </w:t>
      </w:r>
      <w:proofErr w:type="spellStart"/>
      <w:r w:rsidRPr="000730B8">
        <w:rPr>
          <w:spacing w:val="2"/>
        </w:rPr>
        <w:t>GNA</w:t>
      </w:r>
      <w:proofErr w:type="spellEnd"/>
      <w:r w:rsidRPr="000730B8">
        <w:rPr>
          <w:spacing w:val="2"/>
        </w:rPr>
        <w:t xml:space="preserve"> can also be calculated using limited information on foreign investment. This is illustrated below with a model of the Australian economy, based on the 2012-13 input-output table (ABS, 2015).</w:t>
      </w:r>
      <w:r w:rsidRPr="000730B8">
        <w:rPr>
          <w:rStyle w:val="FootnoteReference"/>
          <w:spacing w:val="2"/>
        </w:rPr>
        <w:footnoteReference w:id="8"/>
      </w:r>
      <w:r w:rsidRPr="000730B8">
        <w:rPr>
          <w:spacing w:val="2"/>
        </w:rPr>
        <w:t xml:space="preserve"> </w:t>
      </w:r>
    </w:p>
    <w:p w:rsidR="00BE6707" w:rsidRDefault="00BE6707" w:rsidP="00BE6707">
      <w:pPr>
        <w:pStyle w:val="BodyText"/>
      </w:pPr>
      <w:r>
        <w:t xml:space="preserve">As the database reveals, Australia’s GDP is </w:t>
      </w:r>
      <w:proofErr w:type="spellStart"/>
      <w:r>
        <w:t>AU$1,520,444</w:t>
      </w:r>
      <w:proofErr w:type="spellEnd"/>
      <w:r>
        <w:t xml:space="preserve"> million, which is also its </w:t>
      </w:r>
      <w:proofErr w:type="spellStart"/>
      <w:r>
        <w:t>GNA</w:t>
      </w:r>
      <w:proofErr w:type="spellEnd"/>
      <w:r>
        <w:t xml:space="preserve">. It has a trade deficit of </w:t>
      </w:r>
      <w:proofErr w:type="spellStart"/>
      <w:r>
        <w:t>AU$14,958</w:t>
      </w:r>
      <w:proofErr w:type="spellEnd"/>
      <w:r>
        <w:t xml:space="preserve"> million, which implies a net inflow of foreign</w:t>
      </w:r>
      <w:r w:rsidR="005A6D5B">
        <w:t xml:space="preserve"> investment of the same amount.</w:t>
      </w:r>
      <w:r w:rsidR="003741C7">
        <w:t xml:space="preserve"> Without further information, it is assumed that the total savings of </w:t>
      </w:r>
      <w:proofErr w:type="spellStart"/>
      <w:r w:rsidR="003741C7">
        <w:t>AU$416,911</w:t>
      </w:r>
      <w:proofErr w:type="spellEnd"/>
      <w:r w:rsidR="003741C7">
        <w:t xml:space="preserve"> million are spent entirely on purchasing domestic investment goods.</w:t>
      </w:r>
    </w:p>
    <w:p w:rsidR="00BE6707" w:rsidRDefault="00BE6707" w:rsidP="00BE6707">
      <w:pPr>
        <w:pStyle w:val="BodyText"/>
      </w:pPr>
      <w:r>
        <w:t xml:space="preserve">The simulation is a removal of all tariffs on the country’s imports. The effects of this policy are presented in table </w:t>
      </w:r>
      <w:proofErr w:type="spellStart"/>
      <w:r>
        <w:t>A7</w:t>
      </w:r>
      <w:proofErr w:type="spellEnd"/>
      <w:r>
        <w:t xml:space="preserve">. The supply-side effects of this policy change can be measured using the standard national accounting variables. The nominal GDP of the country decreases by 0.378 per cent, or </w:t>
      </w:r>
      <w:proofErr w:type="spellStart"/>
      <w:r>
        <w:t>AU$5,750</w:t>
      </w:r>
      <w:proofErr w:type="spellEnd"/>
      <w:r>
        <w:t xml:space="preserve"> million. As the GDP deflator decreases more by 0.393 per cent, real GDP increases by 0.015 per cent, or </w:t>
      </w:r>
      <w:proofErr w:type="spellStart"/>
      <w:r>
        <w:t>AU$222</w:t>
      </w:r>
      <w:proofErr w:type="spellEnd"/>
      <w:r>
        <w:t xml:space="preserve"> million.</w:t>
      </w:r>
      <w:r w:rsidRPr="00835E61">
        <w:t xml:space="preserve"> </w:t>
      </w:r>
    </w:p>
    <w:p w:rsidR="00BE6707" w:rsidRDefault="00BE6707" w:rsidP="000730B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E6707" w:rsidTr="00C73D07">
        <w:trPr>
          <w:tblHeader/>
        </w:trPr>
        <w:tc>
          <w:tcPr>
            <w:tcW w:w="5000" w:type="pct"/>
            <w:tcBorders>
              <w:top w:val="single" w:sz="6" w:space="0" w:color="78A22F"/>
              <w:left w:val="nil"/>
              <w:bottom w:val="nil"/>
              <w:right w:val="nil"/>
            </w:tcBorders>
            <w:shd w:val="clear" w:color="auto" w:fill="auto"/>
          </w:tcPr>
          <w:p w:rsidR="00BE6707" w:rsidRPr="00604ACB" w:rsidRDefault="00BE6707" w:rsidP="00C73D07">
            <w:pPr>
              <w:pStyle w:val="TableTitle"/>
              <w:ind w:right="-142"/>
            </w:pPr>
            <w:r w:rsidRPr="00604ACB">
              <w:rPr>
                <w:b w:val="0"/>
              </w:rPr>
              <w:t xml:space="preserve">Table </w:t>
            </w:r>
            <w:r>
              <w:rPr>
                <w:b w:val="0"/>
                <w:noProof/>
              </w:rPr>
              <w:t>A7</w:t>
            </w:r>
            <w:r w:rsidRPr="00604ACB">
              <w:tab/>
            </w:r>
            <w:r w:rsidRPr="000B0661">
              <w:rPr>
                <w:rFonts w:ascii="Arial Bold" w:hAnsi="Arial Bold"/>
                <w:spacing w:val="-4"/>
              </w:rPr>
              <w:t>Effects of trade liberalisation on national income and expenditure</w:t>
            </w:r>
            <w:r w:rsidR="003741C7">
              <w:rPr>
                <w:rFonts w:ascii="Arial Bold" w:hAnsi="Arial Bold"/>
                <w:spacing w:val="-4"/>
              </w:rPr>
              <w:t xml:space="preserve"> with the Australian model</w:t>
            </w:r>
          </w:p>
        </w:tc>
      </w:tr>
      <w:tr w:rsidR="00BE6707" w:rsidRPr="005136D8" w:rsidTr="00C73D07">
        <w:tc>
          <w:tcPr>
            <w:tcW w:w="5000" w:type="pct"/>
            <w:tcBorders>
              <w:top w:val="nil"/>
              <w:left w:val="nil"/>
              <w:bottom w:val="nil"/>
              <w:right w:val="nil"/>
            </w:tcBorders>
            <w:shd w:val="clear" w:color="auto" w:fill="auto"/>
          </w:tcPr>
          <w:tbl>
            <w:tblPr>
              <w:tblW w:w="5000" w:type="pct"/>
              <w:jc w:val="center"/>
              <w:tblLook w:val="04A0" w:firstRow="1" w:lastRow="0" w:firstColumn="1" w:lastColumn="0" w:noHBand="0" w:noVBand="1"/>
            </w:tblPr>
            <w:tblGrid>
              <w:gridCol w:w="1111"/>
              <w:gridCol w:w="944"/>
              <w:gridCol w:w="1575"/>
              <w:gridCol w:w="1044"/>
              <w:gridCol w:w="1458"/>
              <w:gridCol w:w="942"/>
              <w:gridCol w:w="1431"/>
            </w:tblGrid>
            <w:tr w:rsidR="00BE6707" w:rsidRPr="00167AC4" w:rsidTr="00167AC4">
              <w:trPr>
                <w:trHeight w:val="288"/>
                <w:jc w:val="center"/>
              </w:trPr>
              <w:tc>
                <w:tcPr>
                  <w:tcW w:w="653" w:type="pct"/>
                  <w:tcBorders>
                    <w:top w:val="single" w:sz="4" w:space="0" w:color="BFBFBF"/>
                    <w:left w:val="nil"/>
                    <w:bottom w:val="nil"/>
                    <w:right w:val="nil"/>
                  </w:tcBorders>
                  <w:shd w:val="clear" w:color="auto" w:fill="auto"/>
                  <w:noWrap/>
                  <w:vAlign w:val="center"/>
                  <w:hideMark/>
                </w:tcPr>
                <w:p w:rsidR="00BE6707" w:rsidRPr="00167AC4" w:rsidRDefault="00BE6707" w:rsidP="00C73D07">
                  <w:pPr>
                    <w:rPr>
                      <w:rFonts w:ascii="Arial" w:hAnsi="Arial" w:cs="Arial"/>
                      <w:color w:val="000000"/>
                      <w:sz w:val="18"/>
                      <w:szCs w:val="18"/>
                      <w:lang w:eastAsia="zh-CN"/>
                    </w:rPr>
                  </w:pPr>
                </w:p>
              </w:tc>
              <w:tc>
                <w:tcPr>
                  <w:tcW w:w="1480" w:type="pct"/>
                  <w:gridSpan w:val="2"/>
                  <w:tcBorders>
                    <w:top w:val="single" w:sz="4" w:space="0" w:color="BFBFBF"/>
                    <w:left w:val="nil"/>
                    <w:bottom w:val="single" w:sz="4" w:space="0" w:color="BFBFBF"/>
                    <w:right w:val="single" w:sz="36" w:space="0" w:color="FFFFFF" w:themeColor="background1"/>
                  </w:tcBorders>
                  <w:shd w:val="clear" w:color="auto" w:fill="auto"/>
                  <w:noWrap/>
                  <w:vAlign w:val="center"/>
                  <w:hideMark/>
                </w:tcPr>
                <w:p w:rsidR="00BE6707" w:rsidRPr="00167AC4" w:rsidRDefault="000730B8" w:rsidP="003741C7">
                  <w:pPr>
                    <w:jc w:val="center"/>
                    <w:rPr>
                      <w:rFonts w:ascii="Arial" w:hAnsi="Arial" w:cs="Arial"/>
                      <w:color w:val="000000"/>
                      <w:sz w:val="18"/>
                      <w:szCs w:val="18"/>
                      <w:lang w:eastAsia="zh-CN"/>
                    </w:rPr>
                  </w:pPr>
                  <w:r>
                    <w:rPr>
                      <w:rFonts w:ascii="Arial" w:hAnsi="Arial" w:cs="Arial"/>
                      <w:color w:val="000000"/>
                      <w:sz w:val="18"/>
                      <w:szCs w:val="18"/>
                      <w:lang w:eastAsia="zh-CN"/>
                    </w:rPr>
                    <w:t>GDP</w:t>
                  </w:r>
                </w:p>
              </w:tc>
              <w:tc>
                <w:tcPr>
                  <w:tcW w:w="1471" w:type="pct"/>
                  <w:gridSpan w:val="2"/>
                  <w:tcBorders>
                    <w:top w:val="single" w:sz="4" w:space="0" w:color="BFBFBF"/>
                    <w:left w:val="single" w:sz="36" w:space="0" w:color="FFFFFF" w:themeColor="background1"/>
                    <w:bottom w:val="single" w:sz="4" w:space="0" w:color="BFBFBF"/>
                    <w:right w:val="single" w:sz="36" w:space="0" w:color="FFFFFF" w:themeColor="background1"/>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GNA1</w:t>
                  </w:r>
                  <w:proofErr w:type="spellEnd"/>
                </w:p>
              </w:tc>
              <w:tc>
                <w:tcPr>
                  <w:tcW w:w="1396" w:type="pct"/>
                  <w:gridSpan w:val="2"/>
                  <w:tcBorders>
                    <w:top w:val="single" w:sz="4" w:space="0" w:color="BFBFBF"/>
                    <w:left w:val="single" w:sz="36" w:space="0" w:color="FFFFFF" w:themeColor="background1"/>
                    <w:bottom w:val="single" w:sz="4" w:space="0" w:color="BFBFBF"/>
                    <w:right w:val="nil"/>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proofErr w:type="spellStart"/>
                  <w:r w:rsidRPr="00167AC4">
                    <w:rPr>
                      <w:rFonts w:ascii="Arial" w:hAnsi="Arial" w:cs="Arial"/>
                      <w:color w:val="000000"/>
                      <w:sz w:val="18"/>
                      <w:szCs w:val="18"/>
                      <w:lang w:eastAsia="zh-CN"/>
                    </w:rPr>
                    <w:t>GNA2</w:t>
                  </w:r>
                  <w:proofErr w:type="spellEnd"/>
                </w:p>
              </w:tc>
            </w:tr>
            <w:tr w:rsidR="00BE6707" w:rsidRPr="00167AC4" w:rsidTr="00167AC4">
              <w:trPr>
                <w:trHeight w:val="288"/>
                <w:jc w:val="center"/>
              </w:trPr>
              <w:tc>
                <w:tcPr>
                  <w:tcW w:w="653" w:type="pct"/>
                  <w:tcBorders>
                    <w:top w:val="nil"/>
                    <w:left w:val="nil"/>
                    <w:bottom w:val="single" w:sz="4" w:space="0" w:color="BFBFBF"/>
                    <w:right w:val="nil"/>
                  </w:tcBorders>
                  <w:shd w:val="clear" w:color="auto" w:fill="auto"/>
                  <w:noWrap/>
                  <w:vAlign w:val="center"/>
                  <w:hideMark/>
                </w:tcPr>
                <w:p w:rsidR="00BE6707" w:rsidRPr="00167AC4" w:rsidRDefault="00BE6707" w:rsidP="00C73D07">
                  <w:pPr>
                    <w:rPr>
                      <w:rFonts w:ascii="Arial" w:hAnsi="Arial" w:cs="Arial"/>
                      <w:color w:val="000000"/>
                      <w:sz w:val="18"/>
                      <w:szCs w:val="18"/>
                      <w:lang w:eastAsia="zh-CN"/>
                    </w:rPr>
                  </w:pPr>
                </w:p>
              </w:tc>
              <w:tc>
                <w:tcPr>
                  <w:tcW w:w="555"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w:t>
                  </w:r>
                </w:p>
              </w:tc>
              <w:tc>
                <w:tcPr>
                  <w:tcW w:w="926" w:type="pct"/>
                  <w:tcBorders>
                    <w:top w:val="single" w:sz="4" w:space="0" w:color="BFBFBF"/>
                    <w:left w:val="nil"/>
                    <w:bottom w:val="single" w:sz="4" w:space="0" w:color="BFBFBF"/>
                    <w:right w:val="single" w:sz="36" w:space="0" w:color="FFFFFF" w:themeColor="background1"/>
                  </w:tcBorders>
                  <w:shd w:val="clear" w:color="auto" w:fill="auto"/>
                  <w:noWrap/>
                  <w:tcMar>
                    <w:right w:w="57" w:type="dxa"/>
                  </w:tcMar>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AU</w:t>
                  </w:r>
                  <w:r w:rsidRPr="00167AC4">
                    <w:rPr>
                      <w:rFonts w:ascii="Arial" w:hAnsi="Arial" w:cs="Arial"/>
                      <w:sz w:val="18"/>
                      <w:szCs w:val="18"/>
                    </w:rPr>
                    <w:t>$</w:t>
                  </w:r>
                  <w:r w:rsidRPr="00167AC4">
                    <w:rPr>
                      <w:rFonts w:ascii="Arial" w:hAnsi="Arial" w:cs="Arial"/>
                      <w:color w:val="000000"/>
                      <w:sz w:val="18"/>
                      <w:szCs w:val="18"/>
                      <w:lang w:eastAsia="zh-CN"/>
                    </w:rPr>
                    <w:t xml:space="preserve"> million</w:t>
                  </w:r>
                </w:p>
              </w:tc>
              <w:tc>
                <w:tcPr>
                  <w:tcW w:w="614" w:type="pct"/>
                  <w:tcBorders>
                    <w:top w:val="single" w:sz="4" w:space="0" w:color="BFBFBF"/>
                    <w:left w:val="single" w:sz="36" w:space="0" w:color="FFFFFF" w:themeColor="background1"/>
                    <w:bottom w:val="single" w:sz="4" w:space="0" w:color="BFBFBF"/>
                    <w:right w:val="nil"/>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w:t>
                  </w:r>
                </w:p>
              </w:tc>
              <w:tc>
                <w:tcPr>
                  <w:tcW w:w="857" w:type="pct"/>
                  <w:tcBorders>
                    <w:top w:val="single" w:sz="4" w:space="0" w:color="BFBFBF"/>
                    <w:left w:val="nil"/>
                    <w:bottom w:val="single" w:sz="4" w:space="0" w:color="BFBFBF"/>
                    <w:right w:val="single" w:sz="36" w:space="0" w:color="FFFFFF" w:themeColor="background1"/>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AU</w:t>
                  </w:r>
                  <w:r w:rsidRPr="00167AC4">
                    <w:rPr>
                      <w:rFonts w:ascii="Arial" w:hAnsi="Arial" w:cs="Arial"/>
                      <w:sz w:val="18"/>
                      <w:szCs w:val="18"/>
                    </w:rPr>
                    <w:t>$</w:t>
                  </w:r>
                  <w:r w:rsidRPr="00167AC4">
                    <w:rPr>
                      <w:rFonts w:ascii="Arial" w:hAnsi="Arial" w:cs="Arial"/>
                      <w:color w:val="000000"/>
                      <w:sz w:val="18"/>
                      <w:szCs w:val="18"/>
                      <w:lang w:eastAsia="zh-CN"/>
                    </w:rPr>
                    <w:t xml:space="preserve"> million</w:t>
                  </w:r>
                </w:p>
              </w:tc>
              <w:tc>
                <w:tcPr>
                  <w:tcW w:w="554" w:type="pct"/>
                  <w:tcBorders>
                    <w:top w:val="single" w:sz="4" w:space="0" w:color="BFBFBF"/>
                    <w:left w:val="single" w:sz="36" w:space="0" w:color="FFFFFF" w:themeColor="background1"/>
                    <w:bottom w:val="single" w:sz="4" w:space="0" w:color="BFBFBF"/>
                    <w:right w:val="nil"/>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w:t>
                  </w:r>
                </w:p>
              </w:tc>
              <w:tc>
                <w:tcPr>
                  <w:tcW w:w="842" w:type="pct"/>
                  <w:tcBorders>
                    <w:top w:val="single" w:sz="4" w:space="0" w:color="BFBFBF"/>
                    <w:left w:val="nil"/>
                    <w:bottom w:val="single" w:sz="4" w:space="0" w:color="BFBFBF"/>
                    <w:right w:val="nil"/>
                  </w:tcBorders>
                  <w:shd w:val="clear" w:color="auto" w:fill="auto"/>
                  <w:noWrap/>
                  <w:vAlign w:val="center"/>
                  <w:hideMark/>
                </w:tcPr>
                <w:p w:rsidR="00BE6707" w:rsidRPr="00167AC4" w:rsidRDefault="00BE6707" w:rsidP="00C73D07">
                  <w:pPr>
                    <w:jc w:val="center"/>
                    <w:rPr>
                      <w:rFonts w:ascii="Arial" w:hAnsi="Arial" w:cs="Arial"/>
                      <w:color w:val="000000"/>
                      <w:sz w:val="18"/>
                      <w:szCs w:val="18"/>
                      <w:lang w:eastAsia="zh-CN"/>
                    </w:rPr>
                  </w:pPr>
                  <w:r w:rsidRPr="00167AC4">
                    <w:rPr>
                      <w:rFonts w:ascii="Arial" w:hAnsi="Arial" w:cs="Arial"/>
                      <w:color w:val="000000"/>
                      <w:sz w:val="18"/>
                      <w:szCs w:val="18"/>
                      <w:lang w:eastAsia="zh-CN"/>
                    </w:rPr>
                    <w:t>AU</w:t>
                  </w:r>
                  <w:r w:rsidRPr="00167AC4">
                    <w:rPr>
                      <w:rFonts w:ascii="Arial" w:hAnsi="Arial" w:cs="Arial"/>
                      <w:sz w:val="18"/>
                      <w:szCs w:val="18"/>
                    </w:rPr>
                    <w:t>$</w:t>
                  </w:r>
                  <w:r w:rsidRPr="00167AC4">
                    <w:rPr>
                      <w:rFonts w:ascii="Arial" w:hAnsi="Arial" w:cs="Arial"/>
                      <w:color w:val="000000"/>
                      <w:sz w:val="18"/>
                      <w:szCs w:val="18"/>
                      <w:lang w:eastAsia="zh-CN"/>
                    </w:rPr>
                    <w:t xml:space="preserve"> million</w:t>
                  </w:r>
                </w:p>
              </w:tc>
            </w:tr>
            <w:tr w:rsidR="00BE6707" w:rsidRPr="00167AC4" w:rsidTr="00167AC4">
              <w:trPr>
                <w:trHeight w:val="288"/>
                <w:jc w:val="center"/>
              </w:trPr>
              <w:tc>
                <w:tcPr>
                  <w:tcW w:w="653" w:type="pct"/>
                  <w:tcBorders>
                    <w:top w:val="single" w:sz="4" w:space="0" w:color="BFBFBF"/>
                    <w:left w:val="nil"/>
                    <w:bottom w:val="nil"/>
                    <w:right w:val="nil"/>
                  </w:tcBorders>
                  <w:shd w:val="clear" w:color="auto" w:fill="auto"/>
                  <w:noWrap/>
                  <w:vAlign w:val="center"/>
                  <w:hideMark/>
                </w:tcPr>
                <w:p w:rsidR="00BE6707" w:rsidRPr="00167AC4" w:rsidRDefault="00BE6707" w:rsidP="000730B8">
                  <w:pPr>
                    <w:spacing w:before="80" w:after="40"/>
                    <w:rPr>
                      <w:rFonts w:ascii="Arial" w:hAnsi="Arial" w:cs="Arial"/>
                      <w:color w:val="000000"/>
                      <w:sz w:val="18"/>
                      <w:szCs w:val="18"/>
                      <w:lang w:eastAsia="zh-CN"/>
                    </w:rPr>
                  </w:pPr>
                  <w:r w:rsidRPr="00167AC4">
                    <w:rPr>
                      <w:rFonts w:ascii="Arial" w:hAnsi="Arial" w:cs="Arial"/>
                      <w:color w:val="000000"/>
                      <w:sz w:val="18"/>
                      <w:szCs w:val="18"/>
                      <w:lang w:eastAsia="zh-CN"/>
                    </w:rPr>
                    <w:t>Value</w:t>
                  </w:r>
                </w:p>
              </w:tc>
              <w:tc>
                <w:tcPr>
                  <w:tcW w:w="555" w:type="pct"/>
                  <w:tcBorders>
                    <w:top w:val="single" w:sz="4" w:space="0" w:color="BFBFBF"/>
                    <w:left w:val="nil"/>
                    <w:bottom w:val="nil"/>
                    <w:right w:val="nil"/>
                  </w:tcBorders>
                  <w:shd w:val="clear" w:color="auto" w:fill="auto"/>
                  <w:noWrap/>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-0.378</w:t>
                  </w:r>
                </w:p>
              </w:tc>
              <w:tc>
                <w:tcPr>
                  <w:tcW w:w="926" w:type="pct"/>
                  <w:tcBorders>
                    <w:top w:val="single" w:sz="4" w:space="0" w:color="BFBFBF"/>
                    <w:left w:val="nil"/>
                    <w:bottom w:val="nil"/>
                    <w:right w:val="nil"/>
                  </w:tcBorders>
                  <w:shd w:val="clear" w:color="auto" w:fill="auto"/>
                  <w:noWrap/>
                  <w:tcMar>
                    <w:right w:w="340" w:type="dxa"/>
                  </w:tcMar>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-5,750</w:t>
                  </w:r>
                </w:p>
              </w:tc>
              <w:tc>
                <w:tcPr>
                  <w:tcW w:w="614" w:type="pct"/>
                  <w:tcBorders>
                    <w:top w:val="single" w:sz="4" w:space="0" w:color="BFBFBF"/>
                    <w:left w:val="nil"/>
                    <w:bottom w:val="nil"/>
                    <w:right w:val="nil"/>
                  </w:tcBorders>
                  <w:shd w:val="clear" w:color="auto" w:fill="auto"/>
                  <w:noWrap/>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-0.378</w:t>
                  </w:r>
                </w:p>
              </w:tc>
              <w:tc>
                <w:tcPr>
                  <w:tcW w:w="857" w:type="pct"/>
                  <w:tcBorders>
                    <w:top w:val="single" w:sz="4" w:space="0" w:color="BFBFBF"/>
                    <w:left w:val="nil"/>
                    <w:bottom w:val="nil"/>
                    <w:right w:val="nil"/>
                  </w:tcBorders>
                  <w:shd w:val="clear" w:color="auto" w:fill="auto"/>
                  <w:noWrap/>
                  <w:tcMar>
                    <w:right w:w="340" w:type="dxa"/>
                  </w:tcMar>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-5,750</w:t>
                  </w:r>
                </w:p>
              </w:tc>
              <w:tc>
                <w:tcPr>
                  <w:tcW w:w="554" w:type="pct"/>
                  <w:tcBorders>
                    <w:top w:val="single" w:sz="4" w:space="0" w:color="BFBFBF"/>
                    <w:left w:val="nil"/>
                    <w:bottom w:val="nil"/>
                    <w:right w:val="nil"/>
                  </w:tcBorders>
                  <w:shd w:val="clear" w:color="auto" w:fill="auto"/>
                  <w:noWrap/>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-0.378</w:t>
                  </w:r>
                </w:p>
              </w:tc>
              <w:tc>
                <w:tcPr>
                  <w:tcW w:w="842" w:type="pct"/>
                  <w:tcBorders>
                    <w:top w:val="single" w:sz="4" w:space="0" w:color="BFBFBF"/>
                    <w:left w:val="nil"/>
                    <w:bottom w:val="nil"/>
                    <w:right w:val="nil"/>
                  </w:tcBorders>
                  <w:shd w:val="clear" w:color="auto" w:fill="auto"/>
                  <w:noWrap/>
                  <w:tcMar>
                    <w:right w:w="340" w:type="dxa"/>
                  </w:tcMar>
                  <w:vAlign w:val="center"/>
                  <w:hideMark/>
                </w:tcPr>
                <w:p w:rsidR="00BE6707" w:rsidRPr="00167AC4" w:rsidRDefault="00BE6707" w:rsidP="000730B8">
                  <w:pPr>
                    <w:spacing w:before="80" w:after="40"/>
                    <w:jc w:val="right"/>
                    <w:rPr>
                      <w:rFonts w:ascii="Arial" w:hAnsi="Arial" w:cs="Arial"/>
                      <w:color w:val="000000"/>
                      <w:sz w:val="18"/>
                      <w:szCs w:val="18"/>
                    </w:rPr>
                  </w:pPr>
                  <w:r w:rsidRPr="00167AC4">
                    <w:rPr>
                      <w:rFonts w:ascii="Arial" w:hAnsi="Arial" w:cs="Arial"/>
                      <w:color w:val="000000"/>
                      <w:sz w:val="18"/>
                      <w:szCs w:val="18"/>
                    </w:rPr>
                    <w:t>-5,750</w:t>
                  </w:r>
                </w:p>
              </w:tc>
            </w:tr>
            <w:tr w:rsidR="00BE6707" w:rsidRPr="00167AC4" w:rsidTr="00167AC4">
              <w:trPr>
                <w:trHeight w:val="288"/>
                <w:jc w:val="center"/>
              </w:trPr>
              <w:tc>
                <w:tcPr>
                  <w:tcW w:w="653" w:type="pct"/>
                  <w:tcBorders>
                    <w:top w:val="nil"/>
                    <w:left w:val="nil"/>
                    <w:right w:val="nil"/>
                  </w:tcBorders>
                  <w:shd w:val="clear" w:color="auto" w:fill="auto"/>
                  <w:noWrap/>
                  <w:vAlign w:val="center"/>
                  <w:hideMark/>
                </w:tcPr>
                <w:p w:rsidR="00BE6707" w:rsidRPr="00167AC4" w:rsidRDefault="00BE6707" w:rsidP="000730B8">
                  <w:pPr>
                    <w:spacing w:after="40"/>
                    <w:rPr>
                      <w:rFonts w:ascii="Arial" w:hAnsi="Arial" w:cs="Arial"/>
                      <w:color w:val="000000"/>
                      <w:sz w:val="18"/>
                      <w:szCs w:val="18"/>
                      <w:lang w:eastAsia="zh-CN"/>
                    </w:rPr>
                  </w:pPr>
                  <w:r w:rsidRPr="00167AC4">
                    <w:rPr>
                      <w:rFonts w:ascii="Arial" w:hAnsi="Arial" w:cs="Arial"/>
                      <w:color w:val="000000"/>
                      <w:sz w:val="18"/>
                      <w:szCs w:val="18"/>
                      <w:lang w:eastAsia="zh-CN"/>
                    </w:rPr>
                    <w:t xml:space="preserve">Price </w:t>
                  </w:r>
                </w:p>
              </w:tc>
              <w:tc>
                <w:tcPr>
                  <w:tcW w:w="555" w:type="pct"/>
                  <w:tcBorders>
                    <w:top w:val="nil"/>
                    <w:left w:val="nil"/>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-0.393</w:t>
                  </w:r>
                </w:p>
              </w:tc>
              <w:tc>
                <w:tcPr>
                  <w:tcW w:w="926" w:type="pct"/>
                  <w:tcBorders>
                    <w:top w:val="nil"/>
                    <w:left w:val="nil"/>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-5,972</w:t>
                  </w:r>
                </w:p>
              </w:tc>
              <w:tc>
                <w:tcPr>
                  <w:tcW w:w="614" w:type="pct"/>
                  <w:tcBorders>
                    <w:top w:val="nil"/>
                    <w:left w:val="nil"/>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-0.334</w:t>
                  </w:r>
                </w:p>
              </w:tc>
              <w:tc>
                <w:tcPr>
                  <w:tcW w:w="857" w:type="pct"/>
                  <w:tcBorders>
                    <w:top w:val="nil"/>
                    <w:left w:val="nil"/>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-5,076</w:t>
                  </w:r>
                </w:p>
              </w:tc>
              <w:tc>
                <w:tcPr>
                  <w:tcW w:w="554" w:type="pct"/>
                  <w:tcBorders>
                    <w:top w:val="nil"/>
                    <w:left w:val="nil"/>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-0.334</w:t>
                  </w:r>
                </w:p>
              </w:tc>
              <w:tc>
                <w:tcPr>
                  <w:tcW w:w="842" w:type="pct"/>
                  <w:tcBorders>
                    <w:top w:val="nil"/>
                    <w:left w:val="nil"/>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-5,076</w:t>
                  </w:r>
                </w:p>
              </w:tc>
            </w:tr>
            <w:tr w:rsidR="00BE6707" w:rsidRPr="00167AC4" w:rsidTr="00167AC4">
              <w:trPr>
                <w:trHeight w:val="288"/>
                <w:jc w:val="center"/>
              </w:trPr>
              <w:tc>
                <w:tcPr>
                  <w:tcW w:w="653" w:type="pct"/>
                  <w:tcBorders>
                    <w:top w:val="nil"/>
                    <w:left w:val="nil"/>
                    <w:bottom w:val="single" w:sz="4" w:space="0" w:color="BFBFBF"/>
                    <w:right w:val="nil"/>
                  </w:tcBorders>
                  <w:shd w:val="clear" w:color="auto" w:fill="auto"/>
                  <w:noWrap/>
                  <w:vAlign w:val="center"/>
                  <w:hideMark/>
                </w:tcPr>
                <w:p w:rsidR="00BE6707" w:rsidRPr="00167AC4" w:rsidRDefault="00BE6707" w:rsidP="000730B8">
                  <w:pPr>
                    <w:spacing w:after="40"/>
                    <w:rPr>
                      <w:rFonts w:ascii="Arial" w:hAnsi="Arial" w:cs="Arial"/>
                      <w:color w:val="000000"/>
                      <w:sz w:val="18"/>
                      <w:szCs w:val="18"/>
                      <w:lang w:eastAsia="zh-CN"/>
                    </w:rPr>
                  </w:pPr>
                  <w:r w:rsidRPr="00167AC4">
                    <w:rPr>
                      <w:rFonts w:ascii="Arial" w:hAnsi="Arial" w:cs="Arial"/>
                      <w:color w:val="000000"/>
                      <w:sz w:val="18"/>
                      <w:szCs w:val="18"/>
                      <w:lang w:eastAsia="zh-CN"/>
                    </w:rPr>
                    <w:t>Quantity</w:t>
                  </w:r>
                </w:p>
              </w:tc>
              <w:tc>
                <w:tcPr>
                  <w:tcW w:w="555" w:type="pct"/>
                  <w:tcBorders>
                    <w:top w:val="nil"/>
                    <w:left w:val="nil"/>
                    <w:bottom w:val="single" w:sz="4" w:space="0" w:color="BFBFBF"/>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0.015</w:t>
                  </w:r>
                </w:p>
              </w:tc>
              <w:tc>
                <w:tcPr>
                  <w:tcW w:w="926" w:type="pct"/>
                  <w:tcBorders>
                    <w:top w:val="nil"/>
                    <w:left w:val="nil"/>
                    <w:bottom w:val="single" w:sz="4" w:space="0" w:color="BFBFBF"/>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222</w:t>
                  </w:r>
                </w:p>
              </w:tc>
              <w:tc>
                <w:tcPr>
                  <w:tcW w:w="614" w:type="pct"/>
                  <w:tcBorders>
                    <w:top w:val="nil"/>
                    <w:left w:val="nil"/>
                    <w:bottom w:val="single" w:sz="4" w:space="0" w:color="BFBFBF"/>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-0.044</w:t>
                  </w:r>
                </w:p>
              </w:tc>
              <w:tc>
                <w:tcPr>
                  <w:tcW w:w="857" w:type="pct"/>
                  <w:tcBorders>
                    <w:top w:val="nil"/>
                    <w:left w:val="nil"/>
                    <w:bottom w:val="single" w:sz="4" w:space="0" w:color="BFBFBF"/>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-674</w:t>
                  </w:r>
                </w:p>
              </w:tc>
              <w:tc>
                <w:tcPr>
                  <w:tcW w:w="554" w:type="pct"/>
                  <w:tcBorders>
                    <w:top w:val="nil"/>
                    <w:left w:val="nil"/>
                    <w:bottom w:val="single" w:sz="4" w:space="0" w:color="BFBFBF"/>
                    <w:right w:val="nil"/>
                  </w:tcBorders>
                  <w:shd w:val="clear" w:color="auto" w:fill="auto"/>
                  <w:noWrap/>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-0.044</w:t>
                  </w:r>
                </w:p>
              </w:tc>
              <w:tc>
                <w:tcPr>
                  <w:tcW w:w="842" w:type="pct"/>
                  <w:tcBorders>
                    <w:top w:val="nil"/>
                    <w:left w:val="nil"/>
                    <w:bottom w:val="single" w:sz="4" w:space="0" w:color="BFBFBF"/>
                    <w:right w:val="nil"/>
                  </w:tcBorders>
                  <w:shd w:val="clear" w:color="auto" w:fill="auto"/>
                  <w:noWrap/>
                  <w:tcMar>
                    <w:right w:w="340" w:type="dxa"/>
                  </w:tcMar>
                  <w:vAlign w:val="center"/>
                  <w:hideMark/>
                </w:tcPr>
                <w:p w:rsidR="00BE6707" w:rsidRPr="00167AC4" w:rsidRDefault="00BE6707" w:rsidP="000730B8">
                  <w:pPr>
                    <w:spacing w:after="40"/>
                    <w:jc w:val="right"/>
                    <w:rPr>
                      <w:rFonts w:ascii="Arial" w:hAnsi="Arial" w:cs="Arial"/>
                      <w:color w:val="000000"/>
                      <w:sz w:val="18"/>
                      <w:szCs w:val="18"/>
                    </w:rPr>
                  </w:pPr>
                  <w:r w:rsidRPr="00167AC4">
                    <w:rPr>
                      <w:rFonts w:ascii="Arial" w:hAnsi="Arial" w:cs="Arial"/>
                      <w:color w:val="000000"/>
                      <w:sz w:val="18"/>
                      <w:szCs w:val="18"/>
                    </w:rPr>
                    <w:t>-674</w:t>
                  </w:r>
                </w:p>
              </w:tc>
            </w:tr>
          </w:tbl>
          <w:p w:rsidR="00BE6707" w:rsidRPr="005136D8" w:rsidRDefault="00BE6707" w:rsidP="00C73D07">
            <w:pPr>
              <w:pStyle w:val="Box"/>
            </w:pPr>
          </w:p>
        </w:tc>
      </w:tr>
      <w:tr w:rsidR="00BE6707" w:rsidTr="00C73D07">
        <w:tc>
          <w:tcPr>
            <w:tcW w:w="5000" w:type="pct"/>
            <w:tcBorders>
              <w:top w:val="nil"/>
              <w:left w:val="nil"/>
              <w:bottom w:val="nil"/>
              <w:right w:val="nil"/>
            </w:tcBorders>
            <w:shd w:val="clear" w:color="auto" w:fill="auto"/>
          </w:tcPr>
          <w:p w:rsidR="00BE6707" w:rsidRDefault="00BE6707" w:rsidP="00C73D07">
            <w:pPr>
              <w:pStyle w:val="Source"/>
            </w:pPr>
            <w:r>
              <w:rPr>
                <w:i/>
              </w:rPr>
              <w:t>Source</w:t>
            </w:r>
            <w:r w:rsidRPr="00167F06">
              <w:t xml:space="preserve">: </w:t>
            </w:r>
            <w:r>
              <w:t>T</w:t>
            </w:r>
            <w:r w:rsidRPr="00693C10">
              <w:rPr>
                <w:szCs w:val="18"/>
              </w:rPr>
              <w:t>he author’s simulation.</w:t>
            </w:r>
          </w:p>
        </w:tc>
      </w:tr>
      <w:tr w:rsidR="00BE6707" w:rsidTr="00C73D07">
        <w:tc>
          <w:tcPr>
            <w:tcW w:w="5000" w:type="pct"/>
            <w:tcBorders>
              <w:top w:val="nil"/>
              <w:left w:val="nil"/>
              <w:bottom w:val="single" w:sz="6" w:space="0" w:color="78A22F"/>
              <w:right w:val="nil"/>
            </w:tcBorders>
            <w:shd w:val="clear" w:color="auto" w:fill="auto"/>
          </w:tcPr>
          <w:p w:rsidR="00BE6707" w:rsidRDefault="00BE6707" w:rsidP="00C73D07">
            <w:pPr>
              <w:pStyle w:val="Box"/>
              <w:spacing w:before="0" w:line="120" w:lineRule="exact"/>
            </w:pPr>
          </w:p>
        </w:tc>
      </w:tr>
      <w:tr w:rsidR="00BE6707" w:rsidRPr="000863A5" w:rsidTr="00C73D07">
        <w:tc>
          <w:tcPr>
            <w:tcW w:w="5000" w:type="pct"/>
            <w:tcBorders>
              <w:top w:val="single" w:sz="6" w:space="0" w:color="78A22F"/>
              <w:left w:val="nil"/>
              <w:bottom w:val="nil"/>
              <w:right w:val="nil"/>
            </w:tcBorders>
          </w:tcPr>
          <w:p w:rsidR="00BE6707" w:rsidRPr="00626D32" w:rsidRDefault="00BE6707" w:rsidP="00C73D07">
            <w:pPr>
              <w:pStyle w:val="BoxSpaceBelow"/>
            </w:pPr>
          </w:p>
        </w:tc>
      </w:tr>
    </w:tbl>
    <w:p w:rsidR="00BE6707" w:rsidRPr="000730B8" w:rsidRDefault="00BE6707" w:rsidP="00BE6707">
      <w:pPr>
        <w:pStyle w:val="BodyText"/>
      </w:pPr>
      <w:r>
        <w:t xml:space="preserve">On the </w:t>
      </w:r>
      <w:r w:rsidR="003741C7">
        <w:t xml:space="preserve">demand </w:t>
      </w:r>
      <w:r>
        <w:t xml:space="preserve">side, without full </w:t>
      </w:r>
      <w:proofErr w:type="spellStart"/>
      <w:r>
        <w:t>BoP</w:t>
      </w:r>
      <w:proofErr w:type="spellEnd"/>
      <w:r>
        <w:t xml:space="preserve"> data, real </w:t>
      </w:r>
      <w:proofErr w:type="spellStart"/>
      <w:r>
        <w:t>GNA</w:t>
      </w:r>
      <w:proofErr w:type="spellEnd"/>
      <w:r>
        <w:t xml:space="preserve"> can only be measured approximately with the two methods introduced in previous section</w:t>
      </w:r>
      <w:r w:rsidR="003741C7">
        <w:t>s</w:t>
      </w:r>
      <w:r>
        <w:t xml:space="preserve">. The first one, </w:t>
      </w:r>
      <w:proofErr w:type="spellStart"/>
      <w:r>
        <w:t>GNA1</w:t>
      </w:r>
      <w:proofErr w:type="spellEnd"/>
      <w:r>
        <w:t xml:space="preserve">, is derived from nominal GDP (which is equal to GNP in this model, absent foreign capital and income), deflated by the </w:t>
      </w:r>
      <w:proofErr w:type="spellStart"/>
      <w:r>
        <w:t>GNA</w:t>
      </w:r>
      <w:proofErr w:type="spellEnd"/>
      <w:r>
        <w:t xml:space="preserve"> price index, which is a weighted average of the prices of the goods and services used in the consumptions of household and government, in inventory change and in investment—the latter being composed of investments made locally and abroad. All these price indexes are available in the model’s solution, except for the investment price index, </w:t>
      </w:r>
      <w:r>
        <w:lastRenderedPageBreak/>
        <w:t>which should be a weighted average of the prices of capital goods in the proportions of the investment flows because</w:t>
      </w:r>
      <w:r w:rsidRPr="00543EFD">
        <w:t xml:space="preserve"> </w:t>
      </w:r>
      <w:r>
        <w:t xml:space="preserve">the savings is used to finance the purchase of investment goods </w:t>
      </w:r>
      <w:r w:rsidRPr="000730B8">
        <w:t xml:space="preserve">locally and abroad. In percentage changes, the saving price </w:t>
      </w:r>
      <w:proofErr w:type="spellStart"/>
      <w:r w:rsidRPr="000730B8">
        <w:rPr>
          <w:rFonts w:ascii="Consolas" w:hAnsi="Consolas" w:cs="Arial"/>
          <w:sz w:val="20"/>
          <w:lang w:eastAsia="zh-CN"/>
        </w:rPr>
        <w:t>pSav</w:t>
      </w:r>
      <w:proofErr w:type="spellEnd"/>
      <w:r w:rsidRPr="000730B8">
        <w:t xml:space="preserve"> may be expressed as </w:t>
      </w:r>
    </w:p>
    <w:p w:rsidR="00BE6707" w:rsidRPr="00167AC4" w:rsidRDefault="00BE6707" w:rsidP="00BE6707">
      <w:pPr>
        <w:pStyle w:val="BodyText"/>
        <w:jc w:val="left"/>
      </w:pPr>
      <w:r w:rsidRPr="00167AC4">
        <w:rPr>
          <w:rFonts w:ascii="Arial" w:hAnsi="Arial" w:cs="Arial"/>
          <w:sz w:val="20"/>
        </w:rPr>
        <w:tab/>
      </w:r>
      <w:proofErr w:type="spellStart"/>
      <w:r w:rsidRPr="00167AC4">
        <w:rPr>
          <w:rFonts w:ascii="Consolas" w:hAnsi="Consolas" w:cs="Arial"/>
          <w:sz w:val="20"/>
          <w:lang w:eastAsia="zh-CN"/>
        </w:rPr>
        <w:t>pSav</w:t>
      </w:r>
      <w:proofErr w:type="spellEnd"/>
      <w:r w:rsidRPr="00167AC4">
        <w:rPr>
          <w:rFonts w:ascii="Consolas" w:hAnsi="Consolas" w:cs="Arial"/>
          <w:sz w:val="20"/>
          <w:lang w:eastAsia="zh-CN"/>
        </w:rPr>
        <w:t xml:space="preserve"> = </w:t>
      </w:r>
      <w:r w:rsidRPr="00167AC4">
        <w:rPr>
          <w:rFonts w:ascii="Consolas" w:hAnsi="Consolas" w:cs="Consolas"/>
          <w:sz w:val="20"/>
          <w:lang w:eastAsia="zh-CN"/>
        </w:rPr>
        <w:t xml:space="preserve">1/SAVE * (INVEST * </w:t>
      </w:r>
      <w:proofErr w:type="spellStart"/>
      <w:r w:rsidRPr="00167AC4">
        <w:rPr>
          <w:rFonts w:ascii="Consolas" w:hAnsi="Consolas" w:cs="Consolas"/>
          <w:sz w:val="20"/>
          <w:lang w:eastAsia="zh-CN"/>
        </w:rPr>
        <w:t>pInv</w:t>
      </w:r>
      <w:proofErr w:type="spellEnd"/>
      <w:r w:rsidRPr="00167AC4">
        <w:rPr>
          <w:rFonts w:ascii="Consolas" w:hAnsi="Consolas" w:cs="Consolas"/>
          <w:sz w:val="20"/>
          <w:lang w:eastAsia="zh-CN"/>
        </w:rPr>
        <w:t xml:space="preserve"> + </w:t>
      </w:r>
      <w:proofErr w:type="spellStart"/>
      <w:r w:rsidRPr="00167AC4">
        <w:rPr>
          <w:rFonts w:ascii="Consolas" w:hAnsi="Consolas" w:cs="Consolas"/>
          <w:sz w:val="20"/>
          <w:lang w:eastAsia="zh-CN"/>
        </w:rPr>
        <w:t>NFI</w:t>
      </w:r>
      <w:proofErr w:type="spellEnd"/>
      <w:r w:rsidRPr="00167AC4">
        <w:rPr>
          <w:rFonts w:ascii="Consolas" w:hAnsi="Consolas" w:cs="Consolas"/>
          <w:sz w:val="20"/>
          <w:lang w:eastAsia="zh-CN"/>
        </w:rPr>
        <w:t xml:space="preserve"> * </w:t>
      </w:r>
      <w:proofErr w:type="spellStart"/>
      <w:r w:rsidRPr="00167AC4">
        <w:rPr>
          <w:rFonts w:ascii="Consolas" w:hAnsi="Consolas" w:cs="Consolas"/>
          <w:sz w:val="20"/>
          <w:lang w:eastAsia="zh-CN"/>
        </w:rPr>
        <w:t>pNFI</w:t>
      </w:r>
      <w:proofErr w:type="spellEnd"/>
      <w:r w:rsidRPr="00167AC4">
        <w:rPr>
          <w:rFonts w:ascii="Consolas" w:hAnsi="Consolas" w:cs="Consolas"/>
          <w:sz w:val="20"/>
          <w:lang w:eastAsia="zh-CN"/>
        </w:rPr>
        <w:t>);</w:t>
      </w:r>
      <w:r w:rsidRPr="00167AC4">
        <w:rPr>
          <w:rFonts w:ascii="Consolas" w:hAnsi="Consolas" w:cs="Arial"/>
          <w:sz w:val="20"/>
          <w:lang w:eastAsia="zh-CN"/>
        </w:rPr>
        <w:t xml:space="preserve"> </w:t>
      </w:r>
      <w:r w:rsidRPr="00167AC4">
        <w:rPr>
          <w:rFonts w:ascii="Consolas" w:hAnsi="Consolas" w:cs="Arial"/>
          <w:sz w:val="20"/>
          <w:lang w:eastAsia="zh-CN"/>
        </w:rPr>
        <w:tab/>
      </w:r>
      <w:r w:rsidRPr="00167AC4">
        <w:rPr>
          <w:rFonts w:ascii="Consolas" w:hAnsi="Consolas" w:cs="Arial"/>
          <w:sz w:val="20"/>
          <w:lang w:eastAsia="zh-CN"/>
        </w:rPr>
        <w:tab/>
      </w:r>
      <w:r w:rsidRPr="00167AC4">
        <w:t>(</w:t>
      </w:r>
      <w:proofErr w:type="spellStart"/>
      <w:r w:rsidRPr="00167AC4">
        <w:t>A14</w:t>
      </w:r>
      <w:proofErr w:type="spellEnd"/>
      <w:r w:rsidRPr="00167AC4">
        <w:t xml:space="preserve">) </w:t>
      </w:r>
    </w:p>
    <w:p w:rsidR="00BE6707" w:rsidRDefault="00BE6707" w:rsidP="00BE6707">
      <w:pPr>
        <w:pStyle w:val="BodyText"/>
      </w:pPr>
      <w:r w:rsidRPr="00167AC4">
        <w:t>where saving (</w:t>
      </w:r>
      <w:r w:rsidRPr="00167AC4">
        <w:rPr>
          <w:rFonts w:ascii="Consolas" w:hAnsi="Consolas" w:cs="Consolas"/>
          <w:sz w:val="20"/>
          <w:lang w:eastAsia="zh-CN"/>
        </w:rPr>
        <w:t>SAVE</w:t>
      </w:r>
      <w:r w:rsidRPr="00167AC4">
        <w:t>) is equal to domestic investment (</w:t>
      </w:r>
      <w:r w:rsidRPr="00167AC4">
        <w:rPr>
          <w:rFonts w:ascii="Consolas" w:hAnsi="Consolas" w:cs="Consolas"/>
          <w:sz w:val="20"/>
          <w:lang w:eastAsia="zh-CN"/>
        </w:rPr>
        <w:t>INVEST</w:t>
      </w:r>
      <w:r w:rsidRPr="00167AC4">
        <w:t>) plus net foreign investment (</w:t>
      </w:r>
      <w:proofErr w:type="spellStart"/>
      <w:r w:rsidRPr="00167AC4">
        <w:rPr>
          <w:rFonts w:ascii="Consolas" w:hAnsi="Consolas" w:cs="Consolas"/>
          <w:sz w:val="20"/>
          <w:lang w:eastAsia="zh-CN"/>
        </w:rPr>
        <w:t>NFI</w:t>
      </w:r>
      <w:proofErr w:type="spellEnd"/>
      <w:r w:rsidRPr="00167AC4">
        <w:rPr>
          <w:rFonts w:ascii="Consolas" w:hAnsi="Consolas" w:cs="Consolas"/>
          <w:sz w:val="20"/>
          <w:lang w:eastAsia="zh-CN"/>
        </w:rPr>
        <w:t>)</w:t>
      </w:r>
      <w:r w:rsidRPr="00167AC4">
        <w:t xml:space="preserve">. On the right hand side of the equation, the price of net foreign investment </w:t>
      </w:r>
      <w:proofErr w:type="spellStart"/>
      <w:r w:rsidRPr="00167AC4">
        <w:rPr>
          <w:rFonts w:ascii="Consolas" w:hAnsi="Consolas" w:cs="Consolas"/>
          <w:sz w:val="20"/>
          <w:lang w:eastAsia="zh-CN"/>
        </w:rPr>
        <w:t>pNFI</w:t>
      </w:r>
      <w:proofErr w:type="spellEnd"/>
      <w:r w:rsidRPr="00167AC4">
        <w:t xml:space="preserve"> is an unknown variable. Like other foreign variables in single-country models, without any additional information, it might be assumed constant for convenience, that is, independent of policy changes. According to the input-output table, Australia has a trade deficit of </w:t>
      </w:r>
      <w:proofErr w:type="spellStart"/>
      <w:r>
        <w:t>AU$14,958</w:t>
      </w:r>
      <w:proofErr w:type="spellEnd"/>
      <w:r>
        <w:t xml:space="preserve"> million. This implies that its domestic investment is partially financed by an inflow of foreign savings. The saving price is, therefore, determined by the price of domestic investment, multiplied by the ratio of domestic investment to savings. </w:t>
      </w:r>
    </w:p>
    <w:p w:rsidR="00222387" w:rsidRPr="000730B8" w:rsidRDefault="00BE6707" w:rsidP="00BE6707">
      <w:pPr>
        <w:pStyle w:val="BodyText"/>
        <w:rPr>
          <w:spacing w:val="-2"/>
        </w:rPr>
      </w:pPr>
      <w:r w:rsidRPr="000730B8">
        <w:rPr>
          <w:spacing w:val="-2"/>
        </w:rPr>
        <w:t xml:space="preserve">Once the saving price is determined, the price deflator for </w:t>
      </w:r>
      <w:proofErr w:type="spellStart"/>
      <w:r w:rsidRPr="000730B8">
        <w:rPr>
          <w:spacing w:val="-2"/>
        </w:rPr>
        <w:t>GNA</w:t>
      </w:r>
      <w:proofErr w:type="spellEnd"/>
      <w:r w:rsidRPr="000730B8">
        <w:rPr>
          <w:spacing w:val="-2"/>
        </w:rPr>
        <w:t xml:space="preserve"> can be calculated as a weighted average of the price indexes for household and government consumptions, inventory and the investment that is financed by the domestic savings. As shown in table </w:t>
      </w:r>
      <w:proofErr w:type="spellStart"/>
      <w:r w:rsidRPr="000730B8">
        <w:rPr>
          <w:spacing w:val="-2"/>
        </w:rPr>
        <w:t>A7</w:t>
      </w:r>
      <w:proofErr w:type="spellEnd"/>
      <w:r w:rsidRPr="000730B8">
        <w:rPr>
          <w:spacing w:val="-2"/>
        </w:rPr>
        <w:t xml:space="preserve">, the result for the </w:t>
      </w:r>
      <w:proofErr w:type="spellStart"/>
      <w:r w:rsidRPr="000730B8">
        <w:rPr>
          <w:spacing w:val="-2"/>
        </w:rPr>
        <w:t>GNA2</w:t>
      </w:r>
      <w:proofErr w:type="spellEnd"/>
      <w:r w:rsidRPr="000730B8">
        <w:rPr>
          <w:spacing w:val="-2"/>
        </w:rPr>
        <w:t xml:space="preserve"> price deflator is </w:t>
      </w:r>
      <w:r w:rsidRPr="000730B8">
        <w:rPr>
          <w:spacing w:val="-2"/>
        </w:rPr>
        <w:sym w:font="Symbol" w:char="F02D"/>
      </w:r>
      <w:r w:rsidRPr="000730B8">
        <w:rPr>
          <w:spacing w:val="-2"/>
        </w:rPr>
        <w:t xml:space="preserve">0.334 per cent. As the nominal </w:t>
      </w:r>
      <w:proofErr w:type="spellStart"/>
      <w:r w:rsidRPr="000730B8">
        <w:rPr>
          <w:spacing w:val="-2"/>
        </w:rPr>
        <w:t>GNA</w:t>
      </w:r>
      <w:proofErr w:type="spellEnd"/>
      <w:r w:rsidRPr="000730B8">
        <w:rPr>
          <w:spacing w:val="-2"/>
        </w:rPr>
        <w:t xml:space="preserve"> declines by 0.378 per cent, this implies that the real </w:t>
      </w:r>
      <w:proofErr w:type="spellStart"/>
      <w:r w:rsidRPr="000730B8">
        <w:rPr>
          <w:spacing w:val="-2"/>
        </w:rPr>
        <w:t>GNA2</w:t>
      </w:r>
      <w:proofErr w:type="spellEnd"/>
      <w:r w:rsidRPr="000730B8">
        <w:rPr>
          <w:spacing w:val="-2"/>
        </w:rPr>
        <w:t xml:space="preserve"> declines by 0.044 per cent, or </w:t>
      </w:r>
      <w:proofErr w:type="spellStart"/>
      <w:r w:rsidRPr="000730B8">
        <w:rPr>
          <w:spacing w:val="-2"/>
        </w:rPr>
        <w:t>AU$673</w:t>
      </w:r>
      <w:proofErr w:type="spellEnd"/>
      <w:r w:rsidRPr="000730B8">
        <w:rPr>
          <w:spacing w:val="-2"/>
        </w:rPr>
        <w:t xml:space="preserve"> million. </w:t>
      </w:r>
    </w:p>
    <w:p w:rsidR="00222387" w:rsidRPr="00167AC4" w:rsidRDefault="00222387" w:rsidP="00222387">
      <w:pPr>
        <w:pStyle w:val="BodyText"/>
        <w:rPr>
          <w:spacing w:val="2"/>
        </w:rPr>
      </w:pPr>
      <w:r w:rsidRPr="00167AC4">
        <w:rPr>
          <w:spacing w:val="2"/>
        </w:rPr>
        <w:t xml:space="preserve">The second measure, </w:t>
      </w:r>
      <w:proofErr w:type="spellStart"/>
      <w:r w:rsidRPr="00167AC4">
        <w:rPr>
          <w:spacing w:val="2"/>
        </w:rPr>
        <w:t>GNA2</w:t>
      </w:r>
      <w:proofErr w:type="spellEnd"/>
      <w:r w:rsidRPr="00167AC4">
        <w:rPr>
          <w:spacing w:val="2"/>
        </w:rPr>
        <w:t>, is derived as the change in real GDP (</w:t>
      </w:r>
      <w:proofErr w:type="spellStart"/>
      <w:r w:rsidRPr="00167AC4">
        <w:rPr>
          <w:spacing w:val="2"/>
        </w:rPr>
        <w:t>AU$222</w:t>
      </w:r>
      <w:proofErr w:type="spellEnd"/>
      <w:r w:rsidRPr="00167AC4">
        <w:rPr>
          <w:spacing w:val="2"/>
        </w:rPr>
        <w:t xml:space="preserve"> million) </w:t>
      </w:r>
      <w:r w:rsidRPr="00167AC4">
        <w:rPr>
          <w:i/>
          <w:spacing w:val="2"/>
        </w:rPr>
        <w:t>plus</w:t>
      </w:r>
      <w:r w:rsidRPr="00167AC4">
        <w:rPr>
          <w:spacing w:val="2"/>
        </w:rPr>
        <w:t xml:space="preserve"> the change in trade balance (</w:t>
      </w:r>
      <w:r w:rsidRPr="00167AC4">
        <w:rPr>
          <w:spacing w:val="2"/>
        </w:rPr>
        <w:sym w:font="Symbol" w:char="F02D"/>
      </w:r>
      <w:proofErr w:type="spellStart"/>
      <w:r w:rsidRPr="00167AC4">
        <w:rPr>
          <w:spacing w:val="2"/>
        </w:rPr>
        <w:t>AU$834</w:t>
      </w:r>
      <w:proofErr w:type="spellEnd"/>
      <w:r w:rsidRPr="00167AC4">
        <w:rPr>
          <w:spacing w:val="2"/>
        </w:rPr>
        <w:t xml:space="preserve"> million), </w:t>
      </w:r>
      <w:r w:rsidRPr="00167AC4">
        <w:rPr>
          <w:i/>
          <w:spacing w:val="2"/>
        </w:rPr>
        <w:t>minus</w:t>
      </w:r>
      <w:r w:rsidRPr="00167AC4">
        <w:rPr>
          <w:spacing w:val="2"/>
        </w:rPr>
        <w:t xml:space="preserve"> the change in the investment balance (</w:t>
      </w:r>
      <w:proofErr w:type="spellStart"/>
      <w:r w:rsidRPr="00167AC4">
        <w:rPr>
          <w:spacing w:val="2"/>
        </w:rPr>
        <w:t>AU$62</w:t>
      </w:r>
      <w:proofErr w:type="spellEnd"/>
      <w:r w:rsidRPr="00167AC4">
        <w:rPr>
          <w:spacing w:val="2"/>
        </w:rPr>
        <w:t xml:space="preserve"> million). The change in </w:t>
      </w:r>
      <w:proofErr w:type="spellStart"/>
      <w:r w:rsidRPr="00167AC4">
        <w:rPr>
          <w:spacing w:val="2"/>
        </w:rPr>
        <w:t>GNA1</w:t>
      </w:r>
      <w:proofErr w:type="spellEnd"/>
      <w:r w:rsidRPr="00167AC4">
        <w:rPr>
          <w:spacing w:val="2"/>
        </w:rPr>
        <w:t xml:space="preserve"> is therefore </w:t>
      </w:r>
      <w:r w:rsidRPr="00167AC4">
        <w:rPr>
          <w:spacing w:val="2"/>
        </w:rPr>
        <w:sym w:font="Symbol" w:char="F02D"/>
      </w:r>
      <w:proofErr w:type="spellStart"/>
      <w:r w:rsidRPr="00167AC4">
        <w:rPr>
          <w:spacing w:val="2"/>
        </w:rPr>
        <w:t>AU$673</w:t>
      </w:r>
      <w:proofErr w:type="spellEnd"/>
      <w:r w:rsidRPr="00167AC4">
        <w:rPr>
          <w:spacing w:val="2"/>
        </w:rPr>
        <w:t xml:space="preserve"> million, or a decline of 0.044 per cent from the base year, and the implied change in the </w:t>
      </w:r>
      <w:proofErr w:type="spellStart"/>
      <w:r w:rsidRPr="00167AC4">
        <w:rPr>
          <w:spacing w:val="2"/>
        </w:rPr>
        <w:t>GNA1</w:t>
      </w:r>
      <w:proofErr w:type="spellEnd"/>
      <w:r w:rsidRPr="00167AC4">
        <w:rPr>
          <w:spacing w:val="2"/>
        </w:rPr>
        <w:t xml:space="preserve"> price deflator is therefore </w:t>
      </w:r>
      <w:r w:rsidRPr="00167AC4">
        <w:rPr>
          <w:spacing w:val="2"/>
        </w:rPr>
        <w:sym w:font="Symbol" w:char="F02D"/>
      </w:r>
      <w:r w:rsidRPr="00167AC4">
        <w:rPr>
          <w:spacing w:val="2"/>
        </w:rPr>
        <w:t xml:space="preserve">0.334 per cent. This result shows that the </w:t>
      </w:r>
      <w:r w:rsidR="005E1043" w:rsidRPr="00167AC4">
        <w:rPr>
          <w:spacing w:val="2"/>
        </w:rPr>
        <w:t xml:space="preserve">terms of trade </w:t>
      </w:r>
      <w:r w:rsidRPr="00167AC4">
        <w:rPr>
          <w:spacing w:val="2"/>
        </w:rPr>
        <w:t xml:space="preserve">loss dominates the decline in real </w:t>
      </w:r>
      <w:proofErr w:type="spellStart"/>
      <w:r w:rsidRPr="00167AC4">
        <w:rPr>
          <w:spacing w:val="2"/>
        </w:rPr>
        <w:t>GNA</w:t>
      </w:r>
      <w:proofErr w:type="spellEnd"/>
      <w:r w:rsidRPr="00167AC4">
        <w:rPr>
          <w:spacing w:val="2"/>
        </w:rPr>
        <w:t>.</w:t>
      </w:r>
    </w:p>
    <w:p w:rsidR="00BE6707" w:rsidRDefault="00222387" w:rsidP="00BE6707">
      <w:pPr>
        <w:pStyle w:val="BodyText"/>
      </w:pPr>
      <w:r>
        <w:t xml:space="preserve">The </w:t>
      </w:r>
      <w:r w:rsidR="00BE6707">
        <w:t>result</w:t>
      </w:r>
      <w:r>
        <w:t>s are</w:t>
      </w:r>
      <w:r w:rsidR="00BE6707">
        <w:t xml:space="preserve"> identical because the change in the terms of trade </w:t>
      </w:r>
      <w:r>
        <w:t xml:space="preserve">and investment </w:t>
      </w:r>
      <w:r w:rsidR="00BE6707">
        <w:t xml:space="preserve">captures the change in the </w:t>
      </w:r>
      <w:proofErr w:type="spellStart"/>
      <w:r w:rsidR="00BE6707">
        <w:t>GNA</w:t>
      </w:r>
      <w:proofErr w:type="spellEnd"/>
      <w:r w:rsidR="00BE6707">
        <w:t xml:space="preserve"> price deflator. This suggests that both measures of real </w:t>
      </w:r>
      <w:proofErr w:type="spellStart"/>
      <w:r w:rsidR="00BE6707">
        <w:t>GNA</w:t>
      </w:r>
      <w:proofErr w:type="spellEnd"/>
      <w:r w:rsidR="00BE6707">
        <w:t xml:space="preserve"> in this single-country model are a good indicator for real national expenditure</w:t>
      </w:r>
      <w:r>
        <w:t xml:space="preserve">, suitable </w:t>
      </w:r>
      <w:r w:rsidR="005E1043">
        <w:t xml:space="preserve">for </w:t>
      </w:r>
      <w:r>
        <w:t>being used</w:t>
      </w:r>
      <w:r w:rsidR="00BE6707">
        <w:t xml:space="preserve"> </w:t>
      </w:r>
      <w:r>
        <w:t>as a</w:t>
      </w:r>
      <w:r w:rsidR="007626DE">
        <w:t>n</w:t>
      </w:r>
      <w:r>
        <w:t xml:space="preserve"> </w:t>
      </w:r>
      <w:r w:rsidR="007626DE">
        <w:t xml:space="preserve">approximate measure of </w:t>
      </w:r>
      <w:r>
        <w:t xml:space="preserve">welfare for such </w:t>
      </w:r>
      <w:r w:rsidR="00BE6707">
        <w:t>models.</w:t>
      </w:r>
      <w:r w:rsidR="00BE6707" w:rsidRPr="00835E61">
        <w:t xml:space="preserve"> </w:t>
      </w:r>
    </w:p>
    <w:p w:rsidR="000730B8" w:rsidRDefault="000730B8" w:rsidP="000730B8">
      <w:pPr>
        <w:pStyle w:val="BodyText"/>
      </w:pPr>
      <w:bookmarkStart w:id="23" w:name="_Toc512845664"/>
      <w:bookmarkEnd w:id="14"/>
      <w:r>
        <w:br w:type="page"/>
      </w:r>
    </w:p>
    <w:p w:rsidR="00BE6707" w:rsidRDefault="00BE6707" w:rsidP="009E6943">
      <w:pPr>
        <w:pStyle w:val="Heading1"/>
      </w:pPr>
      <w:bookmarkStart w:id="24" w:name="_Toc26430229"/>
      <w:r>
        <w:lastRenderedPageBreak/>
        <w:t>References</w:t>
      </w:r>
      <w:bookmarkEnd w:id="23"/>
      <w:bookmarkEnd w:id="24"/>
    </w:p>
    <w:p w:rsidR="00BE6707" w:rsidRDefault="00BE6707" w:rsidP="00BE6707">
      <w:pPr>
        <w:pStyle w:val="Reference"/>
      </w:pPr>
      <w:r w:rsidRPr="00332051">
        <w:t>A</w:t>
      </w:r>
      <w:r>
        <w:t xml:space="preserve">ustralian </w:t>
      </w:r>
      <w:r w:rsidRPr="00332051">
        <w:t>B</w:t>
      </w:r>
      <w:r>
        <w:t xml:space="preserve">ureau of </w:t>
      </w:r>
      <w:r w:rsidRPr="00332051">
        <w:t>S</w:t>
      </w:r>
      <w:r>
        <w:t>tatistics (ABS) 2015</w:t>
      </w:r>
      <w:r w:rsidR="00167AC4">
        <w:t>,</w:t>
      </w:r>
      <w:r w:rsidR="000730B8">
        <w:t xml:space="preserve"> ‘</w:t>
      </w:r>
      <w:r w:rsidRPr="00221242">
        <w:t>Australian National Accounts: Input-Output Tables, 2012-13</w:t>
      </w:r>
      <w:r w:rsidR="000730B8">
        <w:t>’</w:t>
      </w:r>
      <w:r>
        <w:t xml:space="preserve">, data accessible from </w:t>
      </w:r>
      <w:r w:rsidRPr="00221242">
        <w:t>http://</w:t>
      </w:r>
      <w:proofErr w:type="spellStart"/>
      <w:r w:rsidRPr="00221242">
        <w:t>www.abs.gov.au</w:t>
      </w:r>
      <w:proofErr w:type="spellEnd"/>
      <w:r w:rsidRPr="00221242">
        <w:t>/</w:t>
      </w:r>
      <w:proofErr w:type="spellStart"/>
      <w:r w:rsidRPr="00221242">
        <w:t>AUSSTATS</w:t>
      </w:r>
      <w:proofErr w:type="spellEnd"/>
      <w:r w:rsidRPr="00221242">
        <w:t>/abs@.</w:t>
      </w:r>
      <w:proofErr w:type="spellStart"/>
      <w:r w:rsidRPr="00221242">
        <w:t>nsf</w:t>
      </w:r>
      <w:proofErr w:type="spellEnd"/>
      <w:r>
        <w:br/>
      </w:r>
      <w:r w:rsidRPr="00221242">
        <w:t>/</w:t>
      </w:r>
      <w:proofErr w:type="spellStart"/>
      <w:r w:rsidRPr="00221242">
        <w:t>DetailsPage</w:t>
      </w:r>
      <w:proofErr w:type="spellEnd"/>
      <w:r w:rsidRPr="00221242">
        <w:t>/</w:t>
      </w:r>
      <w:proofErr w:type="spellStart"/>
      <w:r w:rsidRPr="00221242">
        <w:t>5209.0.55.0012012-13?OpenDocument</w:t>
      </w:r>
      <w:proofErr w:type="spellEnd"/>
      <w:r>
        <w:t>.</w:t>
      </w:r>
      <w:r w:rsidRPr="00835E61">
        <w:t xml:space="preserve"> </w:t>
      </w:r>
    </w:p>
    <w:p w:rsidR="00BE6707" w:rsidRDefault="000278C8" w:rsidP="00BE6707">
      <w:pPr>
        <w:pStyle w:val="Reference"/>
      </w:pPr>
      <w:r w:rsidRPr="000278C8">
        <w:t>Narayanan</w:t>
      </w:r>
      <w:r>
        <w:t xml:space="preserve">, </w:t>
      </w:r>
      <w:proofErr w:type="spellStart"/>
      <w:r>
        <w:t>B.</w:t>
      </w:r>
      <w:r w:rsidR="00BE6707" w:rsidRPr="008F05C5">
        <w:t>G</w:t>
      </w:r>
      <w:proofErr w:type="spellEnd"/>
      <w:r w:rsidR="00BE6707" w:rsidRPr="008F05C5">
        <w:t>. and Walmsley</w:t>
      </w:r>
      <w:r w:rsidR="00BE6707">
        <w:t>,</w:t>
      </w:r>
      <w:r w:rsidR="00BE6707" w:rsidRPr="008F05C5">
        <w:t xml:space="preserve"> </w:t>
      </w:r>
      <w:proofErr w:type="spellStart"/>
      <w:r w:rsidR="00BE6707" w:rsidRPr="008F05C5">
        <w:t>T</w:t>
      </w:r>
      <w:r>
        <w:t>.</w:t>
      </w:r>
      <w:r w:rsidR="00BE6707" w:rsidRPr="008F05C5">
        <w:t>L</w:t>
      </w:r>
      <w:proofErr w:type="spellEnd"/>
      <w:r w:rsidR="00BE6707" w:rsidRPr="008F05C5">
        <w:t xml:space="preserve">. </w:t>
      </w:r>
      <w:r w:rsidR="004951DA">
        <w:t>(e</w:t>
      </w:r>
      <w:r w:rsidR="00BE6707" w:rsidRPr="008F05C5">
        <w:t>ds</w:t>
      </w:r>
      <w:r w:rsidR="004951DA">
        <w:t>.)</w:t>
      </w:r>
      <w:r w:rsidR="00BE6707">
        <w:t xml:space="preserve"> 2008</w:t>
      </w:r>
      <w:r w:rsidR="00167AC4">
        <w:t>,</w:t>
      </w:r>
      <w:r w:rsidR="00BE6707" w:rsidRPr="008F05C5">
        <w:t xml:space="preserve"> </w:t>
      </w:r>
      <w:r w:rsidR="00BE6707" w:rsidRPr="00167AC4">
        <w:rPr>
          <w:i/>
        </w:rPr>
        <w:t xml:space="preserve">Global trade, assistance, and production: the </w:t>
      </w:r>
      <w:proofErr w:type="spellStart"/>
      <w:r w:rsidR="00BE6707" w:rsidRPr="00167AC4">
        <w:rPr>
          <w:i/>
        </w:rPr>
        <w:t>GTAP</w:t>
      </w:r>
      <w:proofErr w:type="spellEnd"/>
      <w:r w:rsidR="00BE6707" w:rsidRPr="00167AC4">
        <w:rPr>
          <w:i/>
        </w:rPr>
        <w:t xml:space="preserve"> 7 data base</w:t>
      </w:r>
      <w:r w:rsidR="00BE6707" w:rsidRPr="008F05C5">
        <w:t xml:space="preserve">, </w:t>
      </w:r>
      <w:proofErr w:type="spellStart"/>
      <w:r w:rsidR="00BE6707" w:rsidRPr="008F05C5">
        <w:t>Center</w:t>
      </w:r>
      <w:proofErr w:type="spellEnd"/>
      <w:r w:rsidR="00BE6707" w:rsidRPr="008F05C5">
        <w:t xml:space="preserve"> for Global Trade Analysis, Purdue University.</w:t>
      </w:r>
      <w:r w:rsidR="00BE6707" w:rsidRPr="00835E61">
        <w:t xml:space="preserve"> </w:t>
      </w:r>
    </w:p>
    <w:p w:rsidR="00BE6707" w:rsidRDefault="00BE6707" w:rsidP="00BE6707">
      <w:pPr>
        <w:pStyle w:val="Reference"/>
      </w:pPr>
      <w:r w:rsidRPr="00332051">
        <w:t>Dixon, J</w:t>
      </w:r>
      <w:r w:rsidR="00167AC4">
        <w:t>.</w:t>
      </w:r>
      <w:r w:rsidRPr="00332051">
        <w:t xml:space="preserve"> 2016, </w:t>
      </w:r>
      <w:r w:rsidR="000730B8">
        <w:t>‘</w:t>
      </w:r>
      <w:r w:rsidRPr="00332051">
        <w:t xml:space="preserve">Trump’s 45 per cent tariff on Chinese imports: some modelling </w:t>
      </w:r>
      <w:r w:rsidR="001376AD" w:rsidRPr="00332051">
        <w:t>notes</w:t>
      </w:r>
      <w:r w:rsidR="000730B8">
        <w:t>’</w:t>
      </w:r>
      <w:r w:rsidRPr="00332051">
        <w:t>, presented to the Melbourne Economic Forum, November 29, Centre of Policy Studies, Victoria University.</w:t>
      </w:r>
      <w:r w:rsidRPr="00835E61">
        <w:t xml:space="preserve"> </w:t>
      </w:r>
    </w:p>
    <w:p w:rsidR="00BE6707" w:rsidRPr="000278C8" w:rsidRDefault="00BE6707" w:rsidP="00BE6707">
      <w:pPr>
        <w:pStyle w:val="Reference"/>
        <w:rPr>
          <w:spacing w:val="-4"/>
        </w:rPr>
      </w:pPr>
      <w:r w:rsidRPr="000278C8">
        <w:rPr>
          <w:spacing w:val="-4"/>
        </w:rPr>
        <w:t xml:space="preserve">Dixon, </w:t>
      </w:r>
      <w:proofErr w:type="spellStart"/>
      <w:r w:rsidRPr="000278C8">
        <w:rPr>
          <w:spacing w:val="-4"/>
        </w:rPr>
        <w:t>P</w:t>
      </w:r>
      <w:r w:rsidR="00167AC4" w:rsidRPr="000278C8">
        <w:rPr>
          <w:spacing w:val="-4"/>
        </w:rPr>
        <w:t>.</w:t>
      </w:r>
      <w:r w:rsidRPr="000278C8">
        <w:rPr>
          <w:spacing w:val="-4"/>
        </w:rPr>
        <w:t>B</w:t>
      </w:r>
      <w:proofErr w:type="spellEnd"/>
      <w:r w:rsidRPr="000278C8">
        <w:rPr>
          <w:spacing w:val="-4"/>
        </w:rPr>
        <w:t xml:space="preserve">., and </w:t>
      </w:r>
      <w:proofErr w:type="spellStart"/>
      <w:r w:rsidR="00167AC4" w:rsidRPr="000278C8">
        <w:rPr>
          <w:spacing w:val="-4"/>
        </w:rPr>
        <w:t>Rimmer</w:t>
      </w:r>
      <w:proofErr w:type="spellEnd"/>
      <w:r w:rsidR="00167AC4" w:rsidRPr="000278C8">
        <w:rPr>
          <w:spacing w:val="-4"/>
        </w:rPr>
        <w:t xml:space="preserve">, </w:t>
      </w:r>
      <w:proofErr w:type="spellStart"/>
      <w:r w:rsidR="00167AC4" w:rsidRPr="000278C8">
        <w:rPr>
          <w:spacing w:val="-4"/>
        </w:rPr>
        <w:t>M.T</w:t>
      </w:r>
      <w:proofErr w:type="spellEnd"/>
      <w:r w:rsidR="00167AC4" w:rsidRPr="000278C8">
        <w:rPr>
          <w:spacing w:val="-4"/>
        </w:rPr>
        <w:t>.</w:t>
      </w:r>
      <w:r w:rsidRPr="000278C8">
        <w:rPr>
          <w:spacing w:val="-4"/>
        </w:rPr>
        <w:t xml:space="preserve"> 2002</w:t>
      </w:r>
      <w:r w:rsidR="00167AC4" w:rsidRPr="000278C8">
        <w:rPr>
          <w:spacing w:val="-4"/>
        </w:rPr>
        <w:t>,</w:t>
      </w:r>
      <w:r w:rsidRPr="000278C8">
        <w:rPr>
          <w:spacing w:val="-4"/>
        </w:rPr>
        <w:t xml:space="preserve"> </w:t>
      </w:r>
      <w:r w:rsidRPr="000278C8">
        <w:rPr>
          <w:i/>
          <w:spacing w:val="-4"/>
        </w:rPr>
        <w:t>Dynamic General Equilibrium Modelling for Forecasting and Policy: A Practical Guide and Documentation of MONASH</w:t>
      </w:r>
      <w:r w:rsidRPr="000278C8">
        <w:rPr>
          <w:spacing w:val="-4"/>
        </w:rPr>
        <w:t xml:space="preserve">, North-Holland. </w:t>
      </w:r>
    </w:p>
    <w:p w:rsidR="00F07D56" w:rsidRDefault="00F07D56" w:rsidP="00BE6707">
      <w:pPr>
        <w:pStyle w:val="Reference"/>
      </w:pPr>
      <w:proofErr w:type="spellStart"/>
      <w:r>
        <w:t>Hertel</w:t>
      </w:r>
      <w:proofErr w:type="spellEnd"/>
      <w:r>
        <w:t>, T</w:t>
      </w:r>
      <w:r w:rsidR="00167AC4">
        <w:t>.</w:t>
      </w:r>
      <w:r>
        <w:t xml:space="preserve"> (ed.)</w:t>
      </w:r>
      <w:r w:rsidR="004951DA">
        <w:t xml:space="preserve"> 1997</w:t>
      </w:r>
      <w:r w:rsidR="00167AC4">
        <w:t>,</w:t>
      </w:r>
      <w:r>
        <w:t xml:space="preserve"> </w:t>
      </w:r>
      <w:r w:rsidRPr="00167AC4">
        <w:rPr>
          <w:i/>
        </w:rPr>
        <w:t xml:space="preserve">Global Trade Analysis: </w:t>
      </w:r>
      <w:proofErr w:type="spellStart"/>
      <w:r w:rsidRPr="00167AC4">
        <w:rPr>
          <w:i/>
        </w:rPr>
        <w:t>Modeling</w:t>
      </w:r>
      <w:proofErr w:type="spellEnd"/>
      <w:r w:rsidRPr="00167AC4">
        <w:rPr>
          <w:i/>
        </w:rPr>
        <w:t xml:space="preserve"> and Applications</w:t>
      </w:r>
      <w:r>
        <w:t>, Cambri</w:t>
      </w:r>
      <w:r w:rsidR="004951DA">
        <w:t>d</w:t>
      </w:r>
      <w:r>
        <w:t xml:space="preserve">ge </w:t>
      </w:r>
      <w:r w:rsidR="004951DA">
        <w:t xml:space="preserve">University Press, Cambridge. </w:t>
      </w:r>
    </w:p>
    <w:p w:rsidR="00BE6707" w:rsidRPr="000278C8" w:rsidRDefault="00BE6707" w:rsidP="00BE6707">
      <w:pPr>
        <w:pStyle w:val="Reference"/>
        <w:rPr>
          <w:spacing w:val="-4"/>
        </w:rPr>
      </w:pPr>
      <w:proofErr w:type="spellStart"/>
      <w:r w:rsidRPr="000278C8">
        <w:rPr>
          <w:spacing w:val="-4"/>
        </w:rPr>
        <w:t>Hertel</w:t>
      </w:r>
      <w:proofErr w:type="spellEnd"/>
      <w:r w:rsidRPr="000278C8">
        <w:rPr>
          <w:spacing w:val="-4"/>
        </w:rPr>
        <w:t>, T</w:t>
      </w:r>
      <w:r w:rsidR="00167AC4" w:rsidRPr="000278C8">
        <w:rPr>
          <w:spacing w:val="-4"/>
        </w:rPr>
        <w:t xml:space="preserve">. </w:t>
      </w:r>
      <w:r w:rsidRPr="000278C8">
        <w:rPr>
          <w:spacing w:val="-4"/>
        </w:rPr>
        <w:t xml:space="preserve">and McDougall, </w:t>
      </w:r>
      <w:r w:rsidR="00167AC4" w:rsidRPr="000278C8">
        <w:rPr>
          <w:spacing w:val="-4"/>
        </w:rPr>
        <w:t xml:space="preserve">R. </w:t>
      </w:r>
      <w:r w:rsidRPr="000278C8">
        <w:rPr>
          <w:spacing w:val="-4"/>
        </w:rPr>
        <w:t>2003</w:t>
      </w:r>
      <w:r w:rsidR="00167AC4" w:rsidRPr="000278C8">
        <w:rPr>
          <w:spacing w:val="-4"/>
        </w:rPr>
        <w:t>,</w:t>
      </w:r>
      <w:r w:rsidRPr="000278C8">
        <w:rPr>
          <w:spacing w:val="-4"/>
        </w:rPr>
        <w:t xml:space="preserve"> </w:t>
      </w:r>
      <w:r w:rsidR="000730B8">
        <w:rPr>
          <w:spacing w:val="-4"/>
        </w:rPr>
        <w:t>‘</w:t>
      </w:r>
      <w:proofErr w:type="spellStart"/>
      <w:r w:rsidRPr="000278C8">
        <w:rPr>
          <w:spacing w:val="-4"/>
        </w:rPr>
        <w:t>GTAP</w:t>
      </w:r>
      <w:proofErr w:type="spellEnd"/>
      <w:r w:rsidRPr="000278C8">
        <w:rPr>
          <w:spacing w:val="-4"/>
        </w:rPr>
        <w:t xml:space="preserve"> Model Version 6.2</w:t>
      </w:r>
      <w:r w:rsidR="000730B8">
        <w:rPr>
          <w:spacing w:val="-4"/>
        </w:rPr>
        <w:t>’</w:t>
      </w:r>
      <w:r w:rsidRPr="000278C8">
        <w:rPr>
          <w:spacing w:val="-4"/>
        </w:rPr>
        <w:t xml:space="preserve">, </w:t>
      </w:r>
      <w:proofErr w:type="spellStart"/>
      <w:r w:rsidRPr="000278C8">
        <w:rPr>
          <w:spacing w:val="-4"/>
        </w:rPr>
        <w:t>G</w:t>
      </w:r>
      <w:r w:rsidR="00167AC4" w:rsidRPr="000278C8">
        <w:rPr>
          <w:spacing w:val="-4"/>
        </w:rPr>
        <w:t>TAP</w:t>
      </w:r>
      <w:proofErr w:type="spellEnd"/>
      <w:r w:rsidR="00167AC4" w:rsidRPr="000278C8">
        <w:rPr>
          <w:spacing w:val="-4"/>
        </w:rPr>
        <w:t xml:space="preserve"> Resource #1367, </w:t>
      </w:r>
      <w:proofErr w:type="spellStart"/>
      <w:r w:rsidRPr="000278C8">
        <w:rPr>
          <w:spacing w:val="-4"/>
        </w:rPr>
        <w:t>Center</w:t>
      </w:r>
      <w:proofErr w:type="spellEnd"/>
      <w:r w:rsidRPr="000278C8">
        <w:rPr>
          <w:spacing w:val="-4"/>
        </w:rPr>
        <w:t xml:space="preserve"> for Global Trade Analysis, Department of Agricultural Economics, Purdue University. </w:t>
      </w:r>
    </w:p>
    <w:p w:rsidR="00BE6707" w:rsidRDefault="00BE6707" w:rsidP="00BE6707">
      <w:pPr>
        <w:pStyle w:val="Reference"/>
      </w:pPr>
      <w:r>
        <w:t xml:space="preserve">International Monetary Fund (IMF), </w:t>
      </w:r>
      <w:r w:rsidR="000730B8">
        <w:t>‘</w:t>
      </w:r>
      <w:r>
        <w:t>International Financial Statistics</w:t>
      </w:r>
      <w:r w:rsidR="000730B8">
        <w:t>’</w:t>
      </w:r>
      <w:r>
        <w:t xml:space="preserve">, data accessible from </w:t>
      </w:r>
      <w:r w:rsidRPr="0052524B">
        <w:t>http://</w:t>
      </w:r>
      <w:proofErr w:type="spellStart"/>
      <w:r w:rsidRPr="0052524B">
        <w:t>data.imf.org</w:t>
      </w:r>
      <w:proofErr w:type="spellEnd"/>
      <w:r w:rsidRPr="0052524B">
        <w:t>/?</w:t>
      </w:r>
      <w:proofErr w:type="spellStart"/>
      <w:r w:rsidRPr="0052524B">
        <w:t>sk</w:t>
      </w:r>
      <w:proofErr w:type="spellEnd"/>
      <w:r w:rsidRPr="0052524B">
        <w:t>=</w:t>
      </w:r>
      <w:proofErr w:type="spellStart"/>
      <w:r w:rsidRPr="0052524B">
        <w:t>4C514D48-B6BA-49ED-8AB9-52B0C1A0179B</w:t>
      </w:r>
      <w:proofErr w:type="spellEnd"/>
      <w:r>
        <w:t>.</w:t>
      </w:r>
      <w:r w:rsidRPr="00835E61">
        <w:t xml:space="preserve"> </w:t>
      </w:r>
    </w:p>
    <w:p w:rsidR="00BE6707" w:rsidRDefault="00BE6707" w:rsidP="00BE6707">
      <w:pPr>
        <w:pStyle w:val="Reference"/>
      </w:pPr>
      <w:r w:rsidRPr="00787294">
        <w:t xml:space="preserve">van der </w:t>
      </w:r>
      <w:proofErr w:type="spellStart"/>
      <w:r w:rsidRPr="00787294">
        <w:t>Mensbrugghe</w:t>
      </w:r>
      <w:proofErr w:type="spellEnd"/>
      <w:r>
        <w:t>,</w:t>
      </w:r>
      <w:r w:rsidR="00167AC4">
        <w:t xml:space="preserve"> D.</w:t>
      </w:r>
      <w:r>
        <w:t xml:space="preserve"> 2005</w:t>
      </w:r>
      <w:r w:rsidR="00167AC4">
        <w:t>,</w:t>
      </w:r>
      <w:r>
        <w:t xml:space="preserve"> </w:t>
      </w:r>
      <w:r w:rsidR="000730B8">
        <w:t>‘</w:t>
      </w:r>
      <w:r w:rsidRPr="00787294">
        <w:t>LINKAGE Technical Reference Document</w:t>
      </w:r>
      <w:r w:rsidR="000730B8">
        <w:t>’</w:t>
      </w:r>
      <w:r>
        <w:t xml:space="preserve">, </w:t>
      </w:r>
      <w:r w:rsidRPr="00787294">
        <w:t>Version 6.0</w:t>
      </w:r>
      <w:r>
        <w:t xml:space="preserve">, </w:t>
      </w:r>
      <w:r w:rsidRPr="00787294">
        <w:t>Development Prospects Group (</w:t>
      </w:r>
      <w:proofErr w:type="spellStart"/>
      <w:r w:rsidRPr="00787294">
        <w:t>DECPG</w:t>
      </w:r>
      <w:proofErr w:type="spellEnd"/>
      <w:r w:rsidRPr="00787294">
        <w:t>)</w:t>
      </w:r>
      <w:r>
        <w:t>, World Bank.</w:t>
      </w:r>
      <w:r w:rsidRPr="00835E61">
        <w:t xml:space="preserve"> </w:t>
      </w:r>
    </w:p>
    <w:p w:rsidR="00BE6707" w:rsidRDefault="00BE6707" w:rsidP="00BE6707">
      <w:pPr>
        <w:pStyle w:val="Reference"/>
      </w:pPr>
      <w:r w:rsidRPr="00352B95">
        <w:t xml:space="preserve">Productivity Commission </w:t>
      </w:r>
      <w:proofErr w:type="spellStart"/>
      <w:r w:rsidRPr="00352B95">
        <w:t>2010</w:t>
      </w:r>
      <w:r>
        <w:t>a</w:t>
      </w:r>
      <w:proofErr w:type="spellEnd"/>
      <w:r w:rsidRPr="00352B95">
        <w:t xml:space="preserve">, </w:t>
      </w:r>
      <w:r w:rsidRPr="00352B95">
        <w:rPr>
          <w:i/>
        </w:rPr>
        <w:t>Bilateral and Regional Trade Agreements</w:t>
      </w:r>
      <w:r>
        <w:t xml:space="preserve">, </w:t>
      </w:r>
      <w:r w:rsidRPr="00352B95">
        <w:t xml:space="preserve">Research Report, Canberra. </w:t>
      </w:r>
    </w:p>
    <w:p w:rsidR="00BE6707" w:rsidRDefault="00167AC4" w:rsidP="00BE6707">
      <w:pPr>
        <w:pStyle w:val="Reference"/>
      </w:pPr>
      <w:r>
        <w:t>—— </w:t>
      </w:r>
      <w:proofErr w:type="spellStart"/>
      <w:r w:rsidR="00BE6707" w:rsidRPr="00352B95">
        <w:t>2010</w:t>
      </w:r>
      <w:r w:rsidR="00BE6707">
        <w:t>b</w:t>
      </w:r>
      <w:proofErr w:type="spellEnd"/>
      <w:r w:rsidR="00BE6707" w:rsidRPr="00352B95">
        <w:t xml:space="preserve">, </w:t>
      </w:r>
      <w:r w:rsidR="00BE6707" w:rsidRPr="00352B95">
        <w:rPr>
          <w:i/>
        </w:rPr>
        <w:t xml:space="preserve">A </w:t>
      </w:r>
      <w:proofErr w:type="spellStart"/>
      <w:r w:rsidR="00BE6707" w:rsidRPr="00352B95">
        <w:rPr>
          <w:i/>
        </w:rPr>
        <w:t>CGE</w:t>
      </w:r>
      <w:proofErr w:type="spellEnd"/>
      <w:r w:rsidR="00BE6707" w:rsidRPr="00352B95">
        <w:rPr>
          <w:i/>
        </w:rPr>
        <w:t xml:space="preserve"> Analysis of Some Economic Effects of Trade Agreements</w:t>
      </w:r>
      <w:r w:rsidR="00BE6707" w:rsidRPr="00352B95">
        <w:t>, Supplement to</w:t>
      </w:r>
      <w:r w:rsidR="00BE6707">
        <w:t xml:space="preserve"> </w:t>
      </w:r>
      <w:r w:rsidR="00BE6707" w:rsidRPr="00352B95">
        <w:t xml:space="preserve">Research Report, </w:t>
      </w:r>
      <w:r w:rsidR="00BE6707" w:rsidRPr="00352B95">
        <w:rPr>
          <w:i/>
        </w:rPr>
        <w:t>Bilateral and Regional Trade Agreements</w:t>
      </w:r>
      <w:r w:rsidR="00BE6707">
        <w:t xml:space="preserve">, </w:t>
      </w:r>
      <w:r w:rsidR="00BE6707" w:rsidRPr="00352B95">
        <w:t xml:space="preserve">Canberra. </w:t>
      </w:r>
    </w:p>
    <w:p w:rsidR="00BE6707" w:rsidRDefault="00167AC4" w:rsidP="00BE6707">
      <w:pPr>
        <w:pStyle w:val="Reference"/>
      </w:pPr>
      <w:r>
        <w:t>—— </w:t>
      </w:r>
      <w:proofErr w:type="spellStart"/>
      <w:r w:rsidR="00BE6707" w:rsidRPr="008E4014">
        <w:t>2017</w:t>
      </w:r>
      <w:r w:rsidR="00BE6707">
        <w:t>a</w:t>
      </w:r>
      <w:proofErr w:type="spellEnd"/>
      <w:r w:rsidR="00BE6707" w:rsidRPr="008E4014">
        <w:t xml:space="preserve">, </w:t>
      </w:r>
      <w:r w:rsidR="00BE6707" w:rsidRPr="008E4014">
        <w:rPr>
          <w:i/>
        </w:rPr>
        <w:t xml:space="preserve">Rising </w:t>
      </w:r>
      <w:r w:rsidR="00BE6707">
        <w:rPr>
          <w:i/>
        </w:rPr>
        <w:t>P</w:t>
      </w:r>
      <w:r w:rsidR="00BE6707" w:rsidRPr="008E4014">
        <w:rPr>
          <w:i/>
        </w:rPr>
        <w:t xml:space="preserve">rotectionism: </w:t>
      </w:r>
      <w:r w:rsidR="00BE6707">
        <w:rPr>
          <w:i/>
        </w:rPr>
        <w:t>C</w:t>
      </w:r>
      <w:r w:rsidR="00BE6707" w:rsidRPr="008E4014">
        <w:rPr>
          <w:i/>
        </w:rPr>
        <w:t xml:space="preserve">hallenges, </w:t>
      </w:r>
      <w:r w:rsidR="00BE6707">
        <w:rPr>
          <w:i/>
        </w:rPr>
        <w:t>T</w:t>
      </w:r>
      <w:r w:rsidR="00BE6707" w:rsidRPr="008E4014">
        <w:rPr>
          <w:i/>
        </w:rPr>
        <w:t xml:space="preserve">hreats and </w:t>
      </w:r>
      <w:r w:rsidR="00BE6707">
        <w:rPr>
          <w:i/>
        </w:rPr>
        <w:t>O</w:t>
      </w:r>
      <w:r w:rsidR="00BE6707" w:rsidRPr="008E4014">
        <w:rPr>
          <w:i/>
        </w:rPr>
        <w:t>pportunities for Australia</w:t>
      </w:r>
      <w:r w:rsidR="00BE6707" w:rsidRPr="008E4014">
        <w:t>, Commission Research Paper, Canberra.</w:t>
      </w:r>
      <w:r w:rsidR="00BE6707" w:rsidRPr="00835E61">
        <w:t xml:space="preserve"> </w:t>
      </w:r>
    </w:p>
    <w:p w:rsidR="00C73D07" w:rsidRDefault="00167AC4" w:rsidP="000730B8">
      <w:pPr>
        <w:pStyle w:val="Reference"/>
      </w:pPr>
      <w:r>
        <w:t>—— </w:t>
      </w:r>
      <w:proofErr w:type="spellStart"/>
      <w:r w:rsidR="00BE6707" w:rsidRPr="008E4014">
        <w:t>2017</w:t>
      </w:r>
      <w:r w:rsidR="00BE6707">
        <w:t>b</w:t>
      </w:r>
      <w:proofErr w:type="spellEnd"/>
      <w:r w:rsidR="00BE6707" w:rsidRPr="008E4014">
        <w:t xml:space="preserve">, </w:t>
      </w:r>
      <w:r w:rsidR="00BE6707" w:rsidRPr="008E4014">
        <w:rPr>
          <w:i/>
        </w:rPr>
        <w:t xml:space="preserve">Modelling </w:t>
      </w:r>
      <w:r w:rsidR="00BE6707">
        <w:rPr>
          <w:i/>
        </w:rPr>
        <w:t>P</w:t>
      </w:r>
      <w:r w:rsidR="00BE6707" w:rsidRPr="008E4014">
        <w:rPr>
          <w:i/>
        </w:rPr>
        <w:t xml:space="preserve">rotectionist </w:t>
      </w:r>
      <w:r w:rsidR="00BE6707">
        <w:rPr>
          <w:i/>
        </w:rPr>
        <w:t>T</w:t>
      </w:r>
      <w:r w:rsidR="00BE6707" w:rsidRPr="008E4014">
        <w:rPr>
          <w:i/>
        </w:rPr>
        <w:t xml:space="preserve">rade </w:t>
      </w:r>
      <w:r w:rsidR="00BE6707">
        <w:rPr>
          <w:i/>
        </w:rPr>
        <w:t>P</w:t>
      </w:r>
      <w:r w:rsidR="00BE6707" w:rsidRPr="008E4014">
        <w:rPr>
          <w:i/>
        </w:rPr>
        <w:t>olicies</w:t>
      </w:r>
      <w:r w:rsidR="00BE6707" w:rsidRPr="008E4014">
        <w:t>, Technical Supplement to</w:t>
      </w:r>
      <w:r w:rsidR="00BE6707">
        <w:t xml:space="preserve"> the </w:t>
      </w:r>
      <w:r w:rsidR="00BE6707" w:rsidRPr="008E4014">
        <w:t xml:space="preserve">Research Paper, </w:t>
      </w:r>
      <w:r w:rsidR="00BE6707" w:rsidRPr="008E4014">
        <w:rPr>
          <w:i/>
        </w:rPr>
        <w:t xml:space="preserve">Rising </w:t>
      </w:r>
      <w:r w:rsidR="00BE6707">
        <w:rPr>
          <w:i/>
        </w:rPr>
        <w:t>P</w:t>
      </w:r>
      <w:r w:rsidR="00BE6707" w:rsidRPr="008E4014">
        <w:rPr>
          <w:i/>
        </w:rPr>
        <w:t xml:space="preserve">rotectionism: </w:t>
      </w:r>
      <w:r w:rsidR="00BE6707">
        <w:rPr>
          <w:i/>
        </w:rPr>
        <w:t>C</w:t>
      </w:r>
      <w:r w:rsidR="00BE6707" w:rsidRPr="008E4014">
        <w:rPr>
          <w:i/>
        </w:rPr>
        <w:t xml:space="preserve">hallenges, </w:t>
      </w:r>
      <w:r w:rsidR="00BE6707">
        <w:rPr>
          <w:i/>
        </w:rPr>
        <w:t>T</w:t>
      </w:r>
      <w:r w:rsidR="00BE6707" w:rsidRPr="008E4014">
        <w:rPr>
          <w:i/>
        </w:rPr>
        <w:t xml:space="preserve">hreats and </w:t>
      </w:r>
      <w:r w:rsidR="00BE6707">
        <w:rPr>
          <w:i/>
        </w:rPr>
        <w:t>O</w:t>
      </w:r>
      <w:r w:rsidR="00BE6707" w:rsidRPr="008E4014">
        <w:rPr>
          <w:i/>
        </w:rPr>
        <w:t>pportunities for Australia</w:t>
      </w:r>
      <w:r w:rsidR="00BE6707" w:rsidRPr="008E4014">
        <w:t>, Canberra.</w:t>
      </w:r>
      <w:r w:rsidR="00BE6707" w:rsidRPr="00835E61">
        <w:t xml:space="preserve"> </w:t>
      </w:r>
    </w:p>
    <w:sectPr w:rsidR="00C73D07" w:rsidSect="00C73D07">
      <w:headerReference w:type="even" r:id="rId19"/>
      <w:headerReference w:type="default" r:id="rId20"/>
      <w:footerReference w:type="even" r:id="rId21"/>
      <w:footerReference w:type="default" r:id="rId22"/>
      <w:headerReference w:type="first" r:id="rId23"/>
      <w:footerReference w:type="first" r:id="rId24"/>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29" w:rsidRDefault="00471B29" w:rsidP="00BE6707">
      <w:r>
        <w:separator/>
      </w:r>
    </w:p>
  </w:endnote>
  <w:endnote w:type="continuationSeparator" w:id="0">
    <w:p w:rsidR="00471B29" w:rsidRDefault="00471B29" w:rsidP="00BE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style 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1B29" w:rsidTr="00471B29">
      <w:trPr>
        <w:trHeight w:hRule="exact" w:val="567"/>
      </w:trPr>
      <w:tc>
        <w:tcPr>
          <w:tcW w:w="510" w:type="dxa"/>
        </w:tcPr>
        <w:p w:rsidR="00471B29" w:rsidRPr="007448F7" w:rsidRDefault="00471B29" w:rsidP="00471B29">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iv</w:t>
          </w:r>
          <w:r w:rsidRPr="007448F7">
            <w:rPr>
              <w:rStyle w:val="PageNumber"/>
              <w:caps w:val="0"/>
            </w:rPr>
            <w:fldChar w:fldCharType="end"/>
          </w:r>
        </w:p>
      </w:tc>
      <w:tc>
        <w:tcPr>
          <w:tcW w:w="7767" w:type="dxa"/>
        </w:tcPr>
        <w:p w:rsidR="00471B29" w:rsidRPr="0013739A" w:rsidRDefault="00471B29" w:rsidP="00471B29">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E867DA">
            <w:rPr>
              <w:rFonts w:cs="Arial"/>
            </w:rPr>
            <w:t>Using real expenditure to assess policy impacts - Staff Research Note</w:t>
          </w:r>
          <w:r w:rsidRPr="00BA5B14">
            <w:rPr>
              <w:rFonts w:cs="Arial"/>
            </w:rPr>
            <w:fldChar w:fldCharType="end"/>
          </w:r>
        </w:p>
      </w:tc>
      <w:tc>
        <w:tcPr>
          <w:tcW w:w="510" w:type="dxa"/>
        </w:tcPr>
        <w:p w:rsidR="00471B29" w:rsidRDefault="00471B29" w:rsidP="00471B29">
          <w:pPr>
            <w:pStyle w:val="Footer"/>
          </w:pPr>
        </w:p>
      </w:tc>
    </w:tr>
  </w:tbl>
  <w:p w:rsidR="00471B29" w:rsidRDefault="00471B29" w:rsidP="00471B29">
    <w:pPr>
      <w:pStyle w:val="FooterEnd"/>
    </w:pPr>
  </w:p>
  <w:p w:rsidR="00471B29" w:rsidRDefault="00471B29">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1B29" w:rsidTr="00471B29">
      <w:trPr>
        <w:trHeight w:hRule="exact" w:val="567"/>
      </w:trPr>
      <w:tc>
        <w:tcPr>
          <w:tcW w:w="510" w:type="dxa"/>
        </w:tcPr>
        <w:p w:rsidR="00471B29" w:rsidRPr="00162C13" w:rsidRDefault="00471B29">
          <w:pPr>
            <w:pStyle w:val="Footer"/>
            <w:ind w:right="360" w:firstLine="360"/>
          </w:pPr>
        </w:p>
      </w:tc>
      <w:tc>
        <w:tcPr>
          <w:tcW w:w="7767" w:type="dxa"/>
        </w:tcPr>
        <w:p w:rsidR="00471B29" w:rsidRPr="00162C13" w:rsidRDefault="000278C8" w:rsidP="00471B29">
          <w:pPr>
            <w:pStyle w:val="Footer"/>
            <w:jc w:val="right"/>
            <w:rPr>
              <w:rFonts w:cs="Arial"/>
            </w:rPr>
          </w:pPr>
          <w:r>
            <w:t>Using real expenditure to assess policy impacts</w:t>
          </w:r>
        </w:p>
      </w:tc>
      <w:tc>
        <w:tcPr>
          <w:tcW w:w="510" w:type="dxa"/>
        </w:tcPr>
        <w:p w:rsidR="00471B29" w:rsidRPr="00A24443" w:rsidRDefault="00471B2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46F2">
            <w:rPr>
              <w:rStyle w:val="PageNumber"/>
              <w:caps w:val="0"/>
              <w:noProof/>
            </w:rPr>
            <w:t>iii</w:t>
          </w:r>
          <w:r w:rsidRPr="00A24443">
            <w:rPr>
              <w:rStyle w:val="PageNumber"/>
              <w:caps w:val="0"/>
            </w:rPr>
            <w:fldChar w:fldCharType="end"/>
          </w:r>
        </w:p>
      </w:tc>
    </w:tr>
  </w:tbl>
  <w:p w:rsidR="00471B29" w:rsidRDefault="00471B29">
    <w:pPr>
      <w:pStyle w:val="FooterEnd"/>
    </w:pPr>
  </w:p>
  <w:p w:rsidR="00471B29" w:rsidRDefault="00471B29" w:rsidP="00471B2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1B29" w:rsidTr="00C73D07">
      <w:trPr>
        <w:trHeight w:hRule="exact" w:val="567"/>
      </w:trPr>
      <w:tc>
        <w:tcPr>
          <w:tcW w:w="510" w:type="dxa"/>
        </w:tcPr>
        <w:p w:rsidR="00471B29" w:rsidRPr="00A24443" w:rsidRDefault="00471B29" w:rsidP="00C73D07">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18</w:t>
          </w:r>
          <w:r w:rsidRPr="00A24443">
            <w:rPr>
              <w:rStyle w:val="PageNumber"/>
              <w:caps w:val="0"/>
            </w:rPr>
            <w:fldChar w:fldCharType="end"/>
          </w:r>
        </w:p>
      </w:tc>
      <w:tc>
        <w:tcPr>
          <w:tcW w:w="7767" w:type="dxa"/>
        </w:tcPr>
        <w:p w:rsidR="00471B29" w:rsidRPr="0013739A" w:rsidRDefault="00471B29" w:rsidP="00C73D07">
          <w:pPr>
            <w:pStyle w:val="Footer"/>
            <w:rPr>
              <w:rFonts w:cs="Arial"/>
            </w:rPr>
          </w:pPr>
          <w:r>
            <w:rPr>
              <w:rFonts w:cs="Arial"/>
            </w:rPr>
            <w:t>staff research note</w:t>
          </w:r>
          <w:bookmarkStart w:id="25" w:name="DraftReportEven"/>
          <w:bookmarkEnd w:id="25"/>
        </w:p>
      </w:tc>
      <w:tc>
        <w:tcPr>
          <w:tcW w:w="510" w:type="dxa"/>
        </w:tcPr>
        <w:p w:rsidR="00471B29" w:rsidRDefault="00471B29" w:rsidP="00C73D07">
          <w:pPr>
            <w:pStyle w:val="Footer"/>
          </w:pPr>
        </w:p>
      </w:tc>
    </w:tr>
  </w:tbl>
  <w:p w:rsidR="00471B29" w:rsidRDefault="00471B29" w:rsidP="00C73D07">
    <w:pPr>
      <w:pStyle w:val="FooterEnd"/>
    </w:pPr>
  </w:p>
  <w:p w:rsidR="00471B29" w:rsidRDefault="00471B29" w:rsidP="00C73D07">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1B29" w:rsidTr="00C73D07">
      <w:trPr>
        <w:trHeight w:hRule="exact" w:val="567"/>
      </w:trPr>
      <w:tc>
        <w:tcPr>
          <w:tcW w:w="510" w:type="dxa"/>
        </w:tcPr>
        <w:p w:rsidR="00471B29" w:rsidRDefault="00471B29">
          <w:pPr>
            <w:pStyle w:val="Footer"/>
            <w:ind w:right="360" w:firstLine="360"/>
          </w:pPr>
        </w:p>
      </w:tc>
      <w:tc>
        <w:tcPr>
          <w:tcW w:w="7767" w:type="dxa"/>
        </w:tcPr>
        <w:p w:rsidR="00471B29" w:rsidRPr="00BA5B14" w:rsidRDefault="000278C8" w:rsidP="001D1C53">
          <w:pPr>
            <w:pStyle w:val="Footer"/>
            <w:jc w:val="right"/>
            <w:rPr>
              <w:rFonts w:cs="Arial"/>
            </w:rPr>
          </w:pPr>
          <w:r>
            <w:t>Using real expenditure to assess policy impacts</w:t>
          </w:r>
        </w:p>
      </w:tc>
      <w:tc>
        <w:tcPr>
          <w:tcW w:w="510" w:type="dxa"/>
        </w:tcPr>
        <w:p w:rsidR="00471B29" w:rsidRPr="00A24443" w:rsidRDefault="00471B2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46F2">
            <w:rPr>
              <w:rStyle w:val="PageNumber"/>
              <w:caps w:val="0"/>
              <w:noProof/>
            </w:rPr>
            <w:t>19</w:t>
          </w:r>
          <w:r w:rsidRPr="00A24443">
            <w:rPr>
              <w:rStyle w:val="PageNumber"/>
              <w:caps w:val="0"/>
            </w:rPr>
            <w:fldChar w:fldCharType="end"/>
          </w:r>
        </w:p>
      </w:tc>
    </w:tr>
  </w:tbl>
  <w:p w:rsidR="00471B29" w:rsidRDefault="00471B29">
    <w:pPr>
      <w:pStyle w:val="FooterEnd"/>
    </w:pPr>
  </w:p>
  <w:p w:rsidR="00471B29" w:rsidRDefault="00471B29">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29" w:rsidRDefault="00471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29" w:rsidRDefault="00471B29" w:rsidP="00BE6707">
      <w:r>
        <w:separator/>
      </w:r>
    </w:p>
  </w:footnote>
  <w:footnote w:type="continuationSeparator" w:id="0">
    <w:p w:rsidR="00471B29" w:rsidRDefault="00471B29" w:rsidP="00BE6707">
      <w:r>
        <w:continuationSeparator/>
      </w:r>
    </w:p>
  </w:footnote>
  <w:footnote w:id="1">
    <w:p w:rsidR="00471B29" w:rsidRDefault="00471B29" w:rsidP="00BE6707">
      <w:pPr>
        <w:pStyle w:val="FootnoteText"/>
      </w:pPr>
      <w:r>
        <w:rPr>
          <w:rStyle w:val="FootnoteReference"/>
        </w:rPr>
        <w:t>*</w:t>
      </w:r>
      <w:r>
        <w:tab/>
      </w:r>
      <w:r w:rsidRPr="002163EC">
        <w:t xml:space="preserve">The author is grateful to Patrick </w:t>
      </w:r>
      <w:proofErr w:type="spellStart"/>
      <w:r w:rsidRPr="002163EC">
        <w:t>Jomini</w:t>
      </w:r>
      <w:proofErr w:type="spellEnd"/>
      <w:r>
        <w:t xml:space="preserve"> and Tim Murray</w:t>
      </w:r>
      <w:r w:rsidRPr="002163EC">
        <w:t xml:space="preserve"> for </w:t>
      </w:r>
      <w:r>
        <w:t xml:space="preserve">helpful </w:t>
      </w:r>
      <w:r w:rsidRPr="002163EC">
        <w:t>comments</w:t>
      </w:r>
      <w:r>
        <w:t xml:space="preserve"> and discussions.</w:t>
      </w:r>
      <w:r w:rsidRPr="002163EC">
        <w:t xml:space="preserve"> </w:t>
      </w:r>
      <w:r w:rsidRPr="00A42583">
        <w:t>The views expressed here are the author’s only and do not necessarily reflect those of the Productivity Commission.</w:t>
      </w:r>
      <w:r>
        <w:t xml:space="preserve"> Correspondence: </w:t>
      </w:r>
      <w:proofErr w:type="spellStart"/>
      <w:r>
        <w:t>xzhang@pc.gov.au</w:t>
      </w:r>
      <w:proofErr w:type="spellEnd"/>
      <w:r>
        <w:t>.</w:t>
      </w:r>
    </w:p>
  </w:footnote>
  <w:footnote w:id="2">
    <w:p w:rsidR="00471B29" w:rsidRDefault="00471B29" w:rsidP="00BE6707">
      <w:pPr>
        <w:pStyle w:val="FootnoteText"/>
      </w:pPr>
      <w:r w:rsidRPr="00E426ED">
        <w:rPr>
          <w:rStyle w:val="FootnoteReference"/>
        </w:rPr>
        <w:footnoteRef/>
      </w:r>
      <w:r>
        <w:tab/>
        <w:t xml:space="preserve">For example, the LINKAGE model uses an EV measure, derived from an </w:t>
      </w:r>
      <w:r w:rsidRPr="000E62C6">
        <w:t>extended linear expenditure system</w:t>
      </w:r>
      <w:r>
        <w:t xml:space="preserve"> (</w:t>
      </w:r>
      <w:proofErr w:type="spellStart"/>
      <w:r w:rsidRPr="000E62C6">
        <w:t>ELES</w:t>
      </w:r>
      <w:proofErr w:type="spellEnd"/>
      <w:r>
        <w:t>) (</w:t>
      </w:r>
      <w:r w:rsidRPr="003D2699">
        <w:t xml:space="preserve">van der </w:t>
      </w:r>
      <w:proofErr w:type="spellStart"/>
      <w:r w:rsidRPr="003D2699">
        <w:t>Mensbrugghe</w:t>
      </w:r>
      <w:proofErr w:type="spellEnd"/>
      <w:r w:rsidRPr="003D2699">
        <w:t xml:space="preserve"> 2005)</w:t>
      </w:r>
      <w:r>
        <w:t xml:space="preserve">. The MONASH model calculates a welfare measure as differences in the </w:t>
      </w:r>
      <w:proofErr w:type="spellStart"/>
      <w:r>
        <w:t>Laspeyres</w:t>
      </w:r>
      <w:proofErr w:type="spellEnd"/>
      <w:r>
        <w:t xml:space="preserve"> and </w:t>
      </w:r>
      <w:proofErr w:type="spellStart"/>
      <w:r>
        <w:t>Paasche</w:t>
      </w:r>
      <w:proofErr w:type="spellEnd"/>
      <w:r>
        <w:t xml:space="preserve"> indexes of real household expenditure (Dixon and </w:t>
      </w:r>
      <w:proofErr w:type="spellStart"/>
      <w:r>
        <w:t>Rimmer</w:t>
      </w:r>
      <w:proofErr w:type="spellEnd"/>
      <w:r>
        <w:t xml:space="preserve"> 2002).</w:t>
      </w:r>
    </w:p>
  </w:footnote>
  <w:footnote w:id="3">
    <w:p w:rsidR="00471B29" w:rsidRPr="003D2699" w:rsidRDefault="00471B29" w:rsidP="00BE6707">
      <w:pPr>
        <w:pStyle w:val="FootnoteText"/>
        <w:jc w:val="left"/>
      </w:pPr>
      <w:r w:rsidRPr="003D2699">
        <w:rPr>
          <w:rStyle w:val="FootnoteReference"/>
        </w:rPr>
        <w:footnoteRef/>
      </w:r>
      <w:r>
        <w:tab/>
      </w:r>
      <w:r w:rsidRPr="003D2699">
        <w:t>For example</w:t>
      </w:r>
      <w:r>
        <w:t xml:space="preserve">, the </w:t>
      </w:r>
      <w:proofErr w:type="spellStart"/>
      <w:r>
        <w:t>GTAP</w:t>
      </w:r>
      <w:proofErr w:type="spellEnd"/>
      <w:r>
        <w:t xml:space="preserve"> model uses an EV measure based on a utility function for a “super household” in each country; the utility function is a Cobb-Douglas function of real expenditure on private consumption, current public expenditure and net savings (</w:t>
      </w:r>
      <w:proofErr w:type="spellStart"/>
      <w:r>
        <w:t>Hertel</w:t>
      </w:r>
      <w:proofErr w:type="spellEnd"/>
      <w:r>
        <w:t xml:space="preserve"> 1997). </w:t>
      </w:r>
    </w:p>
  </w:footnote>
  <w:footnote w:id="4">
    <w:p w:rsidR="00471B29" w:rsidRPr="00D90CF0" w:rsidRDefault="00471B29" w:rsidP="00BE6707">
      <w:pPr>
        <w:pStyle w:val="FootnoteText"/>
      </w:pPr>
      <w:r w:rsidRPr="00D90CF0">
        <w:rPr>
          <w:rStyle w:val="FootnoteReference"/>
        </w:rPr>
        <w:footnoteRef/>
      </w:r>
      <w:r w:rsidR="000730B8">
        <w:tab/>
      </w:r>
      <w:proofErr w:type="spellStart"/>
      <w:r w:rsidRPr="00D90CF0">
        <w:t>GDA</w:t>
      </w:r>
      <w:proofErr w:type="spellEnd"/>
      <w:r w:rsidRPr="00D90CF0">
        <w:t xml:space="preserve"> is also referred to as gross </w:t>
      </w:r>
      <w:r>
        <w:t xml:space="preserve">national </w:t>
      </w:r>
      <w:r w:rsidRPr="00D90CF0">
        <w:t>expenditure (</w:t>
      </w:r>
      <w:proofErr w:type="spellStart"/>
      <w:r w:rsidRPr="00D90CF0">
        <w:t>GNE</w:t>
      </w:r>
      <w:proofErr w:type="spellEnd"/>
      <w:r w:rsidRPr="00D90CF0">
        <w:t>).</w:t>
      </w:r>
    </w:p>
  </w:footnote>
  <w:footnote w:id="5">
    <w:p w:rsidR="00471B29" w:rsidRDefault="00471B29">
      <w:pPr>
        <w:pStyle w:val="FootnoteText"/>
      </w:pPr>
      <w:r>
        <w:rPr>
          <w:rStyle w:val="FootnoteReference"/>
        </w:rPr>
        <w:footnoteRef/>
      </w:r>
      <w:r w:rsidR="000730B8">
        <w:tab/>
      </w:r>
      <w:r>
        <w:t>GNP is also referred to as gross national income (</w:t>
      </w:r>
      <w:proofErr w:type="spellStart"/>
      <w:r>
        <w:t>GNI</w:t>
      </w:r>
      <w:proofErr w:type="spellEnd"/>
      <w:r>
        <w:t>).</w:t>
      </w:r>
    </w:p>
  </w:footnote>
  <w:footnote w:id="6">
    <w:p w:rsidR="00471B29" w:rsidRPr="00352B95" w:rsidRDefault="00471B29" w:rsidP="00BE6707">
      <w:pPr>
        <w:pStyle w:val="FootnoteText"/>
        <w:jc w:val="left"/>
      </w:pPr>
      <w:r w:rsidRPr="00352B95">
        <w:rPr>
          <w:rStyle w:val="FootnoteReference"/>
        </w:rPr>
        <w:footnoteRef/>
      </w:r>
      <w:r w:rsidRPr="00352B95">
        <w:t xml:space="preserve"> </w:t>
      </w:r>
      <w:r w:rsidRPr="00352B95">
        <w:tab/>
        <w:t xml:space="preserve">This model </w:t>
      </w:r>
      <w:r>
        <w:t xml:space="preserve">was used to analyse the effects of various trade agreements for a report on </w:t>
      </w:r>
      <w:r w:rsidRPr="006C4B55">
        <w:rPr>
          <w:i/>
        </w:rPr>
        <w:t>Bilateral and regional trade agreements</w:t>
      </w:r>
      <w:r>
        <w:t xml:space="preserve"> (Productivity Commission </w:t>
      </w:r>
      <w:proofErr w:type="spellStart"/>
      <w:r>
        <w:t>2010a</w:t>
      </w:r>
      <w:proofErr w:type="spellEnd"/>
      <w:r>
        <w:t xml:space="preserve">). The details of the model and database are referred to the supplement to the report (Productivity Commission </w:t>
      </w:r>
      <w:proofErr w:type="spellStart"/>
      <w:r>
        <w:t>2010b</w:t>
      </w:r>
      <w:proofErr w:type="spellEnd"/>
      <w:r>
        <w:t>).</w:t>
      </w:r>
    </w:p>
  </w:footnote>
  <w:footnote w:id="7">
    <w:p w:rsidR="00471B29" w:rsidRPr="00C3262B" w:rsidRDefault="00471B29" w:rsidP="000730B8">
      <w:pPr>
        <w:pStyle w:val="FootnoteText"/>
        <w:jc w:val="left"/>
      </w:pPr>
      <w:r w:rsidRPr="00C3262B">
        <w:rPr>
          <w:rStyle w:val="FootnoteReference"/>
        </w:rPr>
        <w:footnoteRef/>
      </w:r>
      <w:r w:rsidRPr="00C3262B">
        <w:t xml:space="preserve"> </w:t>
      </w:r>
      <w:r>
        <w:tab/>
        <w:t xml:space="preserve">The </w:t>
      </w:r>
      <w:r w:rsidRPr="00C3262B">
        <w:t>IMF</w:t>
      </w:r>
      <w:r>
        <w:t>’s</w:t>
      </w:r>
      <w:r w:rsidRPr="00C3262B">
        <w:t xml:space="preserve"> </w:t>
      </w:r>
      <w:r>
        <w:t>f</w:t>
      </w:r>
      <w:r w:rsidRPr="000E1241">
        <w:t xml:space="preserve">inancial </w:t>
      </w:r>
      <w:r>
        <w:t>s</w:t>
      </w:r>
      <w:r w:rsidRPr="000E1241">
        <w:t>tatistics</w:t>
      </w:r>
      <w:r>
        <w:t xml:space="preserve"> provide</w:t>
      </w:r>
      <w:r w:rsidRPr="00C3262B">
        <w:t xml:space="preserve"> </w:t>
      </w:r>
      <w:r>
        <w:t xml:space="preserve">foreign investment flow and stock data (column totals), while the </w:t>
      </w:r>
      <w:proofErr w:type="spellStart"/>
      <w:r>
        <w:t>GTAP</w:t>
      </w:r>
      <w:proofErr w:type="spellEnd"/>
      <w:r>
        <w:t xml:space="preserve"> database provides national saving data (row totals)</w:t>
      </w:r>
      <w:r w:rsidRPr="00C3262B">
        <w:t xml:space="preserve">. Bilateral elements are extrapolated </w:t>
      </w:r>
      <w:r>
        <w:t xml:space="preserve">using shares </w:t>
      </w:r>
      <w:r w:rsidRPr="00C3262B">
        <w:t xml:space="preserve">from bilateral </w:t>
      </w:r>
      <w:proofErr w:type="spellStart"/>
      <w:r w:rsidRPr="00C3262B">
        <w:t>FDI</w:t>
      </w:r>
      <w:proofErr w:type="spellEnd"/>
      <w:r w:rsidRPr="00C3262B">
        <w:t xml:space="preserve"> as reported in </w:t>
      </w:r>
      <w:proofErr w:type="spellStart"/>
      <w:r w:rsidRPr="00C3262B">
        <w:t>CEPII</w:t>
      </w:r>
      <w:proofErr w:type="spellEnd"/>
      <w:r w:rsidRPr="00C3262B">
        <w:t xml:space="preserve">. </w:t>
      </w:r>
      <w:r>
        <w:t xml:space="preserve">For details, see Productivity Commission </w:t>
      </w:r>
      <w:proofErr w:type="spellStart"/>
      <w:r>
        <w:t>2010b</w:t>
      </w:r>
      <w:proofErr w:type="spellEnd"/>
      <w:r>
        <w:t>.</w:t>
      </w:r>
    </w:p>
  </w:footnote>
  <w:footnote w:id="8">
    <w:p w:rsidR="00471B29" w:rsidRPr="00FB336A" w:rsidRDefault="00471B29" w:rsidP="00BE6707">
      <w:pPr>
        <w:pStyle w:val="FootnoteText"/>
        <w:jc w:val="left"/>
      </w:pPr>
      <w:r w:rsidRPr="00FB336A">
        <w:rPr>
          <w:rStyle w:val="FootnoteReference"/>
        </w:rPr>
        <w:footnoteRef/>
      </w:r>
      <w:r w:rsidRPr="00FB336A">
        <w:t xml:space="preserve"> </w:t>
      </w:r>
      <w:r>
        <w:tab/>
        <w:t xml:space="preserve">A version of this model was used in a research report on </w:t>
      </w:r>
      <w:r w:rsidRPr="00FB336A">
        <w:rPr>
          <w:i/>
        </w:rPr>
        <w:t>Rising protectionism: challenges, threats and opportunities for Australia</w:t>
      </w:r>
      <w:r>
        <w:t xml:space="preserve"> (Productivity Commission </w:t>
      </w:r>
      <w:proofErr w:type="spellStart"/>
      <w:r>
        <w:t>2017a</w:t>
      </w:r>
      <w:proofErr w:type="spellEnd"/>
      <w:r>
        <w:t xml:space="preserve">). The details of the model and database are found in the technical supplement (Productivity Commission </w:t>
      </w:r>
      <w:proofErr w:type="spellStart"/>
      <w:r>
        <w:t>2017b</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71B29" w:rsidTr="00471B29">
      <w:tc>
        <w:tcPr>
          <w:tcW w:w="2155" w:type="dxa"/>
          <w:tcBorders>
            <w:top w:val="single" w:sz="24" w:space="0" w:color="auto"/>
          </w:tcBorders>
        </w:tcPr>
        <w:p w:rsidR="00471B29" w:rsidRDefault="00471B29" w:rsidP="00471B29">
          <w:pPr>
            <w:pStyle w:val="HeaderEven"/>
          </w:pPr>
        </w:p>
      </w:tc>
      <w:tc>
        <w:tcPr>
          <w:tcW w:w="6634" w:type="dxa"/>
          <w:tcBorders>
            <w:top w:val="single" w:sz="6" w:space="0" w:color="auto"/>
          </w:tcBorders>
        </w:tcPr>
        <w:p w:rsidR="00471B29" w:rsidRDefault="00471B29" w:rsidP="00471B29">
          <w:pPr>
            <w:pStyle w:val="HeaderEven"/>
          </w:pPr>
        </w:p>
      </w:tc>
    </w:tr>
  </w:tbl>
  <w:p w:rsidR="00471B29" w:rsidRDefault="00471B29" w:rsidP="00471B29">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71B29">
      <w:tc>
        <w:tcPr>
          <w:tcW w:w="6634" w:type="dxa"/>
          <w:tcBorders>
            <w:top w:val="single" w:sz="6" w:space="0" w:color="auto"/>
          </w:tcBorders>
        </w:tcPr>
        <w:p w:rsidR="00471B29" w:rsidRDefault="00471B29">
          <w:pPr>
            <w:pStyle w:val="HeaderOdd"/>
          </w:pPr>
        </w:p>
      </w:tc>
      <w:tc>
        <w:tcPr>
          <w:tcW w:w="2155" w:type="dxa"/>
          <w:tcBorders>
            <w:top w:val="single" w:sz="24" w:space="0" w:color="auto"/>
          </w:tcBorders>
        </w:tcPr>
        <w:p w:rsidR="00471B29" w:rsidRDefault="00471B29">
          <w:pPr>
            <w:pStyle w:val="HeaderOdd"/>
          </w:pPr>
        </w:p>
      </w:tc>
    </w:tr>
  </w:tbl>
  <w:p w:rsidR="00471B29" w:rsidRDefault="00471B29" w:rsidP="00471B29">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471B29">
      <w:tc>
        <w:tcPr>
          <w:tcW w:w="2155" w:type="dxa"/>
          <w:tcBorders>
            <w:top w:val="single" w:sz="24" w:space="0" w:color="auto"/>
          </w:tcBorders>
        </w:tcPr>
        <w:p w:rsidR="00471B29" w:rsidRDefault="00471B29" w:rsidP="00C73D07">
          <w:pPr>
            <w:pStyle w:val="HeaderEven"/>
          </w:pPr>
        </w:p>
      </w:tc>
      <w:tc>
        <w:tcPr>
          <w:tcW w:w="6634" w:type="dxa"/>
          <w:tcBorders>
            <w:top w:val="single" w:sz="6" w:space="0" w:color="auto"/>
          </w:tcBorders>
        </w:tcPr>
        <w:p w:rsidR="00471B29" w:rsidRDefault="00471B29" w:rsidP="00C73D07">
          <w:pPr>
            <w:pStyle w:val="HeaderEven"/>
          </w:pPr>
        </w:p>
      </w:tc>
    </w:tr>
  </w:tbl>
  <w:p w:rsidR="00471B29" w:rsidRDefault="00471B29" w:rsidP="00C73D07">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71B29">
      <w:tc>
        <w:tcPr>
          <w:tcW w:w="6634" w:type="dxa"/>
          <w:tcBorders>
            <w:top w:val="single" w:sz="6" w:space="0" w:color="auto"/>
          </w:tcBorders>
        </w:tcPr>
        <w:p w:rsidR="00471B29" w:rsidRDefault="00471B29" w:rsidP="00C73D07">
          <w:pPr>
            <w:pStyle w:val="HeaderOdd"/>
          </w:pPr>
        </w:p>
      </w:tc>
      <w:tc>
        <w:tcPr>
          <w:tcW w:w="2155" w:type="dxa"/>
          <w:tcBorders>
            <w:top w:val="single" w:sz="24" w:space="0" w:color="auto"/>
          </w:tcBorders>
        </w:tcPr>
        <w:p w:rsidR="00471B29" w:rsidRDefault="00471B29" w:rsidP="00C73D07">
          <w:pPr>
            <w:pStyle w:val="HeaderOdd"/>
          </w:pPr>
        </w:p>
      </w:tc>
    </w:tr>
  </w:tbl>
  <w:p w:rsidR="00471B29" w:rsidRDefault="00471B29" w:rsidP="00C73D07">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29" w:rsidRDefault="00471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A5444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112E0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6087F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38091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F65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93EFB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B546D1"/>
    <w:multiLevelType w:val="hybridMultilevel"/>
    <w:tmpl w:val="7F0A41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15:restartNumberingAfterBreak="0">
    <w:nsid w:val="0CEE3739"/>
    <w:multiLevelType w:val="hybridMultilevel"/>
    <w:tmpl w:val="AFC0F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5"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15:restartNumberingAfterBreak="0">
    <w:nsid w:val="268C71EF"/>
    <w:multiLevelType w:val="hybridMultilevel"/>
    <w:tmpl w:val="9474B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15:restartNumberingAfterBreak="0">
    <w:nsid w:val="42404AC9"/>
    <w:multiLevelType w:val="hybridMultilevel"/>
    <w:tmpl w:val="770467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CF156E"/>
    <w:multiLevelType w:val="hybridMultilevel"/>
    <w:tmpl w:val="B12429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9" w15:restartNumberingAfterBreak="0">
    <w:nsid w:val="669D694E"/>
    <w:multiLevelType w:val="hybridMultilevel"/>
    <w:tmpl w:val="73340188"/>
    <w:lvl w:ilvl="0" w:tplc="9B1C1838">
      <w:start w:val="1"/>
      <w:numFmt w:val="upp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0" w15:restartNumberingAfterBreak="0">
    <w:nsid w:val="6BA90D1E"/>
    <w:multiLevelType w:val="hybridMultilevel"/>
    <w:tmpl w:val="BE1858C2"/>
    <w:lvl w:ilvl="0" w:tplc="0C64D1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10"/>
  </w:num>
  <w:num w:numId="3">
    <w:abstractNumId w:val="2"/>
  </w:num>
  <w:num w:numId="4">
    <w:abstractNumId w:val="28"/>
  </w:num>
  <w:num w:numId="5">
    <w:abstractNumId w:val="25"/>
  </w:num>
  <w:num w:numId="6">
    <w:abstractNumId w:val="12"/>
  </w:num>
  <w:num w:numId="7">
    <w:abstractNumId w:val="12"/>
  </w:num>
  <w:num w:numId="8">
    <w:abstractNumId w:val="18"/>
  </w:num>
  <w:num w:numId="9">
    <w:abstractNumId w:val="31"/>
  </w:num>
  <w:num w:numId="10">
    <w:abstractNumId w:val="5"/>
  </w:num>
  <w:num w:numId="11">
    <w:abstractNumId w:val="22"/>
  </w:num>
  <w:num w:numId="12">
    <w:abstractNumId w:val="21"/>
  </w:num>
  <w:num w:numId="13">
    <w:abstractNumId w:val="8"/>
  </w:num>
  <w:num w:numId="14">
    <w:abstractNumId w:val="26"/>
  </w:num>
  <w:num w:numId="15">
    <w:abstractNumId w:val="15"/>
  </w:num>
  <w:num w:numId="16">
    <w:abstractNumId w:val="3"/>
  </w:num>
  <w:num w:numId="17">
    <w:abstractNumId w:val="9"/>
  </w:num>
  <w:num w:numId="18">
    <w:abstractNumId w:val="4"/>
  </w:num>
  <w:num w:numId="19">
    <w:abstractNumId w:val="13"/>
  </w:num>
  <w:num w:numId="20">
    <w:abstractNumId w:val="1"/>
  </w:num>
  <w:num w:numId="21">
    <w:abstractNumId w:val="13"/>
  </w:num>
  <w:num w:numId="22">
    <w:abstractNumId w:val="0"/>
  </w:num>
  <w:num w:numId="23">
    <w:abstractNumId w:val="13"/>
  </w:num>
  <w:num w:numId="24">
    <w:abstractNumId w:val="24"/>
  </w:num>
  <w:num w:numId="25">
    <w:abstractNumId w:val="32"/>
  </w:num>
  <w:num w:numId="26">
    <w:abstractNumId w:val="16"/>
  </w:num>
  <w:num w:numId="27">
    <w:abstractNumId w:val="9"/>
  </w:num>
  <w:num w:numId="28">
    <w:abstractNumId w:val="14"/>
  </w:num>
  <w:num w:numId="29">
    <w:abstractNumId w:val="23"/>
  </w:num>
  <w:num w:numId="30">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1">
    <w:abstractNumId w:val="17"/>
  </w:num>
  <w:num w:numId="32">
    <w:abstractNumId w:val="30"/>
  </w:num>
  <w:num w:numId="33">
    <w:abstractNumId w:val="30"/>
    <w:lvlOverride w:ilvl="0">
      <w:lvl w:ilvl="0" w:tplc="0C64D1F2">
        <w:start w:val="1"/>
        <w:numFmt w:val="decimal"/>
        <w:lvlText w:val="%1."/>
        <w:lvlJc w:val="left"/>
        <w:pPr>
          <w:ind w:left="72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num>
  <w:num w:numId="37">
    <w:abstractNumId w:val="7"/>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07"/>
    <w:rsid w:val="00001038"/>
    <w:rsid w:val="000146F2"/>
    <w:rsid w:val="000278C8"/>
    <w:rsid w:val="000372D7"/>
    <w:rsid w:val="000730B8"/>
    <w:rsid w:val="00075526"/>
    <w:rsid w:val="0009359A"/>
    <w:rsid w:val="000C534A"/>
    <w:rsid w:val="000C55A5"/>
    <w:rsid w:val="000D16EE"/>
    <w:rsid w:val="000D7289"/>
    <w:rsid w:val="000E1241"/>
    <w:rsid w:val="000E6F44"/>
    <w:rsid w:val="000F242F"/>
    <w:rsid w:val="00101CB8"/>
    <w:rsid w:val="001254AD"/>
    <w:rsid w:val="001376AD"/>
    <w:rsid w:val="00167AC4"/>
    <w:rsid w:val="0018249B"/>
    <w:rsid w:val="001865A5"/>
    <w:rsid w:val="001A15BA"/>
    <w:rsid w:val="001D1C53"/>
    <w:rsid w:val="001F7F68"/>
    <w:rsid w:val="00211D60"/>
    <w:rsid w:val="002163EC"/>
    <w:rsid w:val="00222387"/>
    <w:rsid w:val="00252D9D"/>
    <w:rsid w:val="00255E6B"/>
    <w:rsid w:val="00260A55"/>
    <w:rsid w:val="00264C3A"/>
    <w:rsid w:val="002672E5"/>
    <w:rsid w:val="002759FC"/>
    <w:rsid w:val="00280E36"/>
    <w:rsid w:val="002A6233"/>
    <w:rsid w:val="002B1F0A"/>
    <w:rsid w:val="002D3CCB"/>
    <w:rsid w:val="002E177A"/>
    <w:rsid w:val="003159E2"/>
    <w:rsid w:val="003449B3"/>
    <w:rsid w:val="003741C7"/>
    <w:rsid w:val="00375473"/>
    <w:rsid w:val="00384367"/>
    <w:rsid w:val="003B27AF"/>
    <w:rsid w:val="003C63A0"/>
    <w:rsid w:val="003D6273"/>
    <w:rsid w:val="003F449C"/>
    <w:rsid w:val="003F7D44"/>
    <w:rsid w:val="004172EA"/>
    <w:rsid w:val="00443E79"/>
    <w:rsid w:val="0046042B"/>
    <w:rsid w:val="00471B29"/>
    <w:rsid w:val="00487D33"/>
    <w:rsid w:val="004943BE"/>
    <w:rsid w:val="004951DA"/>
    <w:rsid w:val="004953BB"/>
    <w:rsid w:val="004D4637"/>
    <w:rsid w:val="004E59E3"/>
    <w:rsid w:val="004F3C05"/>
    <w:rsid w:val="0050337D"/>
    <w:rsid w:val="00505849"/>
    <w:rsid w:val="005156C0"/>
    <w:rsid w:val="005273FE"/>
    <w:rsid w:val="00534C29"/>
    <w:rsid w:val="0055677E"/>
    <w:rsid w:val="00584BF3"/>
    <w:rsid w:val="00587CDA"/>
    <w:rsid w:val="005921EA"/>
    <w:rsid w:val="005A6D5B"/>
    <w:rsid w:val="005D1C59"/>
    <w:rsid w:val="005D46F2"/>
    <w:rsid w:val="005E1043"/>
    <w:rsid w:val="005E2BB8"/>
    <w:rsid w:val="005E6DE9"/>
    <w:rsid w:val="00601F29"/>
    <w:rsid w:val="006020BB"/>
    <w:rsid w:val="0060522D"/>
    <w:rsid w:val="00606A9D"/>
    <w:rsid w:val="00615645"/>
    <w:rsid w:val="00621631"/>
    <w:rsid w:val="00643523"/>
    <w:rsid w:val="00672EDE"/>
    <w:rsid w:val="00697F9E"/>
    <w:rsid w:val="006A4B4A"/>
    <w:rsid w:val="006A574F"/>
    <w:rsid w:val="00733C6A"/>
    <w:rsid w:val="00735A9B"/>
    <w:rsid w:val="007626DE"/>
    <w:rsid w:val="00781B1F"/>
    <w:rsid w:val="00790D48"/>
    <w:rsid w:val="007A5E92"/>
    <w:rsid w:val="007D1A90"/>
    <w:rsid w:val="007D4868"/>
    <w:rsid w:val="007E5055"/>
    <w:rsid w:val="007E7640"/>
    <w:rsid w:val="007F3314"/>
    <w:rsid w:val="00810D12"/>
    <w:rsid w:val="00814189"/>
    <w:rsid w:val="00824933"/>
    <w:rsid w:val="00826158"/>
    <w:rsid w:val="00836822"/>
    <w:rsid w:val="008949C5"/>
    <w:rsid w:val="008D49D0"/>
    <w:rsid w:val="00901F41"/>
    <w:rsid w:val="009378D2"/>
    <w:rsid w:val="0095552E"/>
    <w:rsid w:val="00962B28"/>
    <w:rsid w:val="00977DC2"/>
    <w:rsid w:val="009814CF"/>
    <w:rsid w:val="0098716B"/>
    <w:rsid w:val="009C4687"/>
    <w:rsid w:val="009E160C"/>
    <w:rsid w:val="009E6943"/>
    <w:rsid w:val="009F12D1"/>
    <w:rsid w:val="009F7BC7"/>
    <w:rsid w:val="00A0258E"/>
    <w:rsid w:val="00A211B4"/>
    <w:rsid w:val="00A559DF"/>
    <w:rsid w:val="00A564D3"/>
    <w:rsid w:val="00AA15D7"/>
    <w:rsid w:val="00AB3F9D"/>
    <w:rsid w:val="00AD4F2B"/>
    <w:rsid w:val="00AE4390"/>
    <w:rsid w:val="00B224B0"/>
    <w:rsid w:val="00B2763E"/>
    <w:rsid w:val="00B30062"/>
    <w:rsid w:val="00B531D1"/>
    <w:rsid w:val="00BC5966"/>
    <w:rsid w:val="00BE6707"/>
    <w:rsid w:val="00BE74D3"/>
    <w:rsid w:val="00C309DC"/>
    <w:rsid w:val="00C4559B"/>
    <w:rsid w:val="00C530B6"/>
    <w:rsid w:val="00C73D07"/>
    <w:rsid w:val="00C740FA"/>
    <w:rsid w:val="00C96CE9"/>
    <w:rsid w:val="00CA1FE0"/>
    <w:rsid w:val="00CD1B9A"/>
    <w:rsid w:val="00CE08EB"/>
    <w:rsid w:val="00CE4503"/>
    <w:rsid w:val="00D164A1"/>
    <w:rsid w:val="00D23729"/>
    <w:rsid w:val="00D2435B"/>
    <w:rsid w:val="00D54EC7"/>
    <w:rsid w:val="00D556EF"/>
    <w:rsid w:val="00D56966"/>
    <w:rsid w:val="00D73F46"/>
    <w:rsid w:val="00D97F08"/>
    <w:rsid w:val="00DA161A"/>
    <w:rsid w:val="00DB2029"/>
    <w:rsid w:val="00DD2137"/>
    <w:rsid w:val="00DE0F25"/>
    <w:rsid w:val="00E02A56"/>
    <w:rsid w:val="00E141CD"/>
    <w:rsid w:val="00E43EE8"/>
    <w:rsid w:val="00E777C4"/>
    <w:rsid w:val="00E82161"/>
    <w:rsid w:val="00E867DA"/>
    <w:rsid w:val="00EA4A5B"/>
    <w:rsid w:val="00EB5659"/>
    <w:rsid w:val="00EC4992"/>
    <w:rsid w:val="00EC791B"/>
    <w:rsid w:val="00EF1DF7"/>
    <w:rsid w:val="00F07D56"/>
    <w:rsid w:val="00F27C75"/>
    <w:rsid w:val="00F449E9"/>
    <w:rsid w:val="00F529A6"/>
    <w:rsid w:val="00F5385D"/>
    <w:rsid w:val="00F6298B"/>
    <w:rsid w:val="00F6638A"/>
    <w:rsid w:val="00F747E0"/>
    <w:rsid w:val="00FA68B6"/>
    <w:rsid w:val="00FD0036"/>
    <w:rsid w:val="00FD1075"/>
    <w:rsid w:val="00FE3052"/>
    <w:rsid w:val="00FE4E50"/>
    <w:rsid w:val="00FF7B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F931602-25B2-4451-A24A-58880E8D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670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qFormat/>
    <w:rsid w:val="006A574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6A574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6A574F"/>
    <w:pPr>
      <w:spacing w:before="560" w:line="320" w:lineRule="exact"/>
      <w:ind w:left="0" w:firstLine="0"/>
      <w:outlineLvl w:val="2"/>
    </w:pPr>
    <w:rPr>
      <w:sz w:val="26"/>
    </w:rPr>
  </w:style>
  <w:style w:type="paragraph" w:styleId="Heading4">
    <w:name w:val="heading 4"/>
    <w:basedOn w:val="Heading3"/>
    <w:next w:val="BodyText"/>
    <w:link w:val="Heading4Char"/>
    <w:qFormat/>
    <w:rsid w:val="006A574F"/>
    <w:pPr>
      <w:spacing w:before="480"/>
      <w:outlineLvl w:val="3"/>
    </w:pPr>
    <w:rPr>
      <w:b w:val="0"/>
      <w:sz w:val="24"/>
    </w:rPr>
  </w:style>
  <w:style w:type="paragraph" w:styleId="Heading5">
    <w:name w:val="heading 5"/>
    <w:basedOn w:val="Heading4"/>
    <w:next w:val="BodyText"/>
    <w:link w:val="Heading5Char"/>
    <w:qFormat/>
    <w:rsid w:val="006A574F"/>
    <w:pPr>
      <w:outlineLvl w:val="4"/>
    </w:pPr>
    <w:rPr>
      <w:i/>
      <w:sz w:val="22"/>
    </w:rPr>
  </w:style>
  <w:style w:type="paragraph" w:styleId="Heading6">
    <w:name w:val="heading 6"/>
    <w:basedOn w:val="BodyText"/>
    <w:next w:val="BodyText"/>
    <w:link w:val="Heading6Char"/>
    <w:qFormat/>
    <w:rsid w:val="006A574F"/>
    <w:pPr>
      <w:spacing w:after="60"/>
      <w:jc w:val="left"/>
      <w:outlineLvl w:val="5"/>
    </w:pPr>
    <w:rPr>
      <w:i/>
      <w:sz w:val="22"/>
    </w:rPr>
  </w:style>
  <w:style w:type="paragraph" w:styleId="Heading7">
    <w:name w:val="heading 7"/>
    <w:basedOn w:val="BodyText"/>
    <w:next w:val="BodyText"/>
    <w:link w:val="Heading7Char"/>
    <w:qFormat/>
    <w:rsid w:val="006A574F"/>
    <w:pPr>
      <w:spacing w:after="60" w:line="240" w:lineRule="auto"/>
      <w:jc w:val="left"/>
      <w:outlineLvl w:val="6"/>
    </w:pPr>
    <w:rPr>
      <w:rFonts w:ascii="Arial" w:hAnsi="Arial"/>
      <w:sz w:val="20"/>
    </w:rPr>
  </w:style>
  <w:style w:type="paragraph" w:styleId="Heading8">
    <w:name w:val="heading 8"/>
    <w:basedOn w:val="BodyText"/>
    <w:next w:val="BodyText"/>
    <w:link w:val="Heading8Char"/>
    <w:qFormat/>
    <w:rsid w:val="006A574F"/>
    <w:pPr>
      <w:spacing w:after="60" w:line="240" w:lineRule="auto"/>
      <w:jc w:val="left"/>
      <w:outlineLvl w:val="7"/>
    </w:pPr>
    <w:rPr>
      <w:rFonts w:ascii="Arial" w:hAnsi="Arial"/>
      <w:i/>
      <w:sz w:val="20"/>
    </w:rPr>
  </w:style>
  <w:style w:type="paragraph" w:styleId="Heading9">
    <w:name w:val="heading 9"/>
    <w:basedOn w:val="BodyText"/>
    <w:next w:val="BodyText"/>
    <w:link w:val="Heading9Char"/>
    <w:qFormat/>
    <w:rsid w:val="006A574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574F"/>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6A574F"/>
    <w:rPr>
      <w:rFonts w:ascii="Times New Roman" w:eastAsia="Times New Roman" w:hAnsi="Times New Roman" w:cs="Times New Roman"/>
      <w:sz w:val="24"/>
      <w:szCs w:val="20"/>
      <w:lang w:eastAsia="en-AU"/>
    </w:rPr>
  </w:style>
  <w:style w:type="paragraph" w:customStyle="1" w:styleId="Abbreviation">
    <w:name w:val="Abbreviation"/>
    <w:basedOn w:val="BodyText"/>
    <w:rsid w:val="006A574F"/>
    <w:pPr>
      <w:spacing w:before="120"/>
      <w:ind w:left="2381" w:hanging="2381"/>
      <w:jc w:val="left"/>
    </w:pPr>
  </w:style>
  <w:style w:type="paragraph" w:styleId="BalloonText">
    <w:name w:val="Balloon Text"/>
    <w:basedOn w:val="Normal"/>
    <w:link w:val="BalloonTextChar"/>
    <w:rsid w:val="006A574F"/>
    <w:rPr>
      <w:rFonts w:ascii="Tahoma" w:hAnsi="Tahoma" w:cs="Tahoma"/>
      <w:sz w:val="16"/>
      <w:szCs w:val="16"/>
    </w:rPr>
  </w:style>
  <w:style w:type="character" w:customStyle="1" w:styleId="BalloonTextChar">
    <w:name w:val="Balloon Text Char"/>
    <w:basedOn w:val="DefaultParagraphFont"/>
    <w:link w:val="BalloonText"/>
    <w:rsid w:val="006A574F"/>
    <w:rPr>
      <w:rFonts w:ascii="Tahoma" w:eastAsia="Times New Roman" w:hAnsi="Tahoma" w:cs="Tahoma"/>
      <w:sz w:val="16"/>
      <w:szCs w:val="16"/>
      <w:lang w:eastAsia="en-AU"/>
    </w:rPr>
  </w:style>
  <w:style w:type="paragraph" w:customStyle="1" w:styleId="Box">
    <w:name w:val="Box"/>
    <w:basedOn w:val="BodyText"/>
    <w:qFormat/>
    <w:rsid w:val="006A574F"/>
    <w:pPr>
      <w:keepNext/>
      <w:spacing w:before="120" w:line="260" w:lineRule="atLeast"/>
    </w:pPr>
    <w:rPr>
      <w:rFonts w:ascii="Arial" w:hAnsi="Arial"/>
      <w:sz w:val="20"/>
    </w:rPr>
  </w:style>
  <w:style w:type="paragraph" w:customStyle="1" w:styleId="BoxContinued">
    <w:name w:val="Box Continued"/>
    <w:basedOn w:val="BodyText"/>
    <w:next w:val="BodyText"/>
    <w:semiHidden/>
    <w:rsid w:val="006A574F"/>
    <w:pPr>
      <w:spacing w:before="180" w:line="220" w:lineRule="exact"/>
      <w:jc w:val="right"/>
    </w:pPr>
    <w:rPr>
      <w:rFonts w:ascii="Arial" w:hAnsi="Arial"/>
      <w:sz w:val="18"/>
    </w:rPr>
  </w:style>
  <w:style w:type="paragraph" w:customStyle="1" w:styleId="BoxHeading1">
    <w:name w:val="Box Heading 1"/>
    <w:basedOn w:val="BodyText"/>
    <w:next w:val="Box"/>
    <w:rsid w:val="006A574F"/>
    <w:pPr>
      <w:keepNext/>
      <w:spacing w:before="200" w:line="280" w:lineRule="atLeast"/>
    </w:pPr>
    <w:rPr>
      <w:rFonts w:ascii="Arial" w:hAnsi="Arial"/>
      <w:b/>
      <w:sz w:val="22"/>
    </w:rPr>
  </w:style>
  <w:style w:type="paragraph" w:customStyle="1" w:styleId="BoxHeading2">
    <w:name w:val="Box Heading 2"/>
    <w:basedOn w:val="BoxHeading1"/>
    <w:next w:val="Normal"/>
    <w:rsid w:val="006A574F"/>
    <w:rPr>
      <w:b w:val="0"/>
      <w:i/>
    </w:rPr>
  </w:style>
  <w:style w:type="paragraph" w:customStyle="1" w:styleId="BoxListBullet">
    <w:name w:val="Box List Bullet"/>
    <w:basedOn w:val="BodyText"/>
    <w:rsid w:val="006A574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6A574F"/>
    <w:pPr>
      <w:numPr>
        <w:numId w:val="2"/>
      </w:numPr>
    </w:pPr>
  </w:style>
  <w:style w:type="paragraph" w:styleId="ListBullet3">
    <w:name w:val="List Bullet 3"/>
    <w:basedOn w:val="BodyText"/>
    <w:rsid w:val="006A574F"/>
    <w:pPr>
      <w:numPr>
        <w:numId w:val="4"/>
      </w:numPr>
      <w:spacing w:before="120"/>
    </w:pPr>
  </w:style>
  <w:style w:type="paragraph" w:customStyle="1" w:styleId="BoxListBullet3">
    <w:name w:val="Box List Bullet 3"/>
    <w:basedOn w:val="ListBullet3"/>
    <w:rsid w:val="006A574F"/>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6A574F"/>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6A574F"/>
    <w:pPr>
      <w:numPr>
        <w:ilvl w:val="1"/>
      </w:numPr>
    </w:pPr>
  </w:style>
  <w:style w:type="paragraph" w:customStyle="1" w:styleId="BoxQuote">
    <w:name w:val="Box Quote"/>
    <w:basedOn w:val="BodyText"/>
    <w:next w:val="Box"/>
    <w:qFormat/>
    <w:rsid w:val="006A574F"/>
    <w:pPr>
      <w:keepNext/>
      <w:spacing w:before="60" w:line="240" w:lineRule="exact"/>
      <w:ind w:left="284"/>
    </w:pPr>
    <w:rPr>
      <w:rFonts w:ascii="Arial" w:hAnsi="Arial"/>
      <w:sz w:val="18"/>
    </w:rPr>
  </w:style>
  <w:style w:type="paragraph" w:customStyle="1" w:styleId="BoxQuoteBullet">
    <w:name w:val="Box Quote Bullet"/>
    <w:basedOn w:val="BoxQuote"/>
    <w:next w:val="Box"/>
    <w:rsid w:val="006A574F"/>
    <w:pPr>
      <w:numPr>
        <w:numId w:val="8"/>
      </w:numPr>
    </w:pPr>
  </w:style>
  <w:style w:type="paragraph" w:customStyle="1" w:styleId="Source">
    <w:name w:val="Source"/>
    <w:basedOn w:val="Normal"/>
    <w:next w:val="BodyText"/>
    <w:rsid w:val="006A574F"/>
    <w:pPr>
      <w:keepLines/>
      <w:spacing w:before="80" w:line="220" w:lineRule="exact"/>
      <w:jc w:val="both"/>
    </w:pPr>
    <w:rPr>
      <w:rFonts w:ascii="Arial" w:hAnsi="Arial"/>
      <w:sz w:val="18"/>
      <w:szCs w:val="20"/>
    </w:rPr>
  </w:style>
  <w:style w:type="paragraph" w:customStyle="1" w:styleId="BoxSource">
    <w:name w:val="Box Source"/>
    <w:basedOn w:val="Source"/>
    <w:next w:val="BodyText"/>
    <w:rsid w:val="006A574F"/>
    <w:pPr>
      <w:spacing w:before="120"/>
    </w:pPr>
  </w:style>
  <w:style w:type="paragraph" w:customStyle="1" w:styleId="BoxSpaceAbove">
    <w:name w:val="Box Space Above"/>
    <w:basedOn w:val="BodyText"/>
    <w:rsid w:val="006A574F"/>
    <w:pPr>
      <w:keepNext/>
      <w:spacing w:before="360" w:line="80" w:lineRule="exact"/>
      <w:jc w:val="left"/>
    </w:pPr>
  </w:style>
  <w:style w:type="paragraph" w:customStyle="1" w:styleId="BoxSpaceBelow">
    <w:name w:val="Box Space Below"/>
    <w:basedOn w:val="Box"/>
    <w:rsid w:val="006A574F"/>
    <w:pPr>
      <w:keepNext w:val="0"/>
      <w:spacing w:before="60" w:after="60" w:line="80" w:lineRule="exact"/>
    </w:pPr>
    <w:rPr>
      <w:sz w:val="14"/>
    </w:rPr>
  </w:style>
  <w:style w:type="paragraph" w:styleId="Caption">
    <w:name w:val="caption"/>
    <w:basedOn w:val="Normal"/>
    <w:next w:val="BodyText"/>
    <w:qFormat/>
    <w:rsid w:val="006A574F"/>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6A574F"/>
    <w:pPr>
      <w:spacing w:before="120" w:after="0"/>
    </w:pPr>
  </w:style>
  <w:style w:type="paragraph" w:customStyle="1" w:styleId="BoxSubtitle">
    <w:name w:val="Box Subtitle"/>
    <w:basedOn w:val="BoxTitle"/>
    <w:next w:val="Normal"/>
    <w:rsid w:val="006A574F"/>
    <w:pPr>
      <w:spacing w:after="80" w:line="200" w:lineRule="exact"/>
      <w:ind w:firstLine="0"/>
    </w:pPr>
    <w:rPr>
      <w:b w:val="0"/>
      <w:sz w:val="20"/>
    </w:rPr>
  </w:style>
  <w:style w:type="character" w:customStyle="1" w:styleId="Heading1Char">
    <w:name w:val="Heading 1 Char"/>
    <w:basedOn w:val="DefaultParagraphFont"/>
    <w:link w:val="Heading1"/>
    <w:rsid w:val="006A574F"/>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6A574F"/>
    <w:pPr>
      <w:ind w:left="0" w:firstLine="0"/>
      <w:outlineLvl w:val="9"/>
    </w:pPr>
  </w:style>
  <w:style w:type="paragraph" w:customStyle="1" w:styleId="ChapterSummary">
    <w:name w:val="Chapter Summary"/>
    <w:basedOn w:val="BodyText"/>
    <w:rsid w:val="006A574F"/>
    <w:pPr>
      <w:spacing w:line="280" w:lineRule="atLeast"/>
      <w:ind w:left="907"/>
    </w:pPr>
    <w:rPr>
      <w:rFonts w:ascii="Arial" w:hAnsi="Arial"/>
      <w:b/>
      <w:sz w:val="20"/>
    </w:rPr>
  </w:style>
  <w:style w:type="character" w:styleId="CommentReference">
    <w:name w:val="annotation reference"/>
    <w:basedOn w:val="DefaultParagraphFont"/>
    <w:semiHidden/>
    <w:rsid w:val="006A574F"/>
    <w:rPr>
      <w:b/>
      <w:vanish/>
      <w:color w:val="FF00FF"/>
      <w:sz w:val="20"/>
    </w:rPr>
  </w:style>
  <w:style w:type="paragraph" w:styleId="CommentText">
    <w:name w:val="annotation text"/>
    <w:basedOn w:val="Normal"/>
    <w:link w:val="CommentTextChar"/>
    <w:semiHidden/>
    <w:rsid w:val="006A574F"/>
    <w:pPr>
      <w:spacing w:before="120" w:line="240" w:lineRule="atLeast"/>
      <w:ind w:left="567" w:hanging="567"/>
    </w:pPr>
    <w:rPr>
      <w:sz w:val="20"/>
    </w:rPr>
  </w:style>
  <w:style w:type="character" w:customStyle="1" w:styleId="CommentTextChar">
    <w:name w:val="Comment Text Char"/>
    <w:basedOn w:val="DefaultParagraphFont"/>
    <w:link w:val="CommentText"/>
    <w:semiHidden/>
    <w:rsid w:val="006A574F"/>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6A574F"/>
  </w:style>
  <w:style w:type="character" w:customStyle="1" w:styleId="Continuedintitle">
    <w:name w:val="Continued (in title)"/>
    <w:basedOn w:val="DefaultParagraphFont"/>
    <w:rsid w:val="006A574F"/>
    <w:rPr>
      <w:rFonts w:ascii="Arial" w:hAnsi="Arial"/>
      <w:b/>
      <w:sz w:val="18"/>
    </w:rPr>
  </w:style>
  <w:style w:type="character" w:customStyle="1" w:styleId="DocumentInfo">
    <w:name w:val="Document Info"/>
    <w:basedOn w:val="DefaultParagraphFont"/>
    <w:semiHidden/>
    <w:rsid w:val="006A574F"/>
    <w:rPr>
      <w:rFonts w:ascii="Arial" w:hAnsi="Arial"/>
      <w:sz w:val="14"/>
    </w:rPr>
  </w:style>
  <w:style w:type="character" w:customStyle="1" w:styleId="DraftingNote">
    <w:name w:val="Drafting Note"/>
    <w:basedOn w:val="DefaultParagraphFont"/>
    <w:rsid w:val="006A574F"/>
    <w:rPr>
      <w:b/>
      <w:color w:val="FF0000"/>
      <w:sz w:val="24"/>
      <w:u w:val="dotted"/>
    </w:rPr>
  </w:style>
  <w:style w:type="character" w:styleId="Emphasis">
    <w:name w:val="Emphasis"/>
    <w:basedOn w:val="DefaultParagraphFont"/>
    <w:qFormat/>
    <w:rsid w:val="006A574F"/>
    <w:rPr>
      <w:i/>
      <w:iCs/>
    </w:rPr>
  </w:style>
  <w:style w:type="paragraph" w:customStyle="1" w:styleId="Figure">
    <w:name w:val="Figure"/>
    <w:basedOn w:val="BodyText"/>
    <w:rsid w:val="006A574F"/>
    <w:pPr>
      <w:keepNext/>
      <w:spacing w:before="120" w:after="120" w:line="240" w:lineRule="atLeast"/>
      <w:jc w:val="center"/>
    </w:pPr>
  </w:style>
  <w:style w:type="paragraph" w:customStyle="1" w:styleId="Figurespace">
    <w:name w:val="Figure space"/>
    <w:basedOn w:val="Box"/>
    <w:rsid w:val="006A574F"/>
    <w:pPr>
      <w:spacing w:before="0" w:line="120" w:lineRule="exact"/>
    </w:pPr>
  </w:style>
  <w:style w:type="paragraph" w:customStyle="1" w:styleId="FigureTitle">
    <w:name w:val="Figure Title"/>
    <w:basedOn w:val="Caption"/>
    <w:next w:val="Subtitle"/>
    <w:rsid w:val="006A574F"/>
    <w:pPr>
      <w:spacing w:before="120"/>
    </w:pPr>
  </w:style>
  <w:style w:type="paragraph" w:styleId="Subtitle">
    <w:name w:val="Subtitle"/>
    <w:basedOn w:val="Caption"/>
    <w:link w:val="SubtitleChar"/>
    <w:qFormat/>
    <w:rsid w:val="006A574F"/>
    <w:pPr>
      <w:spacing w:before="0" w:line="200" w:lineRule="exact"/>
      <w:ind w:firstLine="0"/>
    </w:pPr>
    <w:rPr>
      <w:b w:val="0"/>
      <w:sz w:val="20"/>
    </w:rPr>
  </w:style>
  <w:style w:type="character" w:customStyle="1" w:styleId="SubtitleChar">
    <w:name w:val="Subtitle Char"/>
    <w:basedOn w:val="DefaultParagraphFont"/>
    <w:link w:val="Subtitle"/>
    <w:rsid w:val="006A574F"/>
    <w:rPr>
      <w:rFonts w:ascii="Arial" w:eastAsia="Times New Roman" w:hAnsi="Arial" w:cs="Times New Roman"/>
      <w:sz w:val="20"/>
      <w:szCs w:val="24"/>
      <w:lang w:eastAsia="en-AU"/>
    </w:rPr>
  </w:style>
  <w:style w:type="paragraph" w:customStyle="1" w:styleId="Finding">
    <w:name w:val="Finding"/>
    <w:basedOn w:val="BodyText"/>
    <w:rsid w:val="006A574F"/>
    <w:pPr>
      <w:keepLines/>
      <w:spacing w:before="120" w:line="280" w:lineRule="atLeast"/>
    </w:pPr>
    <w:rPr>
      <w:rFonts w:ascii="Arial" w:hAnsi="Arial"/>
      <w:sz w:val="22"/>
    </w:rPr>
  </w:style>
  <w:style w:type="paragraph" w:customStyle="1" w:styleId="FindingBullet">
    <w:name w:val="Finding Bullet"/>
    <w:basedOn w:val="Finding"/>
    <w:rsid w:val="006A574F"/>
    <w:pPr>
      <w:numPr>
        <w:numId w:val="9"/>
      </w:numPr>
      <w:spacing w:before="80"/>
    </w:pPr>
  </w:style>
  <w:style w:type="paragraph" w:customStyle="1" w:styleId="FindingNoTitle">
    <w:name w:val="Finding NoTitle"/>
    <w:basedOn w:val="Finding"/>
    <w:rsid w:val="006A574F"/>
    <w:pPr>
      <w:spacing w:before="240"/>
    </w:pPr>
  </w:style>
  <w:style w:type="paragraph" w:customStyle="1" w:styleId="RecTitle">
    <w:name w:val="Rec Title"/>
    <w:basedOn w:val="BodyText"/>
    <w:next w:val="Normal"/>
    <w:qFormat/>
    <w:rsid w:val="006A574F"/>
    <w:pPr>
      <w:keepNext/>
      <w:keepLines/>
      <w:spacing w:line="280" w:lineRule="atLeast"/>
    </w:pPr>
    <w:rPr>
      <w:rFonts w:ascii="Arial" w:hAnsi="Arial"/>
      <w:caps/>
      <w:sz w:val="18"/>
    </w:rPr>
  </w:style>
  <w:style w:type="paragraph" w:customStyle="1" w:styleId="FindingTitle">
    <w:name w:val="Finding Title"/>
    <w:basedOn w:val="RecTitle"/>
    <w:next w:val="Finding"/>
    <w:rsid w:val="006A574F"/>
  </w:style>
  <w:style w:type="paragraph" w:styleId="Footer">
    <w:name w:val="footer"/>
    <w:basedOn w:val="BodyText"/>
    <w:link w:val="FooterChar"/>
    <w:uiPriority w:val="99"/>
    <w:rsid w:val="006A574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uiPriority w:val="99"/>
    <w:rsid w:val="006A574F"/>
    <w:rPr>
      <w:rFonts w:ascii="Arial" w:eastAsia="Times New Roman" w:hAnsi="Arial" w:cs="Times New Roman"/>
      <w:caps/>
      <w:spacing w:val="-4"/>
      <w:sz w:val="16"/>
      <w:szCs w:val="20"/>
      <w:lang w:eastAsia="en-AU"/>
    </w:rPr>
  </w:style>
  <w:style w:type="paragraph" w:customStyle="1" w:styleId="FooterEnd">
    <w:name w:val="Footer End"/>
    <w:basedOn w:val="Footer"/>
    <w:rsid w:val="006A574F"/>
    <w:pPr>
      <w:spacing w:before="0" w:line="20" w:lineRule="exact"/>
    </w:pPr>
  </w:style>
  <w:style w:type="paragraph" w:customStyle="1" w:styleId="FooterDraftReport">
    <w:name w:val="FooterDraftReport"/>
    <w:basedOn w:val="Footer"/>
    <w:link w:val="FooterDraftReportChar"/>
    <w:rsid w:val="006A574F"/>
    <w:pPr>
      <w:spacing w:before="40"/>
    </w:pPr>
    <w:rPr>
      <w:rFonts w:cs="Arial"/>
      <w:color w:val="808080"/>
    </w:rPr>
  </w:style>
  <w:style w:type="character" w:customStyle="1" w:styleId="FooterDraftReportChar">
    <w:name w:val="FooterDraftReport Char"/>
    <w:basedOn w:val="FooterChar"/>
    <w:link w:val="FooterDraftReport"/>
    <w:rsid w:val="006A574F"/>
    <w:rPr>
      <w:rFonts w:ascii="Arial" w:eastAsia="Times New Roman" w:hAnsi="Arial" w:cs="Arial"/>
      <w:caps/>
      <w:color w:val="808080"/>
      <w:spacing w:val="-4"/>
      <w:sz w:val="16"/>
      <w:szCs w:val="20"/>
      <w:lang w:eastAsia="en-AU"/>
    </w:rPr>
  </w:style>
  <w:style w:type="character" w:styleId="FootnoteReference">
    <w:name w:val="footnote reference"/>
    <w:basedOn w:val="DefaultParagraphFont"/>
    <w:rsid w:val="006A574F"/>
    <w:rPr>
      <w:rFonts w:ascii="Times New Roman" w:hAnsi="Times New Roman"/>
      <w:position w:val="6"/>
      <w:sz w:val="20"/>
      <w:vertAlign w:val="baseline"/>
    </w:rPr>
  </w:style>
  <w:style w:type="paragraph" w:styleId="FootnoteText">
    <w:name w:val="footnote text"/>
    <w:basedOn w:val="BodyText"/>
    <w:link w:val="FootnoteTextChar"/>
    <w:rsid w:val="006A574F"/>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6A574F"/>
    <w:rPr>
      <w:rFonts w:ascii="Times New Roman" w:eastAsia="Times New Roman" w:hAnsi="Times New Roman" w:cs="Times New Roman"/>
      <w:sz w:val="20"/>
      <w:szCs w:val="20"/>
      <w:lang w:eastAsia="en-AU"/>
    </w:rPr>
  </w:style>
  <w:style w:type="paragraph" w:styleId="Header">
    <w:name w:val="header"/>
    <w:basedOn w:val="BodyText"/>
    <w:link w:val="HeaderChar"/>
    <w:rsid w:val="006A574F"/>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uiPriority w:val="99"/>
    <w:rsid w:val="006A574F"/>
    <w:rPr>
      <w:rFonts w:ascii="Arial" w:eastAsia="Times New Roman" w:hAnsi="Arial" w:cs="Times New Roman"/>
      <w:caps/>
      <w:sz w:val="24"/>
      <w:szCs w:val="20"/>
      <w:lang w:eastAsia="en-AU"/>
    </w:rPr>
  </w:style>
  <w:style w:type="paragraph" w:customStyle="1" w:styleId="HeaderEnd">
    <w:name w:val="Header End"/>
    <w:basedOn w:val="Header"/>
    <w:autoRedefine/>
    <w:rsid w:val="006A574F"/>
    <w:pPr>
      <w:spacing w:line="20" w:lineRule="exact"/>
    </w:pPr>
    <w:rPr>
      <w:sz w:val="16"/>
    </w:rPr>
  </w:style>
  <w:style w:type="paragraph" w:customStyle="1" w:styleId="HeaderEven">
    <w:name w:val="Header Even"/>
    <w:basedOn w:val="Header"/>
    <w:rsid w:val="006A574F"/>
  </w:style>
  <w:style w:type="paragraph" w:customStyle="1" w:styleId="HeaderOdd">
    <w:name w:val="Header Odd"/>
    <w:basedOn w:val="Header"/>
    <w:rsid w:val="006A574F"/>
  </w:style>
  <w:style w:type="paragraph" w:customStyle="1" w:styleId="Heading1nochapterno">
    <w:name w:val="Heading 1 (no chapter no.)"/>
    <w:basedOn w:val="Heading1"/>
    <w:rsid w:val="006A574F"/>
    <w:pPr>
      <w:spacing w:before="0"/>
      <w:ind w:left="0" w:firstLine="0"/>
    </w:pPr>
  </w:style>
  <w:style w:type="character" w:customStyle="1" w:styleId="Heading2Char">
    <w:name w:val="Heading 2 Char"/>
    <w:basedOn w:val="DefaultParagraphFont"/>
    <w:link w:val="Heading2"/>
    <w:rsid w:val="006A574F"/>
    <w:rPr>
      <w:rFonts w:ascii="Arial" w:eastAsia="Times New Roman" w:hAnsi="Arial" w:cs="Times New Roman"/>
      <w:b/>
      <w:sz w:val="32"/>
      <w:szCs w:val="20"/>
      <w:lang w:eastAsia="en-AU"/>
    </w:rPr>
  </w:style>
  <w:style w:type="paragraph" w:customStyle="1" w:styleId="Heading2nosectionno">
    <w:name w:val="Heading 2 (no section no.)"/>
    <w:basedOn w:val="Heading2"/>
    <w:rsid w:val="006A574F"/>
    <w:pPr>
      <w:ind w:left="0" w:firstLine="0"/>
    </w:pPr>
  </w:style>
  <w:style w:type="character" w:customStyle="1" w:styleId="Heading3Char">
    <w:name w:val="Heading 3 Char"/>
    <w:basedOn w:val="DefaultParagraphFont"/>
    <w:link w:val="Heading3"/>
    <w:rsid w:val="006A574F"/>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6A574F"/>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6A574F"/>
    <w:rPr>
      <w:rFonts w:ascii="Arial" w:eastAsia="Times New Roman" w:hAnsi="Arial" w:cs="Times New Roman"/>
      <w:i/>
      <w:szCs w:val="20"/>
      <w:lang w:eastAsia="en-AU"/>
    </w:rPr>
  </w:style>
  <w:style w:type="character" w:customStyle="1" w:styleId="Heading6Char">
    <w:name w:val="Heading 6 Char"/>
    <w:basedOn w:val="DefaultParagraphFont"/>
    <w:link w:val="Heading6"/>
    <w:rsid w:val="006A574F"/>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rsid w:val="006A574F"/>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6A574F"/>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6A574F"/>
    <w:rPr>
      <w:rFonts w:ascii="Arial" w:eastAsia="Times New Roman" w:hAnsi="Arial" w:cs="Times New Roman"/>
      <w:b/>
      <w:i/>
      <w:sz w:val="18"/>
      <w:szCs w:val="20"/>
      <w:lang w:eastAsia="en-AU"/>
    </w:rPr>
  </w:style>
  <w:style w:type="paragraph" w:customStyle="1" w:styleId="InformationRequest">
    <w:name w:val="Information Request"/>
    <w:basedOn w:val="Finding"/>
    <w:next w:val="BodyText"/>
    <w:rsid w:val="006A574F"/>
    <w:rPr>
      <w:i/>
    </w:rPr>
  </w:style>
  <w:style w:type="paragraph" w:styleId="ListBullet">
    <w:name w:val="List Bullet"/>
    <w:basedOn w:val="BodyText"/>
    <w:rsid w:val="006A574F"/>
    <w:pPr>
      <w:numPr>
        <w:numId w:val="11"/>
      </w:numPr>
      <w:spacing w:before="120"/>
    </w:pPr>
  </w:style>
  <w:style w:type="paragraph" w:customStyle="1" w:styleId="InformationRequestBullet">
    <w:name w:val="Information Request Bullet"/>
    <w:basedOn w:val="ListBullet"/>
    <w:next w:val="BodyText"/>
    <w:rsid w:val="006A574F"/>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6A574F"/>
    <w:rPr>
      <w:i/>
    </w:rPr>
  </w:style>
  <w:style w:type="paragraph" w:customStyle="1" w:styleId="Jurisdictioncommentsbodytext">
    <w:name w:val="Jurisdiction comments body text"/>
    <w:rsid w:val="006A574F"/>
    <w:pPr>
      <w:spacing w:after="140" w:line="240" w:lineRule="auto"/>
      <w:jc w:val="both"/>
    </w:pPr>
    <w:rPr>
      <w:rFonts w:ascii="Arial" w:hAnsi="Arial" w:cs="Times New Roman"/>
      <w:sz w:val="24"/>
      <w:szCs w:val="20"/>
    </w:rPr>
  </w:style>
  <w:style w:type="paragraph" w:customStyle="1" w:styleId="Jurisdictioncommentsheading">
    <w:name w:val="Jurisdiction comments heading"/>
    <w:rsid w:val="006A574F"/>
    <w:pPr>
      <w:spacing w:after="140" w:line="320" w:lineRule="atLeast"/>
      <w:jc w:val="both"/>
    </w:pPr>
    <w:rPr>
      <w:rFonts w:ascii="Arial" w:hAnsi="Arial" w:cs="Times New Roman"/>
      <w:b/>
      <w:sz w:val="24"/>
      <w:szCs w:val="20"/>
    </w:rPr>
  </w:style>
  <w:style w:type="paragraph" w:customStyle="1" w:styleId="Jurisdictioncommentslistbullet">
    <w:name w:val="Jurisdiction comments list bullet"/>
    <w:rsid w:val="006A574F"/>
    <w:pPr>
      <w:numPr>
        <w:numId w:val="13"/>
      </w:numPr>
      <w:spacing w:after="140" w:line="240" w:lineRule="auto"/>
      <w:jc w:val="both"/>
    </w:pPr>
    <w:rPr>
      <w:rFonts w:ascii="Arial" w:hAnsi="Arial" w:cs="Times New Roman"/>
      <w:sz w:val="24"/>
      <w:szCs w:val="20"/>
    </w:rPr>
  </w:style>
  <w:style w:type="paragraph" w:customStyle="1" w:styleId="KeyPointsListBullet">
    <w:name w:val="Key Points List Bullet"/>
    <w:basedOn w:val="Normal"/>
    <w:qFormat/>
    <w:rsid w:val="006A574F"/>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6A574F"/>
    <w:pPr>
      <w:numPr>
        <w:numId w:val="15"/>
      </w:numPr>
    </w:pPr>
  </w:style>
  <w:style w:type="paragraph" w:styleId="ListBullet2">
    <w:name w:val="List Bullet 2"/>
    <w:basedOn w:val="BodyText"/>
    <w:rsid w:val="006A574F"/>
    <w:pPr>
      <w:numPr>
        <w:numId w:val="27"/>
      </w:numPr>
      <w:spacing w:before="120"/>
    </w:pPr>
  </w:style>
  <w:style w:type="paragraph" w:styleId="ListNumber">
    <w:name w:val="List Number"/>
    <w:basedOn w:val="BodyText"/>
    <w:rsid w:val="006A574F"/>
    <w:pPr>
      <w:numPr>
        <w:numId w:val="23"/>
      </w:numPr>
      <w:spacing w:before="120"/>
    </w:pPr>
  </w:style>
  <w:style w:type="paragraph" w:styleId="ListNumber2">
    <w:name w:val="List Number 2"/>
    <w:basedOn w:val="ListNumber"/>
    <w:rsid w:val="006A574F"/>
    <w:pPr>
      <w:numPr>
        <w:ilvl w:val="1"/>
      </w:numPr>
    </w:pPr>
  </w:style>
  <w:style w:type="paragraph" w:styleId="ListNumber3">
    <w:name w:val="List Number 3"/>
    <w:basedOn w:val="ListNumber2"/>
    <w:rsid w:val="006A574F"/>
    <w:pPr>
      <w:numPr>
        <w:ilvl w:val="2"/>
      </w:numPr>
    </w:pPr>
  </w:style>
  <w:style w:type="paragraph" w:customStyle="1" w:styleId="Note">
    <w:name w:val="Note"/>
    <w:basedOn w:val="BodyText"/>
    <w:next w:val="BodyText"/>
    <w:rsid w:val="006A574F"/>
    <w:pPr>
      <w:keepLines/>
      <w:spacing w:before="80" w:line="220" w:lineRule="exact"/>
    </w:pPr>
    <w:rPr>
      <w:rFonts w:ascii="Arial" w:hAnsi="Arial"/>
      <w:sz w:val="18"/>
    </w:rPr>
  </w:style>
  <w:style w:type="character" w:customStyle="1" w:styleId="NoteLabel">
    <w:name w:val="Note Label"/>
    <w:basedOn w:val="DefaultParagraphFont"/>
    <w:rsid w:val="006A574F"/>
    <w:rPr>
      <w:rFonts w:ascii="Arial" w:hAnsi="Arial"/>
      <w:b/>
      <w:position w:val="6"/>
      <w:sz w:val="18"/>
    </w:rPr>
  </w:style>
  <w:style w:type="character" w:styleId="PageNumber">
    <w:name w:val="page number"/>
    <w:basedOn w:val="DefaultParagraphFont"/>
    <w:rsid w:val="006A574F"/>
    <w:rPr>
      <w:rFonts w:ascii="Arial" w:hAnsi="Arial"/>
      <w:b/>
      <w:sz w:val="16"/>
    </w:rPr>
  </w:style>
  <w:style w:type="paragraph" w:customStyle="1" w:styleId="PartDivider">
    <w:name w:val="Part Divider"/>
    <w:basedOn w:val="BodyText"/>
    <w:next w:val="BodyText"/>
    <w:semiHidden/>
    <w:rsid w:val="006A574F"/>
    <w:pPr>
      <w:spacing w:before="0" w:line="40" w:lineRule="exact"/>
      <w:jc w:val="right"/>
    </w:pPr>
    <w:rPr>
      <w:smallCaps/>
      <w:sz w:val="16"/>
    </w:rPr>
  </w:style>
  <w:style w:type="paragraph" w:customStyle="1" w:styleId="PartNumber">
    <w:name w:val="Part Number"/>
    <w:basedOn w:val="BodyText"/>
    <w:next w:val="BodyText"/>
    <w:semiHidden/>
    <w:rsid w:val="006A574F"/>
    <w:pPr>
      <w:spacing w:before="4000" w:line="320" w:lineRule="exact"/>
      <w:ind w:left="6634"/>
      <w:jc w:val="right"/>
    </w:pPr>
    <w:rPr>
      <w:smallCaps/>
      <w:spacing w:val="60"/>
      <w:sz w:val="32"/>
    </w:rPr>
  </w:style>
  <w:style w:type="paragraph" w:customStyle="1" w:styleId="PartTitle">
    <w:name w:val="Part Title"/>
    <w:basedOn w:val="BodyText"/>
    <w:semiHidden/>
    <w:rsid w:val="006A574F"/>
    <w:pPr>
      <w:spacing w:before="160" w:after="1360" w:line="520" w:lineRule="exact"/>
      <w:ind w:right="2381"/>
      <w:jc w:val="right"/>
    </w:pPr>
    <w:rPr>
      <w:smallCaps/>
      <w:sz w:val="52"/>
    </w:rPr>
  </w:style>
  <w:style w:type="paragraph" w:styleId="Quote">
    <w:name w:val="Quote"/>
    <w:basedOn w:val="BodyText"/>
    <w:next w:val="BodyText"/>
    <w:link w:val="QuoteChar"/>
    <w:qFormat/>
    <w:rsid w:val="006A574F"/>
    <w:pPr>
      <w:spacing w:before="120" w:line="280" w:lineRule="exact"/>
      <w:ind w:left="340"/>
    </w:pPr>
    <w:rPr>
      <w:sz w:val="22"/>
    </w:rPr>
  </w:style>
  <w:style w:type="character" w:customStyle="1" w:styleId="QuoteChar">
    <w:name w:val="Quote Char"/>
    <w:basedOn w:val="DefaultParagraphFont"/>
    <w:link w:val="Quote"/>
    <w:rsid w:val="006A574F"/>
    <w:rPr>
      <w:rFonts w:ascii="Times New Roman" w:eastAsia="Times New Roman" w:hAnsi="Times New Roman" w:cs="Times New Roman"/>
      <w:szCs w:val="20"/>
      <w:lang w:eastAsia="en-AU"/>
    </w:rPr>
  </w:style>
  <w:style w:type="paragraph" w:customStyle="1" w:styleId="QuoteBullet">
    <w:name w:val="Quote Bullet"/>
    <w:basedOn w:val="Quote"/>
    <w:rsid w:val="006A574F"/>
    <w:pPr>
      <w:numPr>
        <w:numId w:val="24"/>
      </w:numPr>
    </w:pPr>
  </w:style>
  <w:style w:type="paragraph" w:customStyle="1" w:styleId="Rec">
    <w:name w:val="Rec"/>
    <w:basedOn w:val="BodyText"/>
    <w:qFormat/>
    <w:rsid w:val="006A574F"/>
    <w:pPr>
      <w:keepLines/>
      <w:spacing w:before="120" w:line="280" w:lineRule="atLeast"/>
    </w:pPr>
    <w:rPr>
      <w:rFonts w:ascii="Arial" w:hAnsi="Arial"/>
      <w:sz w:val="22"/>
    </w:rPr>
  </w:style>
  <w:style w:type="paragraph" w:customStyle="1" w:styleId="RecBullet">
    <w:name w:val="Rec Bullet"/>
    <w:basedOn w:val="Rec"/>
    <w:rsid w:val="006A574F"/>
    <w:pPr>
      <w:numPr>
        <w:numId w:val="25"/>
      </w:numPr>
      <w:spacing w:before="80"/>
    </w:pPr>
  </w:style>
  <w:style w:type="paragraph" w:customStyle="1" w:styleId="RecB">
    <w:name w:val="RecB"/>
    <w:basedOn w:val="Normal"/>
    <w:rsid w:val="006A574F"/>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6A574F"/>
    <w:pPr>
      <w:numPr>
        <w:numId w:val="26"/>
      </w:numPr>
      <w:spacing w:before="80"/>
    </w:pPr>
  </w:style>
  <w:style w:type="paragraph" w:customStyle="1" w:styleId="RecBBullet2">
    <w:name w:val="RecB Bullet 2"/>
    <w:basedOn w:val="ListBullet2"/>
    <w:rsid w:val="006A574F"/>
    <w:pPr>
      <w:pBdr>
        <w:left w:val="single" w:sz="24" w:space="29" w:color="C0C0C0"/>
      </w:pBdr>
    </w:pPr>
    <w:rPr>
      <w:b/>
      <w:i/>
    </w:rPr>
  </w:style>
  <w:style w:type="paragraph" w:customStyle="1" w:styleId="RecBNoTitle">
    <w:name w:val="RecB NoTitle"/>
    <w:basedOn w:val="RecB"/>
    <w:rsid w:val="006A574F"/>
    <w:pPr>
      <w:spacing w:before="240"/>
    </w:pPr>
  </w:style>
  <w:style w:type="paragraph" w:customStyle="1" w:styleId="Reference">
    <w:name w:val="Reference"/>
    <w:basedOn w:val="BodyText"/>
    <w:rsid w:val="006A574F"/>
    <w:pPr>
      <w:spacing w:before="120"/>
      <w:ind w:left="340" w:hanging="340"/>
    </w:pPr>
  </w:style>
  <w:style w:type="paragraph" w:customStyle="1" w:styleId="SequenceInfo">
    <w:name w:val="Sequence Info"/>
    <w:basedOn w:val="BodyText"/>
    <w:semiHidden/>
    <w:rsid w:val="006A574F"/>
    <w:rPr>
      <w:vanish/>
      <w:sz w:val="16"/>
    </w:rPr>
  </w:style>
  <w:style w:type="paragraph" w:customStyle="1" w:styleId="SideNote">
    <w:name w:val="Side Note"/>
    <w:basedOn w:val="BodyText"/>
    <w:next w:val="BodyText"/>
    <w:semiHidden/>
    <w:rsid w:val="006A574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6A574F"/>
    <w:pPr>
      <w:framePr w:wrap="around"/>
      <w:numPr>
        <w:numId w:val="28"/>
      </w:numPr>
      <w:tabs>
        <w:tab w:val="left" w:pos="227"/>
      </w:tabs>
    </w:pPr>
  </w:style>
  <w:style w:type="paragraph" w:customStyle="1" w:styleId="SideNoteGraphic">
    <w:name w:val="Side Note Graphic"/>
    <w:basedOn w:val="SideNote"/>
    <w:next w:val="BodyText"/>
    <w:semiHidden/>
    <w:rsid w:val="006A574F"/>
    <w:pPr>
      <w:framePr w:wrap="around"/>
    </w:pPr>
  </w:style>
  <w:style w:type="paragraph" w:customStyle="1" w:styleId="Space">
    <w:name w:val="Space"/>
    <w:basedOn w:val="Normal"/>
    <w:rsid w:val="006A574F"/>
    <w:pPr>
      <w:keepNext/>
      <w:spacing w:line="120" w:lineRule="exact"/>
      <w:jc w:val="both"/>
    </w:pPr>
    <w:rPr>
      <w:rFonts w:ascii="Arial" w:hAnsi="Arial"/>
      <w:sz w:val="20"/>
      <w:szCs w:val="20"/>
    </w:rPr>
  </w:style>
  <w:style w:type="paragraph" w:customStyle="1" w:styleId="TableBodyText">
    <w:name w:val="Table Body Text"/>
    <w:basedOn w:val="BodyText"/>
    <w:rsid w:val="006A574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6A574F"/>
    <w:pPr>
      <w:numPr>
        <w:numId w:val="29"/>
      </w:numPr>
      <w:jc w:val="left"/>
    </w:pPr>
  </w:style>
  <w:style w:type="paragraph" w:customStyle="1" w:styleId="TableColumnHeading">
    <w:name w:val="Table Column Heading"/>
    <w:basedOn w:val="TableBodyText"/>
    <w:rsid w:val="006A574F"/>
    <w:pPr>
      <w:spacing w:before="80" w:after="80"/>
    </w:pPr>
    <w:rPr>
      <w:i/>
    </w:rPr>
  </w:style>
  <w:style w:type="table" w:styleId="TableGrid">
    <w:name w:val="Table Grid"/>
    <w:basedOn w:val="TableNormal"/>
    <w:rsid w:val="006A574F"/>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uiPriority w:val="39"/>
    <w:rsid w:val="006A574F"/>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6A574F"/>
    <w:rPr>
      <w:rFonts w:ascii="Arial" w:eastAsia="Times New Roman" w:hAnsi="Arial" w:cs="Times New Roman"/>
      <w:b/>
      <w:sz w:val="26"/>
      <w:szCs w:val="26"/>
    </w:rPr>
  </w:style>
  <w:style w:type="paragraph" w:styleId="TOC2">
    <w:name w:val="toc 2"/>
    <w:basedOn w:val="TOC1"/>
    <w:uiPriority w:val="39"/>
    <w:rsid w:val="006A574F"/>
    <w:pPr>
      <w:ind w:left="1134" w:hanging="624"/>
    </w:pPr>
    <w:rPr>
      <w:b w:val="0"/>
    </w:rPr>
  </w:style>
  <w:style w:type="paragraph" w:styleId="TOC3">
    <w:name w:val="toc 3"/>
    <w:basedOn w:val="TOC2"/>
    <w:rsid w:val="006A574F"/>
    <w:pPr>
      <w:spacing w:before="60"/>
      <w:ind w:left="1190" w:hanging="680"/>
    </w:pPr>
  </w:style>
  <w:style w:type="paragraph" w:styleId="TableofFigures">
    <w:name w:val="table of figures"/>
    <w:basedOn w:val="TOC3"/>
    <w:next w:val="BodyText"/>
    <w:semiHidden/>
    <w:rsid w:val="006A574F"/>
    <w:pPr>
      <w:ind w:left="737" w:hanging="737"/>
    </w:pPr>
  </w:style>
  <w:style w:type="paragraph" w:customStyle="1" w:styleId="TableTitle">
    <w:name w:val="Table Title"/>
    <w:basedOn w:val="Caption"/>
    <w:next w:val="Subtitle"/>
    <w:qFormat/>
    <w:rsid w:val="006A574F"/>
    <w:pPr>
      <w:spacing w:before="120"/>
    </w:pPr>
  </w:style>
  <w:style w:type="paragraph" w:customStyle="1" w:styleId="TableUnitsRow">
    <w:name w:val="Table Units Row"/>
    <w:basedOn w:val="TableBodyText"/>
    <w:rsid w:val="006A574F"/>
    <w:pPr>
      <w:spacing w:before="40"/>
    </w:pPr>
  </w:style>
  <w:style w:type="paragraph" w:styleId="TOC4">
    <w:name w:val="toc 4"/>
    <w:basedOn w:val="TOC3"/>
    <w:semiHidden/>
    <w:rsid w:val="006A574F"/>
    <w:pPr>
      <w:ind w:left="1191" w:firstLine="0"/>
    </w:pPr>
  </w:style>
  <w:style w:type="paragraph" w:customStyle="1" w:styleId="BoxSpace">
    <w:name w:val="Box Space"/>
    <w:basedOn w:val="BodyText"/>
    <w:rsid w:val="00BE6707"/>
    <w:pPr>
      <w:keepNext/>
      <w:spacing w:before="360" w:line="80" w:lineRule="exact"/>
      <w:jc w:val="left"/>
    </w:pPr>
    <w:rPr>
      <w:rFonts w:ascii="Arial" w:eastAsia="Times New Roman" w:hAnsi="Arial"/>
      <w:color w:val="1C1C1C"/>
    </w:rPr>
  </w:style>
  <w:style w:type="paragraph" w:customStyle="1" w:styleId="OZNZQuestion">
    <w:name w:val="OZNZ Question"/>
    <w:basedOn w:val="Normal"/>
    <w:uiPriority w:val="99"/>
    <w:qFormat/>
    <w:rsid w:val="00BE6707"/>
    <w:pPr>
      <w:spacing w:line="320" w:lineRule="atLeast"/>
      <w:jc w:val="both"/>
    </w:pPr>
    <w:rPr>
      <w:rFonts w:ascii="Arial" w:hAnsi="Arial" w:cs="Arial"/>
    </w:rPr>
  </w:style>
  <w:style w:type="paragraph" w:styleId="CommentSubject">
    <w:name w:val="annotation subject"/>
    <w:basedOn w:val="CommentText"/>
    <w:next w:val="CommentText"/>
    <w:link w:val="CommentSubjectChar"/>
    <w:rsid w:val="00BE6707"/>
    <w:pPr>
      <w:spacing w:before="0" w:line="240" w:lineRule="auto"/>
      <w:ind w:left="0" w:firstLine="0"/>
    </w:pPr>
    <w:rPr>
      <w:b/>
      <w:bCs/>
      <w:szCs w:val="20"/>
    </w:rPr>
  </w:style>
  <w:style w:type="character" w:customStyle="1" w:styleId="CommentSubjectChar">
    <w:name w:val="Comment Subject Char"/>
    <w:basedOn w:val="CommentTextChar"/>
    <w:link w:val="CommentSubject"/>
    <w:rsid w:val="00BE6707"/>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BE6707"/>
    <w:pPr>
      <w:ind w:left="720"/>
      <w:contextualSpacing/>
    </w:pPr>
  </w:style>
  <w:style w:type="paragraph" w:customStyle="1" w:styleId="Default">
    <w:name w:val="Default"/>
    <w:rsid w:val="00BE670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Heading1NotTOC">
    <w:name w:val="Heading 1 Not TOC"/>
    <w:basedOn w:val="Heading1"/>
    <w:next w:val="BodyText"/>
    <w:rsid w:val="00BE6707"/>
    <w:rPr>
      <w:rFonts w:eastAsia="Times New Roman"/>
      <w:kern w:val="28"/>
      <w:szCs w:val="26"/>
      <w:lang w:eastAsia="en-US"/>
    </w:rPr>
  </w:style>
  <w:style w:type="character" w:styleId="Hyperlink">
    <w:name w:val="Hyperlink"/>
    <w:basedOn w:val="DefaultParagraphFont"/>
    <w:unhideWhenUsed/>
    <w:rsid w:val="00BE6707"/>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BE6707"/>
    <w:pPr>
      <w:spacing w:line="300" w:lineRule="exact"/>
    </w:pPr>
  </w:style>
  <w:style w:type="character" w:customStyle="1" w:styleId="CopyrightheadingChar">
    <w:name w:val="Copyright heading Char"/>
    <w:basedOn w:val="TOC1Char"/>
    <w:link w:val="Copyrightheading"/>
    <w:rsid w:val="00BE6707"/>
    <w:rPr>
      <w:rFonts w:ascii="Arial" w:eastAsia="Times New Roman" w:hAnsi="Arial" w:cs="Times New Roman"/>
      <w:b/>
      <w:sz w:val="26"/>
      <w:szCs w:val="26"/>
      <w:lang w:eastAsia="en-US"/>
    </w:rPr>
  </w:style>
  <w:style w:type="paragraph" w:customStyle="1" w:styleId="Copyrightsubtitle">
    <w:name w:val="Copyright subtitle"/>
    <w:basedOn w:val="BodyText"/>
    <w:rsid w:val="00BE6707"/>
    <w:rPr>
      <w:rFonts w:ascii="Arial" w:eastAsia="Times New Roman" w:hAnsi="Arial"/>
      <w:b/>
      <w:sz w:val="22"/>
      <w:szCs w:val="25"/>
    </w:rPr>
  </w:style>
  <w:style w:type="paragraph" w:customStyle="1" w:styleId="Copyrightbodytext">
    <w:name w:val="Copyright bodytext"/>
    <w:basedOn w:val="BodyText"/>
    <w:link w:val="CopyrightbodytextChar"/>
    <w:qFormat/>
    <w:rsid w:val="00BE6707"/>
    <w:pPr>
      <w:spacing w:before="60"/>
    </w:pPr>
    <w:rPr>
      <w:rFonts w:eastAsia="Times New Roman"/>
    </w:rPr>
  </w:style>
  <w:style w:type="character" w:customStyle="1" w:styleId="CopyrightbodytextChar">
    <w:name w:val="Copyright bodytext Char"/>
    <w:basedOn w:val="BodyTextChar"/>
    <w:link w:val="Copyrightbodytext"/>
    <w:rsid w:val="00BE6707"/>
    <w:rPr>
      <w:rFonts w:ascii="Times New Roman" w:eastAsia="Times New Roman" w:hAnsi="Times New Roman" w:cs="Times New Roman"/>
      <w:sz w:val="24"/>
      <w:szCs w:val="20"/>
      <w:lang w:eastAsia="en-AU"/>
    </w:rPr>
  </w:style>
  <w:style w:type="character" w:customStyle="1" w:styleId="SubHeading1Italics">
    <w:name w:val="Sub Heading 1: Italics"/>
    <w:uiPriority w:val="99"/>
    <w:rsid w:val="00BE6707"/>
    <w:rPr>
      <w:rFonts w:ascii="Goudy Oldstyle Italic" w:hAnsi="Goudy Oldstyle Italic" w:cs="Goudy Oldstyle Italic"/>
      <w:i/>
      <w:iCs/>
      <w:spacing w:val="0"/>
      <w:sz w:val="36"/>
      <w:szCs w:val="36"/>
      <w:u w:val="none"/>
      <w:vertAlign w:val="baseline"/>
    </w:rPr>
  </w:style>
  <w:style w:type="character" w:styleId="PlaceholderText">
    <w:name w:val="Placeholder Text"/>
    <w:basedOn w:val="DefaultParagraphFont"/>
    <w:uiPriority w:val="99"/>
    <w:semiHidden/>
    <w:rsid w:val="00BE6707"/>
    <w:rPr>
      <w:color w:val="808080"/>
    </w:rPr>
  </w:style>
  <w:style w:type="paragraph" w:styleId="NormalWeb">
    <w:name w:val="Normal (Web)"/>
    <w:basedOn w:val="Normal"/>
    <w:uiPriority w:val="99"/>
    <w:unhideWhenUsed/>
    <w:rsid w:val="00BE6707"/>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4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gov.au/inquiries/completed/consumer-product-safety/report"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creativecommons.org/licenses/by/3.0/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9037-D919-4134-8B9D-B7F1ADBC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6670</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Using real expenditure to assess policy impacts - Staff Research Note</vt:lpstr>
    </vt:vector>
  </TitlesOfParts>
  <Company/>
  <LinksUpToDate>false</LinksUpToDate>
  <CharactersWithSpaces>44600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real expenditure to assess policy impacts - Staff Research Note</dc:title>
  <dc:subject/>
  <dc:creator>Productivity Commission</dc:creator>
  <cp:keywords/>
  <dc:description/>
  <cp:lastModifiedBy>Pimperl, Mark</cp:lastModifiedBy>
  <cp:revision>5</cp:revision>
  <cp:lastPrinted>2019-12-04T22:41:00Z</cp:lastPrinted>
  <dcterms:created xsi:type="dcterms:W3CDTF">2019-11-27T21:47:00Z</dcterms:created>
  <dcterms:modified xsi:type="dcterms:W3CDTF">2019-12-05T22:07:00Z</dcterms:modified>
</cp:coreProperties>
</file>