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228914026"/>
        <w:docPartObj>
          <w:docPartGallery w:val="Cover Pages"/>
          <w:docPartUnique/>
        </w:docPartObj>
      </w:sdtPr>
      <w:sdtEndPr/>
      <w:sdtContent>
        <w:p w14:paraId="05097CD7" w14:textId="77777777" w:rsidR="00FC3DE2" w:rsidRPr="003C6F44" w:rsidRDefault="00FC3DE2" w:rsidP="00FC3DE2">
          <w:pPr>
            <w:pStyle w:val="CoverImage"/>
            <w:framePr w:wrap="around"/>
          </w:pPr>
          <w:r w:rsidRPr="003C6F44">
            <w:rPr>
              <w:noProof/>
            </w:rPr>
            <w:drawing>
              <wp:inline distT="0" distB="0" distL="0" distR="0" wp14:anchorId="313243D9" wp14:editId="4B178407">
                <wp:extent cx="7558753" cy="2806996"/>
                <wp:effectExtent l="0" t="0" r="444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4" cstate="print">
                          <a:extLst>
                            <a:ext uri="{28A0092B-C50C-407E-A947-70E740481C1C}">
                              <a14:useLocalDpi xmlns:a14="http://schemas.microsoft.com/office/drawing/2010/main" val="0"/>
                            </a:ext>
                          </a:extLst>
                        </a:blip>
                        <a:srcRect t="645" b="645"/>
                        <a:stretch>
                          <a:fillRect/>
                        </a:stretch>
                      </pic:blipFill>
                      <pic:spPr bwMode="auto">
                        <a:xfrm>
                          <a:off x="0" y="0"/>
                          <a:ext cx="7558753" cy="2806996"/>
                        </a:xfrm>
                        <a:prstGeom prst="rect">
                          <a:avLst/>
                        </a:prstGeom>
                        <a:ln>
                          <a:noFill/>
                        </a:ln>
                        <a:extLst>
                          <a:ext uri="{53640926-AAD7-44D8-BBD7-CCE9431645EC}">
                            <a14:shadowObscured xmlns:a14="http://schemas.microsoft.com/office/drawing/2010/main"/>
                          </a:ext>
                        </a:extLst>
                      </pic:spPr>
                    </pic:pic>
                  </a:graphicData>
                </a:graphic>
              </wp:inline>
            </w:drawing>
          </w:r>
        </w:p>
        <w:p w14:paraId="5806ECDE" w14:textId="4947F8E0" w:rsidR="00FC3DE2" w:rsidRPr="003C6F44" w:rsidRDefault="0017301B" w:rsidP="00FC3DE2">
          <w:pPr>
            <w:pStyle w:val="Coverdate"/>
            <w:framePr w:wrap="around"/>
          </w:pPr>
          <w:r>
            <w:t xml:space="preserve">August </w:t>
          </w:r>
          <w:r w:rsidR="0081758C" w:rsidRPr="003C6F44">
            <w:t>2023</w:t>
          </w:r>
        </w:p>
        <w:p w14:paraId="1CB9D34C" w14:textId="77777777" w:rsidR="00FC3DE2" w:rsidRPr="003C6F44" w:rsidRDefault="00FC3DE2" w:rsidP="00FC3DE2"/>
        <w:p w14:paraId="1FEBCB80" w14:textId="1506712F" w:rsidR="00FC3DE2" w:rsidRPr="003C6F44" w:rsidRDefault="00F83DD2" w:rsidP="00FC3DE2">
          <w:pPr>
            <w:pStyle w:val="Title"/>
            <w:ind w:right="140"/>
          </w:pPr>
          <w:bookmarkStart w:id="0" w:name="_Toc142050571"/>
          <w:r>
            <w:t>Inquiry into t</w:t>
          </w:r>
          <w:r w:rsidR="003D63D9">
            <w:t>he worsening rental crisis in Australia</w:t>
          </w:r>
          <w:bookmarkEnd w:id="0"/>
        </w:p>
        <w:p w14:paraId="33EAAC84" w14:textId="75730A0F" w:rsidR="00FC3DE2" w:rsidRPr="003C6F44" w:rsidRDefault="00297845" w:rsidP="00FC3DE2">
          <w:pPr>
            <w:pStyle w:val="Subtitle"/>
            <w:numPr>
              <w:ilvl w:val="0"/>
              <w:numId w:val="0"/>
            </w:numPr>
          </w:pPr>
          <w:r w:rsidRPr="003C6F44">
            <w:t>Productivity Commission submission</w:t>
          </w:r>
        </w:p>
        <w:p w14:paraId="4CE91493" w14:textId="77777777" w:rsidR="00FC3DE2" w:rsidRPr="003C6F44" w:rsidRDefault="00FC3DE2" w:rsidP="00FC3DE2">
          <w:pPr>
            <w:spacing w:after="160" w:line="259" w:lineRule="auto"/>
          </w:pPr>
        </w:p>
        <w:p w14:paraId="24C73654" w14:textId="717B7FAC" w:rsidR="00FC3DE2" w:rsidRPr="003C6F44" w:rsidRDefault="00FC3DE2" w:rsidP="0081758C">
          <w:pPr>
            <w:pStyle w:val="Title"/>
            <w:ind w:right="140"/>
            <w:sectPr w:rsidR="00FC3DE2" w:rsidRPr="003C6F44" w:rsidSect="002E3F19">
              <w:headerReference w:type="even" r:id="rId15"/>
              <w:headerReference w:type="default" r:id="rId16"/>
              <w:footerReference w:type="even" r:id="rId17"/>
              <w:footerReference w:type="default" r:id="rId18"/>
              <w:headerReference w:type="first" r:id="rId19"/>
              <w:footerReference w:type="first" r:id="rId20"/>
              <w:pgSz w:w="11906" w:h="16838" w:code="9"/>
              <w:pgMar w:top="2835" w:right="1134" w:bottom="1134" w:left="1134" w:header="624" w:footer="510" w:gutter="0"/>
              <w:pgNumType w:fmt="lowerRoman"/>
              <w:cols w:space="708"/>
              <w:titlePg/>
              <w:docGrid w:linePitch="360"/>
            </w:sectPr>
          </w:pPr>
        </w:p>
        <w:tbl>
          <w:tblPr>
            <w:tblStyle w:val="CopyrightPage"/>
            <w:tblW w:w="0" w:type="auto"/>
            <w:tblLook w:val="04A0" w:firstRow="1" w:lastRow="0" w:firstColumn="1" w:lastColumn="0" w:noHBand="0" w:noVBand="1"/>
          </w:tblPr>
          <w:tblGrid>
            <w:gridCol w:w="9638"/>
          </w:tblGrid>
          <w:tr w:rsidR="00FC3DE2" w:rsidRPr="003C6F44" w14:paraId="1B1CDAA3" w14:textId="77777777">
            <w:trPr>
              <w:trHeight w:hRule="exact" w:val="12643"/>
            </w:trPr>
            <w:tc>
              <w:tcPr>
                <w:tcW w:w="9638" w:type="dxa"/>
                <w:tcMar>
                  <w:top w:w="113" w:type="dxa"/>
                </w:tcMar>
              </w:tcPr>
              <w:p w14:paraId="097BEFB6" w14:textId="77777777" w:rsidR="00FC3DE2" w:rsidRPr="003C6F44" w:rsidRDefault="00FC3DE2">
                <w:pPr>
                  <w:pStyle w:val="Copyrightpage-BodyBold"/>
                  <w:ind w:right="-284"/>
                  <w:rPr>
                    <w:rFonts w:asciiTheme="majorHAnsi" w:hAnsiTheme="majorHAnsi"/>
                  </w:rPr>
                </w:pPr>
                <w:r w:rsidRPr="003C6F44">
                  <w:rPr>
                    <w:rStyle w:val="White"/>
                  </w:rPr>
                  <w:lastRenderedPageBreak/>
                  <w:br w:type="page"/>
                </w:r>
                <w:r w:rsidRPr="003C6F44">
                  <w:rPr>
                    <w:rFonts w:asciiTheme="majorHAnsi" w:hAnsiTheme="majorHAnsi"/>
                  </w:rPr>
                  <w:t xml:space="preserve">The Productivity Commission acknowledges the Traditional Owners of </w:t>
                </w:r>
                <w:r w:rsidRPr="003C6F44">
                  <w:rPr>
                    <w:rFonts w:asciiTheme="majorHAnsi" w:hAnsiTheme="majorHAnsi"/>
                  </w:rPr>
                  <w:br/>
                  <w:t xml:space="preserve">Country throughout Australia and their continuing connection to land, </w:t>
                </w:r>
                <w:r w:rsidRPr="003C6F44">
                  <w:rPr>
                    <w:rFonts w:asciiTheme="majorHAnsi" w:hAnsiTheme="majorHAnsi"/>
                  </w:rPr>
                  <w:br/>
                  <w:t>waters and community. We pay our respects to their Cultures, Country and Elders past and present.</w:t>
                </w:r>
              </w:p>
              <w:p w14:paraId="72A7DF9F" w14:textId="77777777" w:rsidR="00FC3DE2" w:rsidRPr="003C6F44" w:rsidRDefault="00FC3DE2">
                <w:pPr>
                  <w:pStyle w:val="Copyrightpage-Keylinenotext"/>
                  <w:ind w:right="-284"/>
                </w:pPr>
              </w:p>
              <w:p w14:paraId="2D3AD40B" w14:textId="77777777" w:rsidR="00FC3DE2" w:rsidRPr="003C6F44" w:rsidRDefault="00FC3DE2">
                <w:pPr>
                  <w:pStyle w:val="Copyrightpage-Heading"/>
                  <w:ind w:right="-284"/>
                </w:pPr>
                <w:r w:rsidRPr="003C6F44">
                  <w:t>The Productivity Commission</w:t>
                </w:r>
              </w:p>
              <w:p w14:paraId="44E57872" w14:textId="77777777" w:rsidR="00FC3DE2" w:rsidRPr="003C6F44" w:rsidRDefault="00FC3DE2">
                <w:pPr>
                  <w:pStyle w:val="Copyrightpage-BodyBold"/>
                  <w:rPr>
                    <w:spacing w:val="-4"/>
                  </w:rPr>
                </w:pPr>
                <w:r w:rsidRPr="003C6F44">
                  <w:rPr>
                    <w:spacing w:val="-4"/>
                  </w:rPr>
                  <w:t>The Productivity Commission is the Australian Government’s independent research and advisory body on a range of economic, social and environmental issues affecting the welfare of Australians. Its role, expressed most simply, is to help governments make better policies, in the long term interest of the Australian community.</w:t>
                </w:r>
              </w:p>
              <w:p w14:paraId="324A8E13" w14:textId="77777777" w:rsidR="00FC3DE2" w:rsidRPr="003C6F44" w:rsidRDefault="00FC3DE2">
                <w:pPr>
                  <w:pStyle w:val="Copyrightpage-BodyBold"/>
                </w:pPr>
                <w:r w:rsidRPr="003C6F44">
                  <w:t>The Commission’s independence is underpinned by an Act of Parliament. Its processes and outputs are open to public scrutiny and are driven by concern for the wellbeing of the community as a whole.</w:t>
                </w:r>
              </w:p>
              <w:p w14:paraId="71392E84" w14:textId="77777777" w:rsidR="00FC3DE2" w:rsidRPr="003C6F44" w:rsidRDefault="00FC3DE2">
                <w:pPr>
                  <w:pStyle w:val="Copyrightpage-BodyBold"/>
                </w:pPr>
                <w:r w:rsidRPr="003C6F44">
                  <w:t>Further information on the Productivity Commission can be obtained from the Commission’s website (www.pc.gov.au).</w:t>
                </w:r>
              </w:p>
              <w:p w14:paraId="39BA5FF6" w14:textId="77777777" w:rsidR="00FC3DE2" w:rsidRPr="003C6F44" w:rsidRDefault="00FC3DE2">
                <w:pPr>
                  <w:pStyle w:val="Copyrightpage-Keylinenotext"/>
                  <w:ind w:right="-284"/>
                  <w:rPr>
                    <w:b/>
                    <w:bCs/>
                  </w:rPr>
                </w:pPr>
              </w:p>
              <w:p w14:paraId="3E002A52" w14:textId="739F6B74" w:rsidR="00FC3DE2" w:rsidRPr="003C6F44" w:rsidRDefault="00FC3DE2">
                <w:pPr>
                  <w:pStyle w:val="Copyrightpage-BodyBold"/>
                </w:pPr>
                <w:r w:rsidRPr="003C6F44">
                  <w:t xml:space="preserve">© Commonwealth of Australia </w:t>
                </w:r>
                <w:r w:rsidR="009C7602" w:rsidRPr="003C6F44">
                  <w:t>2023</w:t>
                </w:r>
              </w:p>
              <w:p w14:paraId="27647058" w14:textId="77777777" w:rsidR="00FC3DE2" w:rsidRPr="003C6F44" w:rsidRDefault="00FC3DE2">
                <w:pPr>
                  <w:pStyle w:val="Copyrightpage-Heading2"/>
                  <w:spacing w:before="0"/>
                  <w:ind w:right="-284"/>
                  <w:rPr>
                    <w:bCs/>
                  </w:rPr>
                </w:pPr>
                <w:r w:rsidRPr="003C6F44">
                  <w:rPr>
                    <w:bCs/>
                    <w:noProof/>
                  </w:rPr>
                  <w:drawing>
                    <wp:inline distT="0" distB="0" distL="0" distR="0" wp14:anchorId="6BD48393" wp14:editId="52C880EF">
                      <wp:extent cx="774000" cy="270000"/>
                      <wp:effectExtent l="0" t="0" r="7620" b="0"/>
                      <wp:docPr id="6" name="Graphic 6" descr="CC By logo">
                        <a:extLst xmlns:a="http://schemas.openxmlformats.org/drawingml/2006/main">
                          <a:ext uri="{FF2B5EF4-FFF2-40B4-BE49-F238E27FC236}">
                            <a16:creationId xmlns:a16="http://schemas.microsoft.com/office/drawing/2014/main" id="{F54E5013-412A-4F91-9DD3-DA71DB1337D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5" descr="CC By logo">
                                <a:extLst>
                                  <a:ext uri="{FF2B5EF4-FFF2-40B4-BE49-F238E27FC236}">
                                    <a16:creationId xmlns:a16="http://schemas.microsoft.com/office/drawing/2014/main" id="{F54E5013-412A-4F91-9DD3-DA71DB1337DF}"/>
                                  </a:ext>
                                </a:extLst>
                              </pic:cNvPr>
                              <pic:cNvPicPr>
                                <a:picLocks noChangeAspect="1"/>
                              </pic:cNvPicPr>
                            </pic:nvPicPr>
                            <pic:blipFill>
                              <a:blip r:embed="rId21">
                                <a:extLst>
                                  <a:ext uri="{28A0092B-C50C-407E-A947-70E740481C1C}">
                                    <a14:useLocalDpi xmlns:a14="http://schemas.microsoft.com/office/drawing/2010/main" val="0"/>
                                  </a:ext>
                                  <a:ext uri="{96DAC541-7B7A-43D3-8B79-37D633B846F1}">
                                    <asvg:svgBlip xmlns:asvg="http://schemas.microsoft.com/office/drawing/2016/SVG/main" r:embed="rId22"/>
                                  </a:ext>
                                </a:extLst>
                              </a:blip>
                              <a:stretch>
                                <a:fillRect/>
                              </a:stretch>
                            </pic:blipFill>
                            <pic:spPr>
                              <a:xfrm>
                                <a:off x="0" y="0"/>
                                <a:ext cx="774000" cy="270000"/>
                              </a:xfrm>
                              <a:prstGeom prst="rect">
                                <a:avLst/>
                              </a:prstGeom>
                            </pic:spPr>
                          </pic:pic>
                        </a:graphicData>
                      </a:graphic>
                    </wp:inline>
                  </w:drawing>
                </w:r>
              </w:p>
              <w:p w14:paraId="5336B0AA" w14:textId="77777777" w:rsidR="00FC3DE2" w:rsidRPr="003C6F44" w:rsidRDefault="00FC3DE2">
                <w:pPr>
                  <w:pStyle w:val="Copyrightpage-BodyBold"/>
                  <w:ind w:right="-143"/>
                </w:pPr>
                <w:r w:rsidRPr="003C6F44">
                  <w:t>With the exception of the Commonwealth Coat of Arms and content supplied by third parties, this copyright work is licensed under a Creative Commons Attribution 4.0 International licence. In essence, you are free to copy, communicate and adapt the work, as long as you attribute the work to the Productivity Commission (but not in any way that suggests the Commission endorses you or your use) and abide by the other licence terms. The licence can be viewed at: https://creativecommons.org/licenses/by/4.0.</w:t>
                </w:r>
              </w:p>
              <w:p w14:paraId="74245BA5" w14:textId="77777777" w:rsidR="00FC3DE2" w:rsidRPr="003C6F44" w:rsidRDefault="00FC3DE2">
                <w:pPr>
                  <w:pStyle w:val="Copyrightpage-BodyBold"/>
                </w:pPr>
                <w:r w:rsidRPr="003C6F44">
                  <w:t>The terms under which the Coat of Arms can be used are detailed at: www.pmc.gov.au/government/commonwealth-coat-arms.</w:t>
                </w:r>
              </w:p>
              <w:p w14:paraId="31DCCCBE" w14:textId="77777777" w:rsidR="00FC3DE2" w:rsidRPr="003C6F44" w:rsidRDefault="00FC3DE2">
                <w:pPr>
                  <w:pStyle w:val="Copyrightpage-BodyBold"/>
                </w:pPr>
                <w:r w:rsidRPr="003C6F44">
                  <w:t>Wherever a third party holds copyright in this material the copyright remains with that party. Their permission may be required to use the material, please contact them directly.</w:t>
                </w:r>
              </w:p>
              <w:p w14:paraId="7EA75BFA" w14:textId="175D1353" w:rsidR="00FC3DE2" w:rsidRPr="003C6F44" w:rsidRDefault="00FC3DE2">
                <w:pPr>
                  <w:pStyle w:val="Copyrightpage-BodyBold"/>
                </w:pPr>
                <w:r w:rsidRPr="003C6F44">
                  <w:t>An appropriate reference for this publication is:</w:t>
                </w:r>
                <w:r w:rsidRPr="003C6F44">
                  <w:br/>
                  <w:t xml:space="preserve">Productivity Commission </w:t>
                </w:r>
                <w:r w:rsidR="000F77F5" w:rsidRPr="003C6F44">
                  <w:t>2023</w:t>
                </w:r>
                <w:r w:rsidRPr="003C6F44">
                  <w:t xml:space="preserve">, </w:t>
                </w:r>
                <w:r w:rsidR="00297845" w:rsidRPr="003C6F44">
                  <w:rPr>
                    <w:i/>
                    <w:iCs/>
                  </w:rPr>
                  <w:t xml:space="preserve">Submission to </w:t>
                </w:r>
                <w:r w:rsidR="00FD6FF6">
                  <w:rPr>
                    <w:i/>
                    <w:iCs/>
                  </w:rPr>
                  <w:t xml:space="preserve">the inquiry into </w:t>
                </w:r>
                <w:r w:rsidR="004523BA">
                  <w:rPr>
                    <w:i/>
                    <w:iCs/>
                  </w:rPr>
                  <w:t xml:space="preserve">the worsening rental crisis in Australia, </w:t>
                </w:r>
                <w:r w:rsidRPr="003C6F44">
                  <w:t>Canberra</w:t>
                </w:r>
              </w:p>
              <w:p w14:paraId="7580868B" w14:textId="77777777" w:rsidR="00FC3DE2" w:rsidRPr="003C6F44" w:rsidRDefault="00FC3DE2">
                <w:pPr>
                  <w:pStyle w:val="Copyrightpage-BodyBold"/>
                  <w:ind w:right="-284"/>
                </w:pPr>
              </w:p>
              <w:p w14:paraId="5EB68518" w14:textId="54DB8179" w:rsidR="00FC3DE2" w:rsidRPr="003C6F44" w:rsidRDefault="00FC3DE2">
                <w:pPr>
                  <w:pStyle w:val="Copyrightpage-BodyBold"/>
                  <w:ind w:right="-284"/>
                </w:pPr>
                <w:r w:rsidRPr="003C6F44">
                  <w:t xml:space="preserve">Publication enquiries: </w:t>
                </w:r>
                <w:r w:rsidRPr="003C6F44">
                  <w:br/>
                </w:r>
                <w:r w:rsidR="00A176C2">
                  <w:t>P</w:t>
                </w:r>
                <w:r w:rsidRPr="003C6F44">
                  <w:t xml:space="preserve">hone 03 9653 2244 | </w:t>
                </w:r>
                <w:r w:rsidR="003A36EB">
                  <w:t>e</w:t>
                </w:r>
                <w:r w:rsidRPr="003C6F44">
                  <w:t>m</w:t>
                </w:r>
                <w:r w:rsidRPr="00124B97">
                  <w:t xml:space="preserve">ail </w:t>
                </w:r>
                <w:r w:rsidR="0002620E" w:rsidRPr="0002620E">
                  <w:t>publications@pc.gov.au</w:t>
                </w:r>
              </w:p>
            </w:tc>
          </w:tr>
        </w:tbl>
        <w:p w14:paraId="3CFC6ECA" w14:textId="77777777" w:rsidR="00FC3DE2" w:rsidRPr="003C6F44" w:rsidRDefault="00FC3DE2" w:rsidP="00FC3DE2">
          <w:pPr>
            <w:spacing w:before="0" w:after="160" w:line="259" w:lineRule="auto"/>
            <w:rPr>
              <w:b/>
              <w:color w:val="FFFFFF" w:themeColor="background1"/>
            </w:rPr>
          </w:pPr>
          <w:r w:rsidRPr="003C6F44">
            <w:rPr>
              <w:rStyle w:val="White"/>
              <w:b/>
            </w:rPr>
            <w:t xml:space="preserve"> </w:t>
          </w:r>
        </w:p>
      </w:sdtContent>
    </w:sdt>
    <w:p w14:paraId="67AA3E2C" w14:textId="0F630505" w:rsidR="00B75711" w:rsidRPr="00A176C2" w:rsidRDefault="00FA1FDE" w:rsidP="00A41747">
      <w:pPr>
        <w:pStyle w:val="Heading2-nonumber"/>
        <w:spacing w:after="360"/>
        <w:rPr>
          <w:color w:val="265A9A" w:themeColor="background2"/>
        </w:rPr>
      </w:pPr>
      <w:r w:rsidRPr="00A176C2">
        <w:rPr>
          <w:color w:val="265A9A" w:themeColor="background2"/>
        </w:rPr>
        <w:lastRenderedPageBreak/>
        <w:t>Contents</w:t>
      </w:r>
    </w:p>
    <w:p w14:paraId="347883C6" w14:textId="5BB68DAC" w:rsidR="00B75711" w:rsidRDefault="00B75711" w:rsidP="00B75711">
      <w:pPr>
        <w:pStyle w:val="TOC1"/>
        <w:rPr>
          <w:rFonts w:eastAsiaTheme="minorEastAsia"/>
          <w:noProof/>
          <w:sz w:val="22"/>
          <w:szCs w:val="22"/>
          <w:lang w:eastAsia="en-AU"/>
        </w:rPr>
      </w:pPr>
      <w:r>
        <w:rPr>
          <w:noProof/>
        </w:rPr>
        <w:fldChar w:fldCharType="begin"/>
      </w:r>
      <w:r>
        <w:rPr>
          <w:noProof/>
        </w:rPr>
        <w:instrText xml:space="preserve"> TOC \t "Heading 1,1,Heading-Appendix,1,Heading 1-no number,1,Heading 1-no background,1,Heading 1-Section-full page,3,Heading 2,2,Heading 2-no number,2,Heading 2-Appendix,2" </w:instrText>
      </w:r>
      <w:r>
        <w:rPr>
          <w:noProof/>
        </w:rPr>
        <w:fldChar w:fldCharType="separate"/>
      </w:r>
      <w:r>
        <w:rPr>
          <w:noProof/>
        </w:rPr>
        <w:t>1.</w:t>
      </w:r>
      <w:r>
        <w:rPr>
          <w:rFonts w:eastAsiaTheme="minorEastAsia"/>
          <w:noProof/>
          <w:sz w:val="22"/>
          <w:szCs w:val="22"/>
          <w:lang w:eastAsia="en-AU"/>
        </w:rPr>
        <w:tab/>
      </w:r>
      <w:r>
        <w:rPr>
          <w:noProof/>
        </w:rPr>
        <w:t>Introduction</w:t>
      </w:r>
      <w:r>
        <w:rPr>
          <w:noProof/>
        </w:rPr>
        <w:tab/>
      </w:r>
      <w:r>
        <w:rPr>
          <w:noProof/>
        </w:rPr>
        <w:fldChar w:fldCharType="begin"/>
      </w:r>
      <w:r>
        <w:rPr>
          <w:noProof/>
        </w:rPr>
        <w:instrText xml:space="preserve"> PAGEREF _Toc142050614 \h </w:instrText>
      </w:r>
      <w:r>
        <w:rPr>
          <w:noProof/>
        </w:rPr>
      </w:r>
      <w:r>
        <w:fldChar w:fldCharType="separate"/>
      </w:r>
      <w:r w:rsidR="007A69D3">
        <w:rPr>
          <w:noProof/>
        </w:rPr>
        <w:t>4</w:t>
      </w:r>
      <w:r>
        <w:rPr>
          <w:noProof/>
        </w:rPr>
        <w:fldChar w:fldCharType="end"/>
      </w:r>
    </w:p>
    <w:p w14:paraId="0E6424F0" w14:textId="32E9CD50" w:rsidR="00B75711" w:rsidRDefault="00B75711" w:rsidP="00B75711">
      <w:pPr>
        <w:pStyle w:val="TOC1"/>
        <w:rPr>
          <w:rFonts w:eastAsiaTheme="minorEastAsia"/>
          <w:noProof/>
          <w:sz w:val="22"/>
          <w:szCs w:val="22"/>
          <w:lang w:eastAsia="en-AU"/>
        </w:rPr>
      </w:pPr>
      <w:r>
        <w:rPr>
          <w:noProof/>
        </w:rPr>
        <w:t>2.</w:t>
      </w:r>
      <w:r>
        <w:rPr>
          <w:rFonts w:eastAsiaTheme="minorEastAsia"/>
          <w:noProof/>
          <w:sz w:val="22"/>
          <w:szCs w:val="22"/>
          <w:lang w:eastAsia="en-AU"/>
        </w:rPr>
        <w:tab/>
      </w:r>
      <w:r>
        <w:rPr>
          <w:noProof/>
        </w:rPr>
        <w:t>How affordable is the private rental market?</w:t>
      </w:r>
      <w:r>
        <w:rPr>
          <w:noProof/>
        </w:rPr>
        <w:tab/>
      </w:r>
      <w:r>
        <w:rPr>
          <w:noProof/>
        </w:rPr>
        <w:fldChar w:fldCharType="begin"/>
      </w:r>
      <w:r>
        <w:rPr>
          <w:noProof/>
        </w:rPr>
        <w:instrText xml:space="preserve"> PAGEREF _Toc142050615 \h </w:instrText>
      </w:r>
      <w:r>
        <w:rPr>
          <w:noProof/>
        </w:rPr>
      </w:r>
      <w:r>
        <w:fldChar w:fldCharType="separate"/>
      </w:r>
      <w:r w:rsidR="007A69D3">
        <w:rPr>
          <w:noProof/>
        </w:rPr>
        <w:t>5</w:t>
      </w:r>
      <w:r>
        <w:rPr>
          <w:noProof/>
        </w:rPr>
        <w:fldChar w:fldCharType="end"/>
      </w:r>
    </w:p>
    <w:p w14:paraId="32E9D525" w14:textId="290CE350" w:rsidR="00B75711" w:rsidRDefault="00B75711" w:rsidP="00B75711">
      <w:pPr>
        <w:pStyle w:val="TOC1"/>
        <w:rPr>
          <w:rFonts w:eastAsiaTheme="minorEastAsia"/>
          <w:noProof/>
          <w:sz w:val="22"/>
          <w:szCs w:val="22"/>
          <w:lang w:eastAsia="en-AU"/>
        </w:rPr>
      </w:pPr>
      <w:r>
        <w:rPr>
          <w:noProof/>
        </w:rPr>
        <w:t>3.</w:t>
      </w:r>
      <w:r>
        <w:rPr>
          <w:rFonts w:eastAsiaTheme="minorEastAsia"/>
          <w:noProof/>
          <w:sz w:val="22"/>
          <w:szCs w:val="22"/>
          <w:lang w:eastAsia="en-AU"/>
        </w:rPr>
        <w:tab/>
      </w:r>
      <w:r>
        <w:rPr>
          <w:noProof/>
        </w:rPr>
        <w:t>More homes, cheaper rent</w:t>
      </w:r>
      <w:r>
        <w:rPr>
          <w:noProof/>
        </w:rPr>
        <w:tab/>
      </w:r>
      <w:r>
        <w:rPr>
          <w:noProof/>
        </w:rPr>
        <w:fldChar w:fldCharType="begin"/>
      </w:r>
      <w:r>
        <w:rPr>
          <w:noProof/>
        </w:rPr>
        <w:instrText xml:space="preserve"> PAGEREF _Toc142050616 \h </w:instrText>
      </w:r>
      <w:r>
        <w:rPr>
          <w:noProof/>
        </w:rPr>
      </w:r>
      <w:r>
        <w:fldChar w:fldCharType="separate"/>
      </w:r>
      <w:r w:rsidR="007A69D3">
        <w:rPr>
          <w:noProof/>
        </w:rPr>
        <w:t>9</w:t>
      </w:r>
      <w:r>
        <w:rPr>
          <w:noProof/>
        </w:rPr>
        <w:fldChar w:fldCharType="end"/>
      </w:r>
    </w:p>
    <w:p w14:paraId="4FA2AAA2" w14:textId="39E2FFD0" w:rsidR="00B75711" w:rsidRDefault="00B75711" w:rsidP="00B75711">
      <w:pPr>
        <w:pStyle w:val="TOC1"/>
        <w:rPr>
          <w:rFonts w:eastAsiaTheme="minorEastAsia"/>
          <w:noProof/>
          <w:sz w:val="22"/>
          <w:szCs w:val="22"/>
          <w:lang w:eastAsia="en-AU"/>
        </w:rPr>
      </w:pPr>
      <w:r>
        <w:rPr>
          <w:noProof/>
        </w:rPr>
        <w:t>4.</w:t>
      </w:r>
      <w:r>
        <w:rPr>
          <w:rFonts w:eastAsiaTheme="minorEastAsia"/>
          <w:noProof/>
          <w:sz w:val="22"/>
          <w:szCs w:val="22"/>
          <w:lang w:eastAsia="en-AU"/>
        </w:rPr>
        <w:tab/>
      </w:r>
      <w:r>
        <w:rPr>
          <w:noProof/>
        </w:rPr>
        <w:t>Boosting renters’ incomes to improve affordability</w:t>
      </w:r>
      <w:r>
        <w:rPr>
          <w:noProof/>
        </w:rPr>
        <w:tab/>
      </w:r>
      <w:r>
        <w:rPr>
          <w:noProof/>
        </w:rPr>
        <w:fldChar w:fldCharType="begin"/>
      </w:r>
      <w:r>
        <w:rPr>
          <w:noProof/>
        </w:rPr>
        <w:instrText xml:space="preserve"> PAGEREF _Toc142050617 \h </w:instrText>
      </w:r>
      <w:r>
        <w:rPr>
          <w:noProof/>
        </w:rPr>
      </w:r>
      <w:r>
        <w:fldChar w:fldCharType="separate"/>
      </w:r>
      <w:r w:rsidR="007A69D3">
        <w:rPr>
          <w:noProof/>
        </w:rPr>
        <w:t>12</w:t>
      </w:r>
      <w:r>
        <w:rPr>
          <w:noProof/>
        </w:rPr>
        <w:fldChar w:fldCharType="end"/>
      </w:r>
    </w:p>
    <w:p w14:paraId="2E78D98D" w14:textId="4C865267" w:rsidR="00B75711" w:rsidRDefault="00B75711" w:rsidP="00B75711">
      <w:pPr>
        <w:pStyle w:val="TOC1"/>
        <w:rPr>
          <w:rFonts w:eastAsiaTheme="minorEastAsia"/>
          <w:noProof/>
          <w:sz w:val="22"/>
          <w:szCs w:val="22"/>
          <w:lang w:eastAsia="en-AU"/>
        </w:rPr>
      </w:pPr>
      <w:r>
        <w:rPr>
          <w:noProof/>
        </w:rPr>
        <w:t>5.</w:t>
      </w:r>
      <w:r>
        <w:rPr>
          <w:rFonts w:eastAsiaTheme="minorEastAsia"/>
          <w:noProof/>
          <w:sz w:val="22"/>
          <w:szCs w:val="22"/>
          <w:lang w:eastAsia="en-AU"/>
        </w:rPr>
        <w:tab/>
      </w:r>
      <w:r>
        <w:rPr>
          <w:noProof/>
        </w:rPr>
        <w:t>Tenancy laws and tenancy support services</w:t>
      </w:r>
      <w:r>
        <w:rPr>
          <w:noProof/>
        </w:rPr>
        <w:tab/>
      </w:r>
      <w:r>
        <w:rPr>
          <w:noProof/>
        </w:rPr>
        <w:fldChar w:fldCharType="begin"/>
      </w:r>
      <w:r>
        <w:rPr>
          <w:noProof/>
        </w:rPr>
        <w:instrText xml:space="preserve"> PAGEREF _Toc142050618 \h </w:instrText>
      </w:r>
      <w:r>
        <w:rPr>
          <w:noProof/>
        </w:rPr>
      </w:r>
      <w:r>
        <w:fldChar w:fldCharType="separate"/>
      </w:r>
      <w:r w:rsidR="007A69D3">
        <w:rPr>
          <w:noProof/>
        </w:rPr>
        <w:t>14</w:t>
      </w:r>
      <w:r>
        <w:rPr>
          <w:noProof/>
        </w:rPr>
        <w:fldChar w:fldCharType="end"/>
      </w:r>
    </w:p>
    <w:p w14:paraId="6D3EC1BF" w14:textId="139B6F04" w:rsidR="00B75711" w:rsidRDefault="00B75711" w:rsidP="00B75711">
      <w:pPr>
        <w:pStyle w:val="TOC1"/>
        <w:rPr>
          <w:rFonts w:eastAsiaTheme="minorEastAsia"/>
          <w:noProof/>
          <w:sz w:val="22"/>
          <w:szCs w:val="22"/>
          <w:lang w:eastAsia="en-AU"/>
        </w:rPr>
      </w:pPr>
      <w:r>
        <w:rPr>
          <w:noProof/>
        </w:rPr>
        <w:t>References</w:t>
      </w:r>
      <w:r>
        <w:rPr>
          <w:noProof/>
        </w:rPr>
        <w:tab/>
      </w:r>
      <w:r>
        <w:rPr>
          <w:noProof/>
        </w:rPr>
        <w:fldChar w:fldCharType="begin"/>
      </w:r>
      <w:r>
        <w:rPr>
          <w:noProof/>
        </w:rPr>
        <w:instrText xml:space="preserve"> PAGEREF _Toc142050619 \h </w:instrText>
      </w:r>
      <w:r>
        <w:rPr>
          <w:noProof/>
        </w:rPr>
      </w:r>
      <w:r>
        <w:fldChar w:fldCharType="separate"/>
      </w:r>
      <w:r w:rsidR="007A69D3">
        <w:rPr>
          <w:noProof/>
        </w:rPr>
        <w:t>17</w:t>
      </w:r>
      <w:r>
        <w:rPr>
          <w:noProof/>
        </w:rPr>
        <w:fldChar w:fldCharType="end"/>
      </w:r>
    </w:p>
    <w:p w14:paraId="6D90F379" w14:textId="10731282" w:rsidR="00A27B55" w:rsidRDefault="00B75711" w:rsidP="007D5EE0">
      <w:pPr>
        <w:pStyle w:val="BodyText"/>
      </w:pPr>
      <w:r>
        <w:rPr>
          <w:noProof/>
        </w:rPr>
        <w:fldChar w:fldCharType="end"/>
      </w:r>
      <w:r w:rsidR="00A27B55">
        <w:br w:type="page"/>
      </w:r>
    </w:p>
    <w:p w14:paraId="06A0112C" w14:textId="376C4B07" w:rsidR="00A9165A" w:rsidRPr="00521C4F" w:rsidRDefault="00411611" w:rsidP="00195AAA">
      <w:pPr>
        <w:pStyle w:val="Heading2-nonumber"/>
      </w:pPr>
      <w:bookmarkStart w:id="1" w:name="_Toc142050413"/>
      <w:bookmarkStart w:id="2" w:name="_Toc142050480"/>
      <w:bookmarkStart w:id="3" w:name="_Toc142050574"/>
      <w:bookmarkStart w:id="4" w:name="_Toc142050614"/>
      <w:r w:rsidRPr="00411611">
        <w:lastRenderedPageBreak/>
        <w:t>1.</w:t>
      </w:r>
      <w:r w:rsidRPr="00411611">
        <w:tab/>
      </w:r>
      <w:r w:rsidR="00A9165A" w:rsidRPr="00521C4F">
        <w:t>Introduction</w:t>
      </w:r>
      <w:bookmarkEnd w:id="1"/>
      <w:bookmarkEnd w:id="2"/>
      <w:bookmarkEnd w:id="3"/>
      <w:bookmarkEnd w:id="4"/>
    </w:p>
    <w:p w14:paraId="55C8C336" w14:textId="416CD123" w:rsidR="00852895" w:rsidRPr="003C6F44" w:rsidRDefault="00852895" w:rsidP="00852895">
      <w:pPr>
        <w:pStyle w:val="BodyText"/>
      </w:pPr>
      <w:r w:rsidRPr="003C6F44">
        <w:t>The Productivity Commission (</w:t>
      </w:r>
      <w:r w:rsidR="009F4FEE">
        <w:t xml:space="preserve">the </w:t>
      </w:r>
      <w:r w:rsidRPr="003C6F44">
        <w:t>Commission) is pleased to make this submission to the</w:t>
      </w:r>
      <w:r w:rsidR="004913F6" w:rsidRPr="003C6F44">
        <w:t xml:space="preserve"> Senate Community Affairs References Committee</w:t>
      </w:r>
      <w:r w:rsidR="00577AFB">
        <w:t xml:space="preserve"> inquiry into the worsening rental crisis in Australia</w:t>
      </w:r>
      <w:r w:rsidR="00A66817" w:rsidRPr="003C6F44">
        <w:t xml:space="preserve">. </w:t>
      </w:r>
    </w:p>
    <w:p w14:paraId="638A74E2" w14:textId="646AB7C8" w:rsidR="00C051BE" w:rsidRPr="003C6F44" w:rsidRDefault="00852895" w:rsidP="0049655E">
      <w:pPr>
        <w:pStyle w:val="BodyText"/>
      </w:pPr>
      <w:r w:rsidRPr="003C6F44">
        <w:t>The Commission is the Australian Government’s independent research and advisory body on economic, social and environmental issues affecting the wellbeing of Australians. The core function of the Commission is to conduct public inquiries</w:t>
      </w:r>
      <w:r w:rsidR="00634E8D">
        <w:t xml:space="preserve">, as </w:t>
      </w:r>
      <w:r w:rsidRPr="003C6F44">
        <w:t>request</w:t>
      </w:r>
      <w:r w:rsidR="00634E8D">
        <w:t xml:space="preserve">ed by </w:t>
      </w:r>
      <w:r w:rsidRPr="003C6F44">
        <w:t>the</w:t>
      </w:r>
      <w:r w:rsidR="00B94197" w:rsidRPr="003C6F44">
        <w:t xml:space="preserve"> </w:t>
      </w:r>
      <w:r w:rsidRPr="003C6F44">
        <w:t>Australian Government</w:t>
      </w:r>
      <w:r w:rsidR="00634E8D">
        <w:t>,</w:t>
      </w:r>
      <w:r w:rsidRPr="003C6F44">
        <w:t xml:space="preserve"> on key policy or regulatory issues that affect Australia’s economic</w:t>
      </w:r>
      <w:r w:rsidR="00B94197" w:rsidRPr="003C6F44">
        <w:t xml:space="preserve"> </w:t>
      </w:r>
      <w:r w:rsidRPr="003C6F44">
        <w:t xml:space="preserve">performance and community wellbeing. </w:t>
      </w:r>
      <w:r w:rsidR="00604784">
        <w:t xml:space="preserve">We also </w:t>
      </w:r>
      <w:r w:rsidRPr="003C6F44">
        <w:t>undertake research at the request of</w:t>
      </w:r>
      <w:r w:rsidR="00B94197" w:rsidRPr="003C6F44">
        <w:t xml:space="preserve"> </w:t>
      </w:r>
      <w:r w:rsidRPr="003C6F44">
        <w:t>the Government and support its annual reporting</w:t>
      </w:r>
      <w:r w:rsidR="00AB7347">
        <w:t xml:space="preserve"> and </w:t>
      </w:r>
      <w:r w:rsidRPr="003C6F44">
        <w:t>performance monitoring</w:t>
      </w:r>
      <w:r w:rsidR="00AB7347">
        <w:t xml:space="preserve">. </w:t>
      </w:r>
    </w:p>
    <w:p w14:paraId="52E4B00F" w14:textId="2EF73E32" w:rsidR="00385FA0" w:rsidRPr="006B0A09" w:rsidRDefault="005B6C78" w:rsidP="00A37C59">
      <w:pPr>
        <w:pStyle w:val="BodyText"/>
        <w:rPr>
          <w:spacing w:val="-4"/>
        </w:rPr>
      </w:pPr>
      <w:r w:rsidRPr="006B0A09">
        <w:rPr>
          <w:spacing w:val="-4"/>
        </w:rPr>
        <w:t>Th</w:t>
      </w:r>
      <w:r w:rsidR="00AB7347" w:rsidRPr="006B0A09">
        <w:rPr>
          <w:spacing w:val="-4"/>
        </w:rPr>
        <w:t xml:space="preserve">is submission draws on </w:t>
      </w:r>
      <w:r w:rsidR="00192E9C" w:rsidRPr="006B0A09">
        <w:rPr>
          <w:spacing w:val="-4"/>
        </w:rPr>
        <w:t xml:space="preserve">the </w:t>
      </w:r>
      <w:r w:rsidRPr="006B0A09">
        <w:rPr>
          <w:spacing w:val="-4"/>
        </w:rPr>
        <w:t>Commission</w:t>
      </w:r>
      <w:r w:rsidR="00192E9C" w:rsidRPr="006B0A09">
        <w:rPr>
          <w:spacing w:val="-4"/>
        </w:rPr>
        <w:t>’s</w:t>
      </w:r>
      <w:r w:rsidRPr="006B0A09">
        <w:rPr>
          <w:spacing w:val="-4"/>
        </w:rPr>
        <w:t xml:space="preserve"> published work on </w:t>
      </w:r>
      <w:r w:rsidR="003E2A9D" w:rsidRPr="006B0A09">
        <w:rPr>
          <w:spacing w:val="-4"/>
        </w:rPr>
        <w:t xml:space="preserve">private </w:t>
      </w:r>
      <w:r w:rsidRPr="006B0A09">
        <w:rPr>
          <w:spacing w:val="-4"/>
        </w:rPr>
        <w:t>renter</w:t>
      </w:r>
      <w:r w:rsidR="00942D5D" w:rsidRPr="006B0A09">
        <w:rPr>
          <w:spacing w:val="-4"/>
        </w:rPr>
        <w:t>s</w:t>
      </w:r>
      <w:r w:rsidRPr="006B0A09">
        <w:rPr>
          <w:spacing w:val="-4"/>
        </w:rPr>
        <w:t xml:space="preserve"> and rental </w:t>
      </w:r>
      <w:r w:rsidR="00942D5D" w:rsidRPr="006B0A09">
        <w:rPr>
          <w:spacing w:val="-4"/>
        </w:rPr>
        <w:t xml:space="preserve">policy issues in the </w:t>
      </w:r>
      <w:r w:rsidR="00B52B96" w:rsidRPr="006B0A09">
        <w:rPr>
          <w:spacing w:val="-4"/>
        </w:rPr>
        <w:t>r</w:t>
      </w:r>
      <w:r w:rsidR="00942D5D" w:rsidRPr="006B0A09">
        <w:rPr>
          <w:spacing w:val="-4"/>
        </w:rPr>
        <w:t xml:space="preserve">eview of the National Housing and Homelessness Agreement </w:t>
      </w:r>
      <w:r w:rsidR="004C5474" w:rsidRPr="006B0A09">
        <w:rPr>
          <w:spacing w:val="-4"/>
        </w:rPr>
        <w:t xml:space="preserve">(NHHA) </w:t>
      </w:r>
      <w:r w:rsidR="00B52B96" w:rsidRPr="006B0A09">
        <w:rPr>
          <w:i/>
          <w:iCs/>
          <w:spacing w:val="-4"/>
        </w:rPr>
        <w:t>In need of repair: The National Housing and Homelessness Agreement</w:t>
      </w:r>
      <w:r w:rsidR="00706610" w:rsidRPr="006B0A09">
        <w:rPr>
          <w:i/>
          <w:iCs/>
          <w:spacing w:val="-4"/>
        </w:rPr>
        <w:t xml:space="preserve">, </w:t>
      </w:r>
      <w:r w:rsidR="00942D5D" w:rsidRPr="006B0A09">
        <w:rPr>
          <w:spacing w:val="-4"/>
        </w:rPr>
        <w:t>and a</w:t>
      </w:r>
      <w:r w:rsidR="0026587D" w:rsidRPr="006B0A09">
        <w:rPr>
          <w:spacing w:val="-4"/>
        </w:rPr>
        <w:t xml:space="preserve"> research paper </w:t>
      </w:r>
      <w:r w:rsidR="00942D5D" w:rsidRPr="006B0A09">
        <w:rPr>
          <w:i/>
          <w:iCs/>
          <w:spacing w:val="-4"/>
        </w:rPr>
        <w:t>Vulnerable Private Renters</w:t>
      </w:r>
      <w:r w:rsidR="006215B2" w:rsidRPr="006B0A09">
        <w:rPr>
          <w:i/>
          <w:iCs/>
          <w:spacing w:val="-4"/>
        </w:rPr>
        <w:t>: Evidence and Options</w:t>
      </w:r>
      <w:r w:rsidR="00A37C59" w:rsidRPr="006B0A09">
        <w:rPr>
          <w:spacing w:val="-4"/>
        </w:rPr>
        <w:t>.</w:t>
      </w:r>
      <w:r w:rsidR="0053718C" w:rsidRPr="006B0A09">
        <w:rPr>
          <w:spacing w:val="-4"/>
        </w:rPr>
        <w:t xml:space="preserve"> </w:t>
      </w:r>
    </w:p>
    <w:p w14:paraId="4B494E2C" w14:textId="35D23015" w:rsidR="003832B4" w:rsidRPr="003C6F44" w:rsidRDefault="000336D2" w:rsidP="00433C7D">
      <w:pPr>
        <w:pStyle w:val="Heading3"/>
      </w:pPr>
      <w:bookmarkStart w:id="5" w:name="_Toc142050575"/>
      <w:r w:rsidRPr="003C6F44">
        <w:t>More Australians are renting, and for longer</w:t>
      </w:r>
      <w:bookmarkEnd w:id="5"/>
    </w:p>
    <w:p w14:paraId="7EABFB4C" w14:textId="36CE246F" w:rsidR="00AA506F" w:rsidRPr="003C6F44" w:rsidRDefault="00AA506F" w:rsidP="00AA506F">
      <w:pPr>
        <w:pStyle w:val="BodyText"/>
      </w:pPr>
      <w:r w:rsidRPr="003C6F44">
        <w:rPr>
          <w:spacing w:val="-4"/>
        </w:rPr>
        <w:t>More Australians are renting, for more of their lives, than in the past (figure 1). In 2021, 24</w:t>
      </w:r>
      <w:r w:rsidR="002A6681" w:rsidRPr="003C6F44">
        <w:rPr>
          <w:spacing w:val="-4"/>
        </w:rPr>
        <w:t>%</w:t>
      </w:r>
      <w:r w:rsidRPr="003C6F44">
        <w:rPr>
          <w:spacing w:val="-4"/>
        </w:rPr>
        <w:t xml:space="preserve"> of Australian </w:t>
      </w:r>
      <w:r w:rsidRPr="003C6F44">
        <w:t>households rented in the private market, compared with 21</w:t>
      </w:r>
      <w:r w:rsidR="001B3884">
        <w:t xml:space="preserve">% </w:t>
      </w:r>
      <w:r w:rsidRPr="003C6F44">
        <w:t>in 2001</w:t>
      </w:r>
      <w:r w:rsidR="00416B27" w:rsidRPr="003C6F44">
        <w:t xml:space="preserve"> </w:t>
      </w:r>
      <w:r w:rsidR="00416B27" w:rsidRPr="003C6F44">
        <w:rPr>
          <w:rFonts w:ascii="Arial" w:hAnsi="Arial" w:cs="Arial"/>
          <w:szCs w:val="24"/>
        </w:rPr>
        <w:t>(ABS 2002, 2022)</w:t>
      </w:r>
      <w:r w:rsidR="00F55334" w:rsidRPr="003C6F44">
        <w:rPr>
          <w:rFonts w:ascii="Arial" w:hAnsi="Arial" w:cs="Arial"/>
          <w:szCs w:val="24"/>
        </w:rPr>
        <w:t>.</w:t>
      </w:r>
    </w:p>
    <w:p w14:paraId="26D48BB2" w14:textId="529BBC86" w:rsidR="00AA506F" w:rsidRPr="003C6F44" w:rsidRDefault="00AA506F" w:rsidP="00AA506F">
      <w:pPr>
        <w:pStyle w:val="BodyText"/>
      </w:pPr>
      <w:r w:rsidRPr="003C6F44">
        <w:t>The private rental market is increasingly a long</w:t>
      </w:r>
      <w:r w:rsidRPr="003C6F44">
        <w:noBreakHyphen/>
        <w:t xml:space="preserve">term tenure type (figure 1, panel b). </w:t>
      </w:r>
      <w:r w:rsidR="00E96224" w:rsidRPr="003C6F44">
        <w:t>56</w:t>
      </w:r>
      <w:r w:rsidR="002A6681" w:rsidRPr="003C6F44">
        <w:t>%</w:t>
      </w:r>
      <w:r w:rsidRPr="003C6F44">
        <w:t xml:space="preserve"> of people renting privately in 2015 were still renting five years later </w:t>
      </w:r>
      <w:r w:rsidR="002A6681" w:rsidRPr="003C6F44">
        <w:t xml:space="preserve">– </w:t>
      </w:r>
      <w:r w:rsidRPr="003C6F44">
        <w:t>compared with 46</w:t>
      </w:r>
      <w:r w:rsidR="002A6681" w:rsidRPr="003C6F44">
        <w:t>%</w:t>
      </w:r>
      <w:r w:rsidRPr="003C6F44">
        <w:t xml:space="preserve"> of private renters in 2001. And about 39</w:t>
      </w:r>
      <w:r w:rsidR="002A6681" w:rsidRPr="003C6F44">
        <w:t>%</w:t>
      </w:r>
      <w:r w:rsidRPr="003C6F44">
        <w:t xml:space="preserve"> of </w:t>
      </w:r>
      <w:r w:rsidR="00C450DE">
        <w:t>people</w:t>
      </w:r>
      <w:r w:rsidR="00C450DE" w:rsidRPr="003C6F44">
        <w:t xml:space="preserve"> </w:t>
      </w:r>
      <w:r w:rsidRPr="003C6F44">
        <w:t>renting privately in 2010 were still renting ten years later.</w:t>
      </w:r>
    </w:p>
    <w:p w14:paraId="42FFF385" w14:textId="2135EDBA" w:rsidR="00AA506F" w:rsidRPr="003C6F44" w:rsidRDefault="00AA506F" w:rsidP="00AA506F">
      <w:pPr>
        <w:pStyle w:val="BodyText"/>
      </w:pPr>
      <w:r w:rsidRPr="003C6F44">
        <w:t>Renters tend to be younger and have lower incomes than the Australian population</w:t>
      </w:r>
      <w:r w:rsidR="00506D35" w:rsidRPr="003C6F44">
        <w:rPr>
          <w:rFonts w:ascii="Arial" w:hAnsi="Arial" w:cs="Arial"/>
          <w:szCs w:val="24"/>
        </w:rPr>
        <w:t xml:space="preserve"> </w:t>
      </w:r>
      <w:r w:rsidR="00984DFC" w:rsidRPr="003C6F44">
        <w:rPr>
          <w:rFonts w:ascii="Arial" w:hAnsi="Arial" w:cs="Arial"/>
          <w:szCs w:val="24"/>
        </w:rPr>
        <w:t>(PC 2019, p. 27)</w:t>
      </w:r>
      <w:r w:rsidRPr="003C6F44">
        <w:t>. They are more likely to be single parents, unemployed, born overseas or to identify as an Aboriginal or Torres Strait Islander person. But the renter population is diverse. The proportions of older people and middle</w:t>
      </w:r>
      <w:r w:rsidRPr="003C6F44">
        <w:noBreakHyphen/>
        <w:t xml:space="preserve"> and high</w:t>
      </w:r>
      <w:r w:rsidRPr="003C6F44">
        <w:noBreakHyphen/>
        <w:t xml:space="preserve">income households who rent have all increased in the past 20 years </w:t>
      </w:r>
      <w:r w:rsidR="0082681B" w:rsidRPr="003C6F44">
        <w:rPr>
          <w:rFonts w:ascii="Arial" w:hAnsi="Arial" w:cs="Arial"/>
          <w:szCs w:val="24"/>
        </w:rPr>
        <w:t>(PC 2019, p. 28)</w:t>
      </w:r>
      <w:r w:rsidRPr="003C6F44">
        <w:t>.</w:t>
      </w:r>
      <w:r w:rsidRPr="00B45CCE">
        <w:rPr>
          <w:rStyle w:val="FootnoteReference"/>
        </w:rPr>
        <w:footnoteReference w:id="2"/>
      </w:r>
      <w:r w:rsidRPr="003C6F44">
        <w:t xml:space="preserve"> </w:t>
      </w:r>
    </w:p>
    <w:p w14:paraId="702E1692" w14:textId="7F1AAD08" w:rsidR="00AA506F" w:rsidRPr="003C6F44" w:rsidRDefault="00AA506F" w:rsidP="00AA506F">
      <w:pPr>
        <w:pStyle w:val="BodyText"/>
      </w:pPr>
      <w:r w:rsidRPr="003C6F44">
        <w:t xml:space="preserve">Some choose to rent because of the flexibility it provides </w:t>
      </w:r>
      <w:r w:rsidR="00E3032A" w:rsidRPr="003C6F44">
        <w:rPr>
          <w:rFonts w:ascii="Arial" w:hAnsi="Arial" w:cs="Arial"/>
          <w:szCs w:val="24"/>
        </w:rPr>
        <w:t>(Rowley and James 2018)</w:t>
      </w:r>
      <w:r w:rsidRPr="003C6F44">
        <w:t>. Renters can move easily for work or other opportunities, or as their housing requirements change. About 14</w:t>
      </w:r>
      <w:r w:rsidR="002A6681" w:rsidRPr="003C6F44">
        <w:t>%</w:t>
      </w:r>
      <w:r w:rsidRPr="003C6F44">
        <w:t xml:space="preserve"> of private renter households own residential property, suggesting that renting may be a choice.</w:t>
      </w:r>
      <w:r w:rsidRPr="00B45CCE">
        <w:rPr>
          <w:rStyle w:val="FootnoteReference"/>
        </w:rPr>
        <w:footnoteReference w:id="3"/>
      </w:r>
      <w:r w:rsidRPr="003C6F44">
        <w:t xml:space="preserve"> But surveys suggest that </w:t>
      </w:r>
      <w:r w:rsidR="00006D0F">
        <w:t>most</w:t>
      </w:r>
      <w:r w:rsidRPr="003C6F44">
        <w:t xml:space="preserve"> renters aspire to home ownership and remain in the rental market because they are unable to afford the deposit for a home.</w:t>
      </w:r>
    </w:p>
    <w:p w14:paraId="4B327105" w14:textId="295882E6" w:rsidR="00F46AFC" w:rsidRPr="003C6F44" w:rsidRDefault="00F46AFC" w:rsidP="00F46AFC">
      <w:pPr>
        <w:pStyle w:val="FigureTableHeading"/>
      </w:pPr>
      <w:r w:rsidRPr="003C6F44">
        <w:lastRenderedPageBreak/>
        <w:t xml:space="preserve">Figure </w:t>
      </w:r>
      <w:r w:rsidRPr="003C6F44">
        <w:rPr>
          <w:noProof/>
        </w:rPr>
        <w:t xml:space="preserve">1 </w:t>
      </w:r>
      <w:r w:rsidRPr="003C6F44">
        <w:t>– More Australians are renting, and renting for longer</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A0" w:firstRow="1" w:lastRow="0" w:firstColumn="1" w:lastColumn="0" w:noHBand="1" w:noVBand="1"/>
      </w:tblPr>
      <w:tblGrid>
        <w:gridCol w:w="4731"/>
        <w:gridCol w:w="4907"/>
      </w:tblGrid>
      <w:tr w:rsidR="00F46AFC" w:rsidRPr="003C6F44" w14:paraId="12242EB1" w14:textId="77777777">
        <w:trPr>
          <w:tblHeader/>
        </w:trPr>
        <w:tc>
          <w:tcPr>
            <w:tcW w:w="2500" w:type="pct"/>
            <w:shd w:val="clear" w:color="auto" w:fill="auto"/>
          </w:tcPr>
          <w:p w14:paraId="6926A59B" w14:textId="77777777" w:rsidR="00F46AFC" w:rsidRPr="003C6F44" w:rsidRDefault="00F46AFC" w:rsidP="00027575">
            <w:pPr>
              <w:pStyle w:val="TableBody"/>
            </w:pPr>
            <w:r w:rsidRPr="003C6F44">
              <w:rPr>
                <w:b/>
                <w:bCs/>
                <w:noProof/>
              </w:rPr>
              <w:t>a. Proportion of each age bracket renting from private landlord, by year</w:t>
            </w:r>
          </w:p>
          <w:p w14:paraId="0AAC0E84" w14:textId="77777777" w:rsidR="00F46AFC" w:rsidRPr="003C6F44" w:rsidRDefault="00F46AFC">
            <w:pPr>
              <w:pStyle w:val="TableBody"/>
              <w:spacing w:line="240" w:lineRule="auto"/>
              <w:jc w:val="center"/>
            </w:pPr>
            <w:r w:rsidRPr="003C6F44">
              <w:rPr>
                <w:sz w:val="10"/>
                <w:szCs w:val="12"/>
              </w:rPr>
              <w:t xml:space="preserve"> </w:t>
            </w:r>
            <w:r w:rsidRPr="003C6F44">
              <w:rPr>
                <w:noProof/>
              </w:rPr>
              <w:drawing>
                <wp:inline distT="0" distB="0" distL="0" distR="0" wp14:anchorId="08AE3C44" wp14:editId="2DCCD121">
                  <wp:extent cx="2999740" cy="2857500"/>
                  <wp:effectExtent l="0" t="0" r="0" b="0"/>
                  <wp:docPr id="243" name="Picture 243" descr="This figure has two charts. The first chart shows that the proportion of people renting from private landlords in 1982, 1990, 2000, 2010 and 2020 is high for age brackets 18-24 and 25-29, but falls for age brackets 30-34, 35-39, 40-44, 45-49, 50-54, 55-59, 60-64, 65-69, 70-74 in all year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 name="Picture 243" descr="This figure has two charts. The first chart shows that the proportion of people renting from private landlords in 1982, 1990, 2000, 2010 and 2020 is high for age brackets 18-24 and 25-29, but falls for age brackets 30-34, 35-39, 40-44, 45-49, 50-54, 55-59, 60-64, 65-69, 70-74 in all years. "/>
                          <pic:cNvPicPr>
                            <a:picLocks noChangeAspect="1" noChangeArrowheads="1"/>
                          </pic:cNvPicPr>
                        </pic:nvPicPr>
                        <pic:blipFill rotWithShape="1">
                          <a:blip r:embed="rId23" cstate="print">
                            <a:extLst>
                              <a:ext uri="{28A0092B-C50C-407E-A947-70E740481C1C}">
                                <a14:useLocalDpi xmlns:a14="http://schemas.microsoft.com/office/drawing/2010/main" val="0"/>
                              </a:ext>
                            </a:extLst>
                          </a:blip>
                          <a:srcRect t="1" b="3350"/>
                          <a:stretch/>
                        </pic:blipFill>
                        <pic:spPr bwMode="auto">
                          <a:xfrm>
                            <a:off x="0" y="0"/>
                            <a:ext cx="2999740" cy="28575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500" w:type="pct"/>
            <w:shd w:val="clear" w:color="auto" w:fill="auto"/>
          </w:tcPr>
          <w:p w14:paraId="05B5A451" w14:textId="77777777" w:rsidR="00F46AFC" w:rsidRPr="003C6F44" w:rsidRDefault="00F46AFC" w:rsidP="00754947">
            <w:pPr>
              <w:pStyle w:val="TableBody"/>
              <w:spacing w:after="40"/>
              <w:jc w:val="center"/>
            </w:pPr>
            <w:r w:rsidRPr="003C6F44">
              <w:rPr>
                <w:b/>
                <w:bCs/>
                <w:noProof/>
              </w:rPr>
              <w:t xml:space="preserve">b. </w:t>
            </w:r>
            <w:r w:rsidRPr="003C6F44">
              <w:rPr>
                <w:b/>
                <w:bCs/>
                <w:iCs/>
                <w:noProof/>
              </w:rPr>
              <w:t>Proportion of people renting privately in year 0 who were still renting in the private market after each year</w:t>
            </w:r>
            <w:r w:rsidRPr="003C6F44">
              <w:rPr>
                <w:rStyle w:val="NoteLabel"/>
              </w:rPr>
              <w:t>a</w:t>
            </w:r>
          </w:p>
          <w:p w14:paraId="246D5A0B" w14:textId="77777777" w:rsidR="00F46AFC" w:rsidRPr="003C6F44" w:rsidRDefault="00F46AFC">
            <w:pPr>
              <w:pStyle w:val="TableBody"/>
              <w:jc w:val="center"/>
            </w:pPr>
            <w:r w:rsidRPr="003C6F44">
              <w:rPr>
                <w:noProof/>
              </w:rPr>
              <w:drawing>
                <wp:inline distT="0" distB="0" distL="0" distR="0" wp14:anchorId="1224460E" wp14:editId="0B345A7B">
                  <wp:extent cx="3112770" cy="2959100"/>
                  <wp:effectExtent l="0" t="0" r="0" b="0"/>
                  <wp:docPr id="244" name="Picture 244" descr="The second chart shows that the proportion of people renting privately in 2001, 2005, 2010 and 2020, who were still renting between 1 and 10 years later decreases for each yea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4" name="Picture 244" descr="The second chart shows that the proportion of people renting privately in 2001, 2005, 2010 and 2020, who were still renting between 1 and 10 years later decreases for each year "/>
                          <pic:cNvPicPr>
                            <a:picLocks noChangeAspect="1" noChangeArrowheads="1"/>
                          </pic:cNvPicPr>
                        </pic:nvPicPr>
                        <pic:blipFill rotWithShape="1">
                          <a:blip r:embed="rId24" cstate="print">
                            <a:extLst>
                              <a:ext uri="{28A0092B-C50C-407E-A947-70E740481C1C}">
                                <a14:useLocalDpi xmlns:a14="http://schemas.microsoft.com/office/drawing/2010/main" val="0"/>
                              </a:ext>
                            </a:extLst>
                          </a:blip>
                          <a:srcRect b="3279"/>
                          <a:stretch/>
                        </pic:blipFill>
                        <pic:spPr bwMode="auto">
                          <a:xfrm>
                            <a:off x="0" y="0"/>
                            <a:ext cx="3112770" cy="2959100"/>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111FF5D9" w14:textId="77777777" w:rsidR="00F46AFC" w:rsidRPr="003C6F44" w:rsidRDefault="00F46AFC" w:rsidP="00F46AFC">
      <w:pPr>
        <w:pStyle w:val="Note"/>
        <w:keepLines/>
      </w:pPr>
      <w:r w:rsidRPr="003C6F44">
        <w:rPr>
          <w:b/>
          <w:bCs/>
        </w:rPr>
        <w:t>a.</w:t>
      </w:r>
      <w:r w:rsidRPr="003C6F44">
        <w:t xml:space="preserve"> Proportion of people who were renting in the private market in every year from Year 0 to the specified year.</w:t>
      </w:r>
    </w:p>
    <w:p w14:paraId="12274C7E" w14:textId="77777777" w:rsidR="00F46AFC" w:rsidRPr="003C6F44" w:rsidRDefault="00F46AFC" w:rsidP="00F46AFC">
      <w:pPr>
        <w:pStyle w:val="Source"/>
      </w:pPr>
      <w:r w:rsidRPr="003C6F44">
        <w:t xml:space="preserve">Source: </w:t>
      </w:r>
      <w:r w:rsidRPr="003C6F44">
        <w:rPr>
          <w:rFonts w:ascii="Arial" w:hAnsi="Arial" w:cs="Arial"/>
          <w:color w:val="000000"/>
          <w:szCs w:val="18"/>
        </w:rPr>
        <w:t>Commission estimates using ABS (</w:t>
      </w:r>
      <w:r w:rsidRPr="003C6F44">
        <w:rPr>
          <w:rFonts w:ascii="Arial" w:hAnsi="Arial" w:cs="Arial"/>
          <w:i/>
          <w:iCs/>
          <w:color w:val="000000"/>
          <w:szCs w:val="18"/>
        </w:rPr>
        <w:t>Microdata: Household Expenditure, Income and Housing, 2009-10</w:t>
      </w:r>
      <w:r w:rsidRPr="003C6F44">
        <w:rPr>
          <w:rFonts w:ascii="Arial" w:hAnsi="Arial" w:cs="Arial"/>
          <w:color w:val="000000"/>
          <w:szCs w:val="18"/>
        </w:rPr>
        <w:t xml:space="preserve">, Cat. no. 6540.0; </w:t>
      </w:r>
      <w:r w:rsidRPr="003C6F44">
        <w:rPr>
          <w:rFonts w:ascii="Arial" w:hAnsi="Arial" w:cs="Arial"/>
          <w:i/>
          <w:iCs/>
          <w:color w:val="000000"/>
          <w:szCs w:val="18"/>
        </w:rPr>
        <w:t>Microdata: Income and Housing Costs and Amenities, Australia, 1990</w:t>
      </w:r>
      <w:r w:rsidRPr="003C6F44">
        <w:rPr>
          <w:rFonts w:ascii="Arial" w:hAnsi="Arial" w:cs="Arial"/>
          <w:color w:val="000000"/>
          <w:szCs w:val="18"/>
        </w:rPr>
        <w:t xml:space="preserve">, Cat. no. 6541.0; </w:t>
      </w:r>
      <w:r w:rsidRPr="003C6F44">
        <w:rPr>
          <w:rFonts w:ascii="Arial" w:hAnsi="Arial" w:cs="Arial"/>
          <w:i/>
          <w:iCs/>
          <w:color w:val="000000"/>
          <w:szCs w:val="18"/>
        </w:rPr>
        <w:t>Microdata: Income and Housing, Australia, 1981-82, 1999-00 and 2019-20</w:t>
      </w:r>
      <w:r w:rsidRPr="003C6F44">
        <w:rPr>
          <w:rFonts w:ascii="Arial" w:hAnsi="Arial" w:cs="Arial"/>
          <w:color w:val="000000"/>
          <w:szCs w:val="18"/>
        </w:rPr>
        <w:t>, Cat. no. 6541.0.30.001); Melbourne Institute (</w:t>
      </w:r>
      <w:r w:rsidRPr="003C6F44">
        <w:rPr>
          <w:rFonts w:ascii="Arial" w:hAnsi="Arial" w:cs="Arial"/>
          <w:i/>
          <w:iCs/>
          <w:color w:val="000000"/>
          <w:szCs w:val="18"/>
        </w:rPr>
        <w:t xml:space="preserve">Household, Income and Labour Dynamics in Australia (HILDA) </w:t>
      </w:r>
      <w:r w:rsidRPr="003C6F44">
        <w:rPr>
          <w:rFonts w:ascii="Arial" w:hAnsi="Arial" w:cs="Arial"/>
          <w:color w:val="000000"/>
          <w:szCs w:val="18"/>
        </w:rPr>
        <w:t>Survey, Release 20).</w:t>
      </w:r>
    </w:p>
    <w:p w14:paraId="64735E07" w14:textId="70D1F844" w:rsidR="005F084B" w:rsidRPr="003C6F44" w:rsidRDefault="00F04C89" w:rsidP="00031577">
      <w:pPr>
        <w:pStyle w:val="Heading2-nonumber"/>
      </w:pPr>
      <w:bookmarkStart w:id="6" w:name="_Toc142048582"/>
      <w:bookmarkStart w:id="7" w:name="_Toc142050414"/>
      <w:bookmarkStart w:id="8" w:name="_Toc142050481"/>
      <w:bookmarkStart w:id="9" w:name="_Toc142050576"/>
      <w:bookmarkStart w:id="10" w:name="_Toc142050615"/>
      <w:r>
        <w:t>2</w:t>
      </w:r>
      <w:r w:rsidR="00031577">
        <w:t>.</w:t>
      </w:r>
      <w:r w:rsidR="00031577">
        <w:tab/>
      </w:r>
      <w:r w:rsidR="00416CA1" w:rsidRPr="003C6F44">
        <w:t>How affordable is the private rental market</w:t>
      </w:r>
      <w:r w:rsidR="006A7CC3" w:rsidRPr="003C6F44">
        <w:t>?</w:t>
      </w:r>
      <w:bookmarkEnd w:id="6"/>
      <w:bookmarkEnd w:id="7"/>
      <w:bookmarkEnd w:id="8"/>
      <w:bookmarkEnd w:id="9"/>
      <w:bookmarkEnd w:id="10"/>
    </w:p>
    <w:p w14:paraId="3C5855B1" w14:textId="368B0B33" w:rsidR="004036D9" w:rsidRPr="003C6F44" w:rsidRDefault="004036D9" w:rsidP="004036D9">
      <w:pPr>
        <w:pStyle w:val="BodyText"/>
      </w:pPr>
      <w:r w:rsidRPr="003C6F44">
        <w:t xml:space="preserve">The median private renter household spends about a quarter of its income on rent. Median rent burdens (the ratio of rent paid to income) have hovered around this rate since 2000 (figure 2), reflecting the steady growth of rents, which have largely tracked incomes </w:t>
      </w:r>
      <w:r w:rsidRPr="003C6F44">
        <w:rPr>
          <w:rFonts w:ascii="Symbol" w:eastAsia="Symbol" w:hAnsi="Symbol" w:cs="Symbol"/>
        </w:rPr>
        <w:t>¾</w:t>
      </w:r>
      <w:r w:rsidRPr="003C6F44">
        <w:t xml:space="preserve"> unlike property prices, which have increased substantially and are more volatile</w:t>
      </w:r>
      <w:r w:rsidR="00FB585F" w:rsidRPr="003C6F44">
        <w:t xml:space="preserve">. </w:t>
      </w:r>
    </w:p>
    <w:p w14:paraId="23DC3CA5" w14:textId="7FC9AE91" w:rsidR="004036D9" w:rsidRPr="003C6F44" w:rsidRDefault="004036D9" w:rsidP="004036D9">
      <w:pPr>
        <w:pStyle w:val="BodyText"/>
        <w:rPr>
          <w:spacing w:val="-4"/>
        </w:rPr>
      </w:pPr>
      <w:r w:rsidRPr="003C6F44">
        <w:rPr>
          <w:spacing w:val="-4"/>
        </w:rPr>
        <w:t>Median rent burdens vary across, and within, States and Territories (figure 3). In 2019</w:t>
      </w:r>
      <w:r w:rsidRPr="003C6F44">
        <w:rPr>
          <w:spacing w:val="-4"/>
        </w:rPr>
        <w:noBreakHyphen/>
        <w:t>20, state</w:t>
      </w:r>
      <w:r w:rsidRPr="003C6F44">
        <w:rPr>
          <w:spacing w:val="-4"/>
        </w:rPr>
        <w:noBreakHyphen/>
        <w:t>wide median rent burdens were highest in New South Wales (27.1</w:t>
      </w:r>
      <w:r w:rsidR="002A6681" w:rsidRPr="003C6F44">
        <w:rPr>
          <w:spacing w:val="-4"/>
        </w:rPr>
        <w:t>%</w:t>
      </w:r>
      <w:r w:rsidRPr="003C6F44">
        <w:rPr>
          <w:spacing w:val="-4"/>
        </w:rPr>
        <w:t>) and Queensland (26.7</w:t>
      </w:r>
      <w:r w:rsidR="002A6681" w:rsidRPr="003C6F44">
        <w:rPr>
          <w:spacing w:val="-4"/>
        </w:rPr>
        <w:t>%</w:t>
      </w:r>
      <w:r w:rsidRPr="003C6F44">
        <w:rPr>
          <w:spacing w:val="-4"/>
        </w:rPr>
        <w:t>). Private renters in capital cities across the country spent a higher share of their income on rent than their regional counterparts, except for Queensland. The median share of income spent on rent in regional Queensland (29</w:t>
      </w:r>
      <w:r w:rsidR="002A6681" w:rsidRPr="003C6F44">
        <w:rPr>
          <w:spacing w:val="-4"/>
        </w:rPr>
        <w:t>%</w:t>
      </w:r>
      <w:r w:rsidRPr="003C6F44">
        <w:rPr>
          <w:spacing w:val="-4"/>
        </w:rPr>
        <w:t>) was higher than anywhere else in the country, including the greater Sydney area (27</w:t>
      </w:r>
      <w:r w:rsidR="002A6681" w:rsidRPr="003C6F44">
        <w:rPr>
          <w:spacing w:val="-4"/>
        </w:rPr>
        <w:t>%</w:t>
      </w:r>
      <w:r w:rsidRPr="003C6F44">
        <w:rPr>
          <w:spacing w:val="-4"/>
        </w:rPr>
        <w:t>).</w:t>
      </w:r>
    </w:p>
    <w:p w14:paraId="530F5B82" w14:textId="0F396159" w:rsidR="004036D9" w:rsidRPr="003C6F44" w:rsidRDefault="004036D9" w:rsidP="004036D9">
      <w:pPr>
        <w:pStyle w:val="FigureTableHeading"/>
        <w:rPr>
          <w:vertAlign w:val="superscript"/>
        </w:rPr>
      </w:pPr>
      <w:r w:rsidRPr="003C6F44">
        <w:lastRenderedPageBreak/>
        <w:t>Figure 2</w:t>
      </w:r>
      <w:r w:rsidRPr="003C6F44">
        <w:rPr>
          <w:noProof/>
        </w:rPr>
        <w:t xml:space="preserve"> </w:t>
      </w:r>
      <w:r w:rsidRPr="003C6F44">
        <w:t>– Overall rent burdens have been steady</w:t>
      </w:r>
      <w:r w:rsidRPr="003C6F44">
        <w:rPr>
          <w:vertAlign w:val="superscript"/>
        </w:rPr>
        <w:t>a,b</w:t>
      </w:r>
    </w:p>
    <w:p w14:paraId="0F3674B4" w14:textId="77777777" w:rsidR="004036D9" w:rsidRPr="003C6F44" w:rsidRDefault="004036D9" w:rsidP="004036D9">
      <w:pPr>
        <w:pStyle w:val="FigureTableSubheading"/>
        <w:keepLines/>
      </w:pPr>
      <w:r w:rsidRPr="003C6F44">
        <w:t>Median proportion of disposable household income spent on rent, private renters</w:t>
      </w:r>
    </w:p>
    <w:p w14:paraId="3727D523" w14:textId="77777777" w:rsidR="004036D9" w:rsidRPr="003C6F44" w:rsidRDefault="004036D9" w:rsidP="004036D9">
      <w:pPr>
        <w:pStyle w:val="BodyText"/>
      </w:pPr>
      <w:r w:rsidRPr="003C6F44">
        <w:rPr>
          <w:noProof/>
        </w:rPr>
        <w:drawing>
          <wp:inline distT="0" distB="0" distL="0" distR="0" wp14:anchorId="23E6D6B5" wp14:editId="69C79653">
            <wp:extent cx="6120130" cy="2559050"/>
            <wp:effectExtent l="0" t="0" r="0" b="0"/>
            <wp:docPr id="556" name="Picture 556" descr="This chart shows that the median share of disposable household income spent on rent from 2000 to 2020 is broadly constant over time, and is higher for low-income households than high-income househol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6" name="Picture 556" descr="This chart shows that the median share of disposable household income spent on rent from 2000 to 2020 is broadly constant over time, and is higher for low-income households than high-income households"/>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6120130" cy="2559050"/>
                    </a:xfrm>
                    <a:prstGeom prst="rect">
                      <a:avLst/>
                    </a:prstGeom>
                    <a:noFill/>
                    <a:ln>
                      <a:noFill/>
                    </a:ln>
                  </pic:spPr>
                </pic:pic>
              </a:graphicData>
            </a:graphic>
          </wp:inline>
        </w:drawing>
      </w:r>
    </w:p>
    <w:p w14:paraId="0E287EF4" w14:textId="0ED74185" w:rsidR="004036D9" w:rsidRPr="00C64775" w:rsidRDefault="004036D9" w:rsidP="004036D9">
      <w:pPr>
        <w:pStyle w:val="Note"/>
        <w:rPr>
          <w:spacing w:val="-4"/>
        </w:rPr>
      </w:pPr>
      <w:r w:rsidRPr="00C64775">
        <w:rPr>
          <w:b/>
          <w:bCs/>
          <w:spacing w:val="-4"/>
        </w:rPr>
        <w:t>a.</w:t>
      </w:r>
      <w:r w:rsidRPr="00C64775">
        <w:rPr>
          <w:spacing w:val="-4"/>
        </w:rPr>
        <w:t xml:space="preserve"> Low</w:t>
      </w:r>
      <w:r w:rsidRPr="00C64775">
        <w:rPr>
          <w:spacing w:val="-4"/>
        </w:rPr>
        <w:noBreakHyphen/>
        <w:t>income households are households in the bottom two quintiles of equivalised disposable household income (see below). Higher</w:t>
      </w:r>
      <w:r w:rsidRPr="00C64775">
        <w:rPr>
          <w:spacing w:val="-4"/>
        </w:rPr>
        <w:noBreakHyphen/>
        <w:t xml:space="preserve">income households are households in the top three quintiles of equivalised disposable household income. </w:t>
      </w:r>
      <w:r w:rsidRPr="00C64775">
        <w:rPr>
          <w:rFonts w:eastAsia="Arial" w:cs="Times New Roman"/>
          <w:b/>
          <w:bCs/>
          <w:spacing w:val="-4"/>
        </w:rPr>
        <w:t>b.</w:t>
      </w:r>
      <w:r w:rsidR="00C64775">
        <w:rPr>
          <w:rFonts w:eastAsia="Arial" w:cs="Times New Roman"/>
          <w:spacing w:val="-4"/>
        </w:rPr>
        <w:t> </w:t>
      </w:r>
      <w:r w:rsidRPr="00C64775">
        <w:rPr>
          <w:rFonts w:eastAsia="Arial" w:cs="Times New Roman"/>
          <w:spacing w:val="-4"/>
        </w:rPr>
        <w:t>The ABS measure of disposable income changed in 2007-08, so estimates from before this year are not directly comparable with later years.</w:t>
      </w:r>
    </w:p>
    <w:p w14:paraId="429B04F2" w14:textId="77777777" w:rsidR="004036D9" w:rsidRPr="003C6F44" w:rsidRDefault="004036D9" w:rsidP="004036D9">
      <w:pPr>
        <w:pStyle w:val="Source"/>
        <w:rPr>
          <w:rFonts w:ascii="Arial" w:hAnsi="Arial" w:cs="Arial"/>
          <w:color w:val="000000"/>
          <w:szCs w:val="18"/>
        </w:rPr>
      </w:pPr>
      <w:r w:rsidRPr="003C6F44">
        <w:t xml:space="preserve">Source: </w:t>
      </w:r>
      <w:r w:rsidRPr="003C6F44">
        <w:rPr>
          <w:rFonts w:ascii="Arial" w:hAnsi="Arial" w:cs="Arial"/>
          <w:color w:val="000000"/>
          <w:szCs w:val="18"/>
        </w:rPr>
        <w:t>Commission estimates using ABS (</w:t>
      </w:r>
      <w:r w:rsidRPr="003C6F44">
        <w:rPr>
          <w:rFonts w:ascii="Arial" w:hAnsi="Arial" w:cs="Arial"/>
          <w:i/>
          <w:iCs/>
          <w:color w:val="000000"/>
          <w:szCs w:val="18"/>
        </w:rPr>
        <w:t>Microdata: Household Expenditure, Income and Housing, 2003-04, 2009-10 and 2015-16</w:t>
      </w:r>
      <w:r w:rsidRPr="003C6F44">
        <w:rPr>
          <w:rFonts w:ascii="Arial" w:hAnsi="Arial" w:cs="Arial"/>
          <w:color w:val="000000"/>
          <w:szCs w:val="18"/>
        </w:rPr>
        <w:t xml:space="preserve">, Cat. no. 6540.0; </w:t>
      </w:r>
      <w:r w:rsidRPr="003C6F44">
        <w:rPr>
          <w:rFonts w:ascii="Arial" w:hAnsi="Arial" w:cs="Arial"/>
          <w:i/>
          <w:iCs/>
          <w:color w:val="000000"/>
          <w:szCs w:val="18"/>
        </w:rPr>
        <w:t>Microdata: Income and Housing, Australia, 1999-00, 2000-01, 2002-03, 2005-06, 2007-08, 2011-12, 2013-14, 2017</w:t>
      </w:r>
      <w:r w:rsidRPr="003C6F44">
        <w:rPr>
          <w:rFonts w:ascii="Arial" w:hAnsi="Arial" w:cs="Arial"/>
          <w:i/>
          <w:iCs/>
          <w:color w:val="000000"/>
          <w:szCs w:val="18"/>
        </w:rPr>
        <w:noBreakHyphen/>
        <w:t>18 and 2019-20</w:t>
      </w:r>
      <w:r w:rsidRPr="003C6F44">
        <w:rPr>
          <w:rFonts w:ascii="Arial" w:hAnsi="Arial" w:cs="Arial"/>
          <w:color w:val="000000"/>
          <w:szCs w:val="18"/>
        </w:rPr>
        <w:t>, Cat. no. 6541.0.30.001).</w:t>
      </w:r>
    </w:p>
    <w:p w14:paraId="50199B7E" w14:textId="27584131" w:rsidR="004036D9" w:rsidRPr="003C6F44" w:rsidRDefault="004036D9" w:rsidP="004036D9">
      <w:pPr>
        <w:pStyle w:val="FigureTableHeading"/>
      </w:pPr>
      <w:r w:rsidRPr="003C6F44">
        <w:t>Figure 3</w:t>
      </w:r>
      <w:r w:rsidRPr="003C6F44">
        <w:rPr>
          <w:noProof/>
        </w:rPr>
        <w:t xml:space="preserve"> </w:t>
      </w:r>
      <w:r w:rsidRPr="003C6F44">
        <w:t>– Rent burdens vary across, and within, states</w:t>
      </w:r>
      <w:r w:rsidRPr="003C6F44">
        <w:rPr>
          <w:vertAlign w:val="superscript"/>
        </w:rPr>
        <w:t>a</w:t>
      </w:r>
    </w:p>
    <w:p w14:paraId="016F19FA" w14:textId="77777777" w:rsidR="004036D9" w:rsidRPr="003C6F44" w:rsidRDefault="004036D9" w:rsidP="004036D9">
      <w:pPr>
        <w:pStyle w:val="FigureTableSubheading"/>
        <w:keepLines/>
      </w:pPr>
      <w:r w:rsidRPr="003C6F44">
        <w:t>Median proportion of disposable household income spent on rent, private renter households, 2019</w:t>
      </w:r>
      <w:r w:rsidRPr="003C6F44">
        <w:noBreakHyphen/>
        <w:t>20</w:t>
      </w:r>
    </w:p>
    <w:p w14:paraId="1E444033" w14:textId="77777777" w:rsidR="004036D9" w:rsidRPr="003C6F44" w:rsidRDefault="004036D9" w:rsidP="004036D9">
      <w:pPr>
        <w:pStyle w:val="Note"/>
        <w:keepLines/>
        <w:rPr>
          <w:noProof/>
        </w:rPr>
      </w:pPr>
      <w:r w:rsidRPr="003C6F44">
        <w:rPr>
          <w:noProof/>
        </w:rPr>
        <w:drawing>
          <wp:inline distT="0" distB="0" distL="0" distR="0" wp14:anchorId="28DECD50" wp14:editId="067743C4">
            <wp:extent cx="6120130" cy="2702560"/>
            <wp:effectExtent l="0" t="0" r="0" b="2540"/>
            <wp:docPr id="246" name="Picture 246" descr="This chart shows that the median ratio of rent to disposable income for private renter households in 2019-20 is similar across jurisdictions. There is no pattern for whether it is higher for greater capital city compared with the rest of the stat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6" name="Picture 4" descr="This chart shows that the median ratio of rent to disposable income for private renter households in 2019-20 is similar across jurisdictions. There is no pattern for whether it is higher for greater capital city compared with the rest of the state "/>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6120130" cy="2702560"/>
                    </a:xfrm>
                    <a:prstGeom prst="rect">
                      <a:avLst/>
                    </a:prstGeom>
                    <a:noFill/>
                    <a:ln>
                      <a:noFill/>
                    </a:ln>
                  </pic:spPr>
                </pic:pic>
              </a:graphicData>
            </a:graphic>
          </wp:inline>
        </w:drawing>
      </w:r>
    </w:p>
    <w:p w14:paraId="3B5F96BB" w14:textId="77777777" w:rsidR="004036D9" w:rsidRPr="003C6F44" w:rsidRDefault="004036D9" w:rsidP="004036D9">
      <w:pPr>
        <w:pStyle w:val="Note"/>
      </w:pPr>
      <w:r w:rsidRPr="003C6F44">
        <w:rPr>
          <w:b/>
          <w:bCs/>
        </w:rPr>
        <w:t>a.</w:t>
      </w:r>
      <w:r w:rsidRPr="003C6F44">
        <w:t xml:space="preserve"> Estimates for Northern Territory and ACT apply to the whole of each territory; breakdowns are not available for capital city and rest of state.</w:t>
      </w:r>
    </w:p>
    <w:p w14:paraId="5D265DBC" w14:textId="77777777" w:rsidR="004036D9" w:rsidRPr="003C6F44" w:rsidRDefault="004036D9" w:rsidP="004036D9">
      <w:pPr>
        <w:pStyle w:val="Source"/>
      </w:pPr>
      <w:r w:rsidRPr="003C6F44">
        <w:t>Source: Commission estimates using ABS (</w:t>
      </w:r>
      <w:r w:rsidRPr="003C6F44">
        <w:rPr>
          <w:i/>
          <w:iCs/>
        </w:rPr>
        <w:t>Microdata: Income and Housing, Australia, 2019</w:t>
      </w:r>
      <w:r w:rsidRPr="003C6F44">
        <w:rPr>
          <w:i/>
          <w:iCs/>
        </w:rPr>
        <w:noBreakHyphen/>
        <w:t>20</w:t>
      </w:r>
      <w:r w:rsidRPr="003C6F44">
        <w:t>, Cat. no. 6541.0.30.001).</w:t>
      </w:r>
    </w:p>
    <w:p w14:paraId="231F7AB3" w14:textId="7CC39B5C" w:rsidR="00296867" w:rsidRPr="003C6F44" w:rsidRDefault="00296867">
      <w:pPr>
        <w:pStyle w:val="NoSpacing"/>
      </w:pPr>
    </w:p>
    <w:tbl>
      <w:tblPr>
        <w:tblStyle w:val="Boxtable"/>
        <w:tblW w:w="5000" w:type="pct"/>
        <w:tblLook w:val="04A0" w:firstRow="1" w:lastRow="0" w:firstColumn="1" w:lastColumn="0" w:noHBand="0" w:noVBand="1"/>
      </w:tblPr>
      <w:tblGrid>
        <w:gridCol w:w="9638"/>
      </w:tblGrid>
      <w:tr w:rsidR="00296867" w:rsidRPr="003C6F44" w14:paraId="2EFA4996" w14:textId="77777777">
        <w:trPr>
          <w:tblHeader/>
        </w:trPr>
        <w:tc>
          <w:tcPr>
            <w:tcW w:w="9638" w:type="dxa"/>
            <w:shd w:val="clear" w:color="auto" w:fill="EBEBEB"/>
            <w:tcMar>
              <w:top w:w="170" w:type="dxa"/>
              <w:left w:w="170" w:type="dxa"/>
              <w:bottom w:w="113" w:type="dxa"/>
              <w:right w:w="170" w:type="dxa"/>
            </w:tcMar>
            <w:hideMark/>
          </w:tcPr>
          <w:p w14:paraId="09B2E4A5" w14:textId="760343DD" w:rsidR="00296867" w:rsidRPr="003C6F44" w:rsidRDefault="00296867">
            <w:pPr>
              <w:pStyle w:val="BoxHeading1"/>
            </w:pPr>
            <w:bookmarkStart w:id="11" w:name="_Ref78902111"/>
            <w:r w:rsidRPr="003C6F44">
              <w:lastRenderedPageBreak/>
              <w:t xml:space="preserve">Box </w:t>
            </w:r>
            <w:r w:rsidR="00D47FA4">
              <w:t>1</w:t>
            </w:r>
            <w:r w:rsidRPr="003C6F44">
              <w:t xml:space="preserve"> – </w:t>
            </w:r>
            <w:bookmarkEnd w:id="11"/>
            <w:r w:rsidRPr="003C6F44">
              <w:t>Measures of rental stress are not very informative</w:t>
            </w:r>
          </w:p>
        </w:tc>
      </w:tr>
      <w:tr w:rsidR="00296867" w:rsidRPr="003C6F44" w14:paraId="336108AF" w14:textId="77777777">
        <w:tc>
          <w:tcPr>
            <w:tcW w:w="9638" w:type="dxa"/>
            <w:shd w:val="clear" w:color="auto" w:fill="EBEBEB"/>
            <w:tcMar>
              <w:top w:w="28" w:type="dxa"/>
              <w:left w:w="170" w:type="dxa"/>
              <w:bottom w:w="170" w:type="dxa"/>
              <w:right w:w="170" w:type="dxa"/>
            </w:tcMar>
            <w:hideMark/>
          </w:tcPr>
          <w:p w14:paraId="03F54664" w14:textId="0793D65F" w:rsidR="00747335" w:rsidRPr="003C6F44" w:rsidRDefault="00747335" w:rsidP="003E6702">
            <w:pPr>
              <w:pStyle w:val="BodyText"/>
              <w:spacing w:line="270" w:lineRule="atLeast"/>
            </w:pPr>
            <w:r w:rsidRPr="003C6F44">
              <w:t>Rental affordability is often expressed in terms of ‘rental stress’. In Australia, households are typically considered to be in rental stress if they spend more than 30</w:t>
            </w:r>
            <w:r w:rsidR="002A6681" w:rsidRPr="003C6F44">
              <w:t>%</w:t>
            </w:r>
            <w:r w:rsidRPr="003C6F44">
              <w:t xml:space="preserve"> of their income on rent and are in the bottom two quintiles (40</w:t>
            </w:r>
            <w:r w:rsidR="002A6681" w:rsidRPr="003C6F44">
              <w:t>%</w:t>
            </w:r>
            <w:r w:rsidRPr="003C6F44">
              <w:t xml:space="preserve">) of the income distribution </w:t>
            </w:r>
            <w:r w:rsidR="002A6681" w:rsidRPr="003C6F44">
              <w:t xml:space="preserve">– </w:t>
            </w:r>
            <w:r w:rsidRPr="003C6F44">
              <w:t xml:space="preserve">the ‘30/40 rule’. </w:t>
            </w:r>
          </w:p>
          <w:p w14:paraId="739A297D" w14:textId="62838758" w:rsidR="00747335" w:rsidRPr="003C6F44" w:rsidRDefault="00747335" w:rsidP="003E6702">
            <w:pPr>
              <w:pStyle w:val="BodyText"/>
              <w:spacing w:line="270" w:lineRule="atLeast"/>
            </w:pPr>
            <w:r w:rsidRPr="003C6F44">
              <w:t>R</w:t>
            </w:r>
            <w:r w:rsidRPr="003C6F44" w:rsidDel="00922F04">
              <w:t xml:space="preserve">ental stress </w:t>
            </w:r>
            <w:r w:rsidRPr="003C6F44">
              <w:t>is not a very informative measure of rental affordability. It is a poor predictor of households’ actual experiences of financial stress and deprivation</w:t>
            </w:r>
            <w:r w:rsidR="000773D0" w:rsidRPr="003C6F44">
              <w:t xml:space="preserve"> </w:t>
            </w:r>
            <w:r w:rsidR="000773D0" w:rsidRPr="003C6F44">
              <w:rPr>
                <w:rFonts w:ascii="Arial" w:hAnsi="Arial" w:cs="Arial"/>
                <w:szCs w:val="24"/>
              </w:rPr>
              <w:t>(Daniel, Baker and Lester 2018; Rowley and Ong 2012)</w:t>
            </w:r>
            <w:r w:rsidRPr="003C6F44">
              <w:t>. In 2020, 49</w:t>
            </w:r>
            <w:r w:rsidR="002A6681" w:rsidRPr="003C6F44">
              <w:t>%</w:t>
            </w:r>
            <w:r w:rsidRPr="003C6F44">
              <w:t xml:space="preserve"> of low</w:t>
            </w:r>
            <w:r w:rsidRPr="003C6F44">
              <w:noBreakHyphen/>
              <w:t>income private renters classified as ‘in rental stress’ according to the 30/40 measure rated their financial position as prosperous, very comfortable or reasonably comfortable.</w:t>
            </w:r>
          </w:p>
          <w:p w14:paraId="7C36A554" w14:textId="77777777" w:rsidR="00747335" w:rsidRPr="003C6F44" w:rsidRDefault="00747335" w:rsidP="003E6702">
            <w:pPr>
              <w:pStyle w:val="BodyText"/>
              <w:keepNext/>
              <w:spacing w:line="270" w:lineRule="atLeast"/>
            </w:pPr>
            <w:r w:rsidRPr="003C6F44">
              <w:t xml:space="preserve">There are several reasons why rental stress is not strongly associated with actual experiences of financial stress and deprivation. </w:t>
            </w:r>
          </w:p>
          <w:p w14:paraId="577190B5" w14:textId="7BADC9B9" w:rsidR="00747335" w:rsidRPr="004761EA" w:rsidRDefault="00E96224" w:rsidP="003E6702">
            <w:pPr>
              <w:pStyle w:val="ListBullet"/>
              <w:spacing w:line="270" w:lineRule="atLeast"/>
              <w:rPr>
                <w:spacing w:val="-2"/>
              </w:rPr>
            </w:pPr>
            <w:r w:rsidRPr="004761EA">
              <w:rPr>
                <w:spacing w:val="-2"/>
              </w:rPr>
              <w:t>30</w:t>
            </w:r>
            <w:r w:rsidR="002A6681" w:rsidRPr="004761EA">
              <w:rPr>
                <w:spacing w:val="-2"/>
              </w:rPr>
              <w:t>%</w:t>
            </w:r>
            <w:r w:rsidR="00747335" w:rsidRPr="004761EA">
              <w:rPr>
                <w:spacing w:val="-2"/>
              </w:rPr>
              <w:t xml:space="preserve"> is an arbitrary and binary benchmark. It does not distinguish</w:t>
            </w:r>
            <w:r w:rsidR="00747335" w:rsidRPr="004761EA" w:rsidDel="7D80E1F0">
              <w:rPr>
                <w:spacing w:val="-2"/>
              </w:rPr>
              <w:t xml:space="preserve"> </w:t>
            </w:r>
            <w:r w:rsidR="00747335" w:rsidRPr="004761EA">
              <w:rPr>
                <w:spacing w:val="-2"/>
              </w:rPr>
              <w:t>between households experiencing mild and deep</w:t>
            </w:r>
            <w:r w:rsidR="00747335" w:rsidRPr="004761EA" w:rsidDel="7D80E1F0">
              <w:rPr>
                <w:spacing w:val="-2"/>
              </w:rPr>
              <w:t xml:space="preserve"> </w:t>
            </w:r>
            <w:r w:rsidR="00747335" w:rsidRPr="004761EA">
              <w:rPr>
                <w:spacing w:val="-2"/>
              </w:rPr>
              <w:t>rental stress, who are likely to have different outcomes</w:t>
            </w:r>
            <w:r w:rsidR="00EE5879" w:rsidRPr="004761EA">
              <w:rPr>
                <w:spacing w:val="-2"/>
              </w:rPr>
              <w:t xml:space="preserve"> </w:t>
            </w:r>
            <w:r w:rsidR="00EE5879" w:rsidRPr="004761EA">
              <w:rPr>
                <w:rFonts w:cs="Arial"/>
                <w:spacing w:val="-2"/>
                <w:szCs w:val="24"/>
              </w:rPr>
              <w:t>(Rowley and Ong 2012, pp. 59–62)</w:t>
            </w:r>
            <w:r w:rsidR="00747335" w:rsidRPr="004761EA">
              <w:rPr>
                <w:spacing w:val="-2"/>
              </w:rPr>
              <w:t xml:space="preserve">. </w:t>
            </w:r>
          </w:p>
          <w:p w14:paraId="3AC96012" w14:textId="2D78F0E3" w:rsidR="00747335" w:rsidRPr="003C6F44" w:rsidRDefault="00747335" w:rsidP="003E6702">
            <w:pPr>
              <w:pStyle w:val="ListBullet"/>
              <w:spacing w:line="270" w:lineRule="atLeast"/>
            </w:pPr>
            <w:r w:rsidRPr="003C6F44">
              <w:t>For many households, rental stress is temporary</w:t>
            </w:r>
            <w:r w:rsidR="0063086E" w:rsidRPr="003C6F44">
              <w:t xml:space="preserve"> </w:t>
            </w:r>
            <w:r w:rsidR="0063086E" w:rsidRPr="003C6F44">
              <w:rPr>
                <w:rFonts w:ascii="Arial" w:hAnsi="Arial" w:cs="Arial"/>
                <w:szCs w:val="24"/>
              </w:rPr>
              <w:t>(Borrowman, Kazakevitch and Frost 2017)</w:t>
            </w:r>
            <w:r w:rsidRPr="003C6F44">
              <w:t>. In the short term, they may be able to draw on savings and other resources</w:t>
            </w:r>
            <w:r w:rsidR="0063086E" w:rsidRPr="003C6F44">
              <w:t xml:space="preserve"> </w:t>
            </w:r>
            <w:r w:rsidR="0063086E" w:rsidRPr="003C6F44">
              <w:rPr>
                <w:rFonts w:ascii="Arial" w:hAnsi="Arial" w:cs="Arial"/>
                <w:szCs w:val="24"/>
              </w:rPr>
              <w:t>(Stone et al. 2015)</w:t>
            </w:r>
            <w:r w:rsidRPr="003C6F44">
              <w:t xml:space="preserve">, and most quickly escape rental stress </w:t>
            </w:r>
            <w:r w:rsidR="00A04A42" w:rsidRPr="003C6F44">
              <w:rPr>
                <w:rFonts w:ascii="Arial" w:hAnsi="Arial" w:cs="Arial"/>
                <w:szCs w:val="24"/>
              </w:rPr>
              <w:t>(Wood, Ong and Cigdem 2014)</w:t>
            </w:r>
            <w:r w:rsidRPr="003C6F44">
              <w:t>.</w:t>
            </w:r>
            <w:r w:rsidRPr="003C6F44" w:rsidDel="004315B1">
              <w:t xml:space="preserve"> </w:t>
            </w:r>
            <w:r w:rsidRPr="003C6F44">
              <w:t xml:space="preserve">But people who do not escape within the first year become increasingly likely to remain in rental stress, and may be at greater risk of adverse outcomes </w:t>
            </w:r>
            <w:r w:rsidR="00A04A42" w:rsidRPr="003C6F44">
              <w:rPr>
                <w:rFonts w:ascii="Arial" w:hAnsi="Arial" w:cs="Arial"/>
                <w:szCs w:val="24"/>
              </w:rPr>
              <w:t>(Borrowman, Kazakevitch and Frost 2017; Rowley and Ong 2012, pp. 74–75)</w:t>
            </w:r>
            <w:r w:rsidR="004131FE" w:rsidRPr="003C6F44">
              <w:t>. T</w:t>
            </w:r>
            <w:r w:rsidRPr="003C6F44">
              <w:t>here is some evidence that the persistence of rental stress is increasing over time</w:t>
            </w:r>
            <w:r w:rsidR="004131FE" w:rsidRPr="003C6F44">
              <w:t xml:space="preserve"> </w:t>
            </w:r>
            <w:r w:rsidR="004131FE" w:rsidRPr="003C6F44">
              <w:rPr>
                <w:rFonts w:ascii="Arial" w:hAnsi="Arial" w:cs="Arial"/>
                <w:szCs w:val="24"/>
              </w:rPr>
              <w:t>(PC 2019, pp. 73–74)</w:t>
            </w:r>
            <w:r w:rsidRPr="003C6F44">
              <w:t xml:space="preserve">. </w:t>
            </w:r>
          </w:p>
          <w:p w14:paraId="5A777717" w14:textId="76DA5F87" w:rsidR="00747335" w:rsidRPr="003C6F44" w:rsidRDefault="00747335" w:rsidP="003E6702">
            <w:pPr>
              <w:pStyle w:val="ListBullet"/>
              <w:spacing w:line="270" w:lineRule="atLeast"/>
            </w:pPr>
            <w:r w:rsidRPr="003C6F44">
              <w:t>Rental stress measures do not capture the many financial and non</w:t>
            </w:r>
            <w:r w:rsidRPr="003C6F44">
              <w:noBreakHyphen/>
              <w:t xml:space="preserve">financial costs and benefits that households weigh up when choosing a rental property. For example, households can trade off travel time (and travel costs) and rent </w:t>
            </w:r>
            <w:r w:rsidR="005F664F" w:rsidRPr="003C6F44">
              <w:rPr>
                <w:rFonts w:ascii="Arial" w:hAnsi="Arial" w:cs="Arial"/>
                <w:szCs w:val="24"/>
              </w:rPr>
              <w:t>(Dodson et al. 2020; Saberi et al. 2017)</w:t>
            </w:r>
            <w:r w:rsidRPr="003C6F44">
              <w:t xml:space="preserve">. And people who enter housing stress often do so after moving to better neighbourhoods, suggesting that the benefits of living in a preferred neighbourhood might more than make up for the higher rent </w:t>
            </w:r>
            <w:r w:rsidR="00E50C90" w:rsidRPr="003C6F44">
              <w:rPr>
                <w:rFonts w:ascii="Arial" w:hAnsi="Arial" w:cs="Arial"/>
                <w:szCs w:val="24"/>
              </w:rPr>
              <w:t>(Rowley and Ong 2012, p. 68)</w:t>
            </w:r>
            <w:r w:rsidR="00B862CB" w:rsidRPr="003C6F44">
              <w:rPr>
                <w:rFonts w:ascii="Arial" w:hAnsi="Arial" w:cs="Arial"/>
              </w:rPr>
              <w:t xml:space="preserve">. </w:t>
            </w:r>
            <w:r w:rsidRPr="003C6F44">
              <w:t>On the other hand, people renting in the marginal or informal rental sector may not be in rental stress, but their accommodation may be unsafe or poor quality.</w:t>
            </w:r>
          </w:p>
          <w:p w14:paraId="3420A46B" w14:textId="7516FDC6" w:rsidR="00747335" w:rsidRPr="003C6F44" w:rsidRDefault="00747335" w:rsidP="003E6702">
            <w:pPr>
              <w:pStyle w:val="ListBullet"/>
              <w:spacing w:line="270" w:lineRule="atLeast"/>
            </w:pPr>
            <w:r w:rsidRPr="003C6F44">
              <w:t xml:space="preserve">Estimates of rental stress are sensitive to measurement choices, and small differences in definition can lead to very different estimates of the prevalence of rental stress. </w:t>
            </w:r>
          </w:p>
          <w:p w14:paraId="41ED9EE9" w14:textId="50FB3FBB" w:rsidR="0009501E" w:rsidRPr="001A67F8" w:rsidRDefault="0066325E" w:rsidP="003E6702">
            <w:pPr>
              <w:pStyle w:val="BodyText"/>
              <w:spacing w:line="270" w:lineRule="atLeast"/>
              <w:rPr>
                <w:spacing w:val="-6"/>
              </w:rPr>
            </w:pPr>
            <w:r w:rsidRPr="001A67F8">
              <w:rPr>
                <w:spacing w:val="-6"/>
              </w:rPr>
              <w:t>T</w:t>
            </w:r>
            <w:r w:rsidR="00747335" w:rsidRPr="001A67F8">
              <w:rPr>
                <w:spacing w:val="-6"/>
              </w:rPr>
              <w:t>he Commission’s review of the NHHA</w:t>
            </w:r>
            <w:r w:rsidRPr="001A67F8">
              <w:rPr>
                <w:spacing w:val="-6"/>
              </w:rPr>
              <w:t xml:space="preserve"> </w:t>
            </w:r>
            <w:r w:rsidR="0009501E" w:rsidRPr="001A67F8">
              <w:rPr>
                <w:spacing w:val="-6"/>
              </w:rPr>
              <w:t>used a range of measures to assess rental affordability for people on lower incomes, including the distribution of rent burdens (the ratio of rent paid to incomes) and income left after paying rent</w:t>
            </w:r>
            <w:r w:rsidR="00533AAF" w:rsidRPr="001A67F8">
              <w:rPr>
                <w:spacing w:val="-6"/>
              </w:rPr>
              <w:t xml:space="preserve"> </w:t>
            </w:r>
            <w:r w:rsidR="00533AAF" w:rsidRPr="001A67F8">
              <w:rPr>
                <w:rFonts w:cs="Arial"/>
                <w:spacing w:val="-6"/>
                <w:szCs w:val="24"/>
              </w:rPr>
              <w:t>(PC 2022)</w:t>
            </w:r>
            <w:r w:rsidR="0009501E" w:rsidRPr="001A67F8">
              <w:rPr>
                <w:spacing w:val="-6"/>
              </w:rPr>
              <w:t xml:space="preserve">. </w:t>
            </w:r>
            <w:r w:rsidR="001645CC" w:rsidRPr="001A67F8">
              <w:rPr>
                <w:spacing w:val="-6"/>
              </w:rPr>
              <w:t xml:space="preserve">We </w:t>
            </w:r>
            <w:r w:rsidR="0009501E" w:rsidRPr="001A67F8">
              <w:rPr>
                <w:spacing w:val="-6"/>
              </w:rPr>
              <w:t xml:space="preserve">recommended </w:t>
            </w:r>
            <w:r w:rsidR="007D0118" w:rsidRPr="001A67F8">
              <w:rPr>
                <w:spacing w:val="-6"/>
              </w:rPr>
              <w:t>that governments develop a suite</w:t>
            </w:r>
            <w:r w:rsidRPr="001A67F8">
              <w:rPr>
                <w:spacing w:val="-6"/>
              </w:rPr>
              <w:t xml:space="preserve"> of rental affordability measures. </w:t>
            </w:r>
          </w:p>
          <w:p w14:paraId="3CD430CD" w14:textId="62A30077" w:rsidR="00296867" w:rsidRPr="003C6F44" w:rsidRDefault="00296867">
            <w:pPr>
              <w:pStyle w:val="Source"/>
            </w:pPr>
            <w:r w:rsidRPr="003C6F44">
              <w:t xml:space="preserve">Source: </w:t>
            </w:r>
            <w:r w:rsidR="00524B35" w:rsidRPr="003C6F44">
              <w:t>Productivity Commission</w:t>
            </w:r>
            <w:r w:rsidR="00AF378E" w:rsidRPr="003C6F44">
              <w:t xml:space="preserve"> </w:t>
            </w:r>
            <w:r w:rsidR="0075677A" w:rsidRPr="003C6F44">
              <w:rPr>
                <w:rFonts w:ascii="Arial" w:hAnsi="Arial" w:cs="Arial"/>
              </w:rPr>
              <w:t>(2022)</w:t>
            </w:r>
            <w:r w:rsidR="00524B35" w:rsidRPr="003C6F44">
              <w:t>.</w:t>
            </w:r>
          </w:p>
        </w:tc>
      </w:tr>
      <w:tr w:rsidR="00296867" w:rsidRPr="003C6F44" w14:paraId="32C59665" w14:textId="77777777">
        <w:trPr>
          <w:hidden/>
        </w:trPr>
        <w:tc>
          <w:tcPr>
            <w:tcW w:w="9638" w:type="dxa"/>
            <w:shd w:val="clear" w:color="auto" w:fill="auto"/>
            <w:tcMar>
              <w:top w:w="0" w:type="dxa"/>
              <w:left w:w="170" w:type="dxa"/>
              <w:bottom w:w="0" w:type="dxa"/>
              <w:right w:w="170" w:type="dxa"/>
            </w:tcMar>
          </w:tcPr>
          <w:p w14:paraId="2C96DDBE" w14:textId="732A91A8" w:rsidR="00296867" w:rsidRPr="003C6F44" w:rsidRDefault="00296867">
            <w:pPr>
              <w:pStyle w:val="BodyText"/>
              <w:spacing w:before="0" w:after="0" w:line="80" w:lineRule="atLeast"/>
              <w:rPr>
                <w:smallCaps/>
                <w:vanish/>
              </w:rPr>
            </w:pPr>
          </w:p>
        </w:tc>
      </w:tr>
    </w:tbl>
    <w:p w14:paraId="516E8D13" w14:textId="77777777" w:rsidR="006A3D1F" w:rsidRPr="003C6F44" w:rsidRDefault="006A3D1F" w:rsidP="002514F6">
      <w:pPr>
        <w:pStyle w:val="Heading3"/>
      </w:pPr>
      <w:bookmarkStart w:id="12" w:name="_Toc142050577"/>
      <w:r w:rsidRPr="003C6F44">
        <w:t>Many low-income renters face heavy rent burdens …</w:t>
      </w:r>
      <w:bookmarkEnd w:id="12"/>
    </w:p>
    <w:p w14:paraId="1926E6F3" w14:textId="20DD840A" w:rsidR="006A3D1F" w:rsidRPr="003C6F44" w:rsidRDefault="006A3D1F" w:rsidP="006A3D1F">
      <w:r w:rsidRPr="003C6F44">
        <w:t>Low</w:t>
      </w:r>
      <w:r w:rsidRPr="003C6F44">
        <w:noBreakHyphen/>
        <w:t xml:space="preserve">income households spend a higher proportion of disposable income on rent than other households. The median rent burden for </w:t>
      </w:r>
      <w:r w:rsidR="00DE0665">
        <w:t>people</w:t>
      </w:r>
      <w:r w:rsidR="00DE0665" w:rsidRPr="003C6F44">
        <w:t xml:space="preserve"> </w:t>
      </w:r>
      <w:r w:rsidRPr="003C6F44">
        <w:t>in the first quintile of equivalised disposable household income (with income up to $543 per week, in 2019</w:t>
      </w:r>
      <w:r w:rsidRPr="003C6F44">
        <w:noBreakHyphen/>
        <w:t>20 dollars) was 43</w:t>
      </w:r>
      <w:r w:rsidR="002A6681" w:rsidRPr="003C6F44">
        <w:t>%</w:t>
      </w:r>
      <w:r w:rsidRPr="003C6F44">
        <w:t xml:space="preserve"> in 2019</w:t>
      </w:r>
      <w:r w:rsidRPr="003C6F44">
        <w:noBreakHyphen/>
        <w:t>20, while for households in the second quintile (with income up to $794 per week, in 2019</w:t>
      </w:r>
      <w:r w:rsidRPr="003C6F44">
        <w:noBreakHyphen/>
        <w:t>20 dollars) it was 32</w:t>
      </w:r>
      <w:r w:rsidR="002A6681" w:rsidRPr="003C6F44">
        <w:t>%</w:t>
      </w:r>
      <w:r w:rsidRPr="003C6F44">
        <w:t xml:space="preserve">. </w:t>
      </w:r>
    </w:p>
    <w:p w14:paraId="5896720D" w14:textId="4D75F593" w:rsidR="006A3D1F" w:rsidRPr="003C6F44" w:rsidRDefault="006A3D1F" w:rsidP="006A3D1F">
      <w:pPr>
        <w:pStyle w:val="BodyText"/>
      </w:pPr>
      <w:r w:rsidRPr="003C6F44">
        <w:rPr>
          <w:spacing w:val="-4"/>
        </w:rPr>
        <w:t>Median values can hide very different experiences of rental affordability. The majority (66</w:t>
      </w:r>
      <w:r w:rsidR="002A6681" w:rsidRPr="003C6F44">
        <w:rPr>
          <w:spacing w:val="-4"/>
        </w:rPr>
        <w:t>%</w:t>
      </w:r>
      <w:r w:rsidRPr="003C6F44">
        <w:rPr>
          <w:spacing w:val="-4"/>
        </w:rPr>
        <w:t>) of private renters with low incomes spent over 30</w:t>
      </w:r>
      <w:r w:rsidR="002A6681" w:rsidRPr="003C6F44">
        <w:rPr>
          <w:spacing w:val="-4"/>
        </w:rPr>
        <w:t>%</w:t>
      </w:r>
      <w:r w:rsidRPr="003C6F44">
        <w:rPr>
          <w:spacing w:val="-4"/>
        </w:rPr>
        <w:t xml:space="preserve"> of their income on rent in 2019</w:t>
      </w:r>
      <w:r w:rsidRPr="003C6F44">
        <w:rPr>
          <w:spacing w:val="-4"/>
        </w:rPr>
        <w:noBreakHyphen/>
        <w:t>20, while 20</w:t>
      </w:r>
      <w:r w:rsidR="002A6681" w:rsidRPr="003C6F44">
        <w:rPr>
          <w:spacing w:val="-4"/>
        </w:rPr>
        <w:t>%</w:t>
      </w:r>
      <w:r w:rsidRPr="003C6F44">
        <w:rPr>
          <w:spacing w:val="-4"/>
        </w:rPr>
        <w:t xml:space="preserve"> spent over half their income on rent</w:t>
      </w:r>
      <w:r w:rsidR="00CF126B">
        <w:rPr>
          <w:spacing w:val="-4"/>
        </w:rPr>
        <w:t xml:space="preserve"> (figure 4)</w:t>
      </w:r>
      <w:r w:rsidRPr="003C6F44">
        <w:rPr>
          <w:spacing w:val="-4"/>
        </w:rPr>
        <w:t>.</w:t>
      </w:r>
      <w:r w:rsidR="00B76032">
        <w:rPr>
          <w:spacing w:val="-4"/>
        </w:rPr>
        <w:t xml:space="preserve"> And </w:t>
      </w:r>
      <w:r w:rsidRPr="003C6F44">
        <w:t>many low</w:t>
      </w:r>
      <w:r w:rsidRPr="003C6F44">
        <w:noBreakHyphen/>
        <w:t>income households have little income left after paying rent</w:t>
      </w:r>
      <w:r w:rsidR="006E10C3">
        <w:t xml:space="preserve"> </w:t>
      </w:r>
      <w:r w:rsidR="006E10C3" w:rsidRPr="003C6F44">
        <w:rPr>
          <w:rFonts w:ascii="Symbol" w:eastAsia="Symbol" w:hAnsi="Symbol" w:cs="Symbol"/>
        </w:rPr>
        <w:t>¾</w:t>
      </w:r>
      <w:r w:rsidR="006E10C3">
        <w:rPr>
          <w:rFonts w:ascii="Symbol" w:eastAsia="Symbol" w:hAnsi="Symbol" w:cs="Symbol"/>
        </w:rPr>
        <w:t xml:space="preserve"> </w:t>
      </w:r>
      <w:r w:rsidR="001C0EFE">
        <w:t xml:space="preserve">in </w:t>
      </w:r>
      <w:r w:rsidR="00970C11">
        <w:t>2019-20, a</w:t>
      </w:r>
      <w:r w:rsidRPr="003C6F44">
        <w:t>bout 22</w:t>
      </w:r>
      <w:r w:rsidR="002A6681" w:rsidRPr="003C6F44">
        <w:t>%</w:t>
      </w:r>
      <w:r w:rsidRPr="003C6F44">
        <w:t xml:space="preserve"> had less than $250 left, in equivalised terms, each week</w:t>
      </w:r>
      <w:r w:rsidR="00134CCC">
        <w:t xml:space="preserve"> (figure 5)</w:t>
      </w:r>
      <w:r w:rsidRPr="003C6F44">
        <w:t xml:space="preserve">. </w:t>
      </w:r>
    </w:p>
    <w:p w14:paraId="1EA23956" w14:textId="29876EA8" w:rsidR="006A3D1F" w:rsidRPr="00850C3E" w:rsidRDefault="006A3D1F" w:rsidP="006A3D1F">
      <w:pPr>
        <w:pStyle w:val="FigureTableHeading"/>
        <w:rPr>
          <w:spacing w:val="-4"/>
        </w:rPr>
      </w:pPr>
      <w:r w:rsidRPr="00850C3E">
        <w:rPr>
          <w:spacing w:val="-4"/>
        </w:rPr>
        <w:lastRenderedPageBreak/>
        <w:t xml:space="preserve">Figure </w:t>
      </w:r>
      <w:r w:rsidR="00756EC6" w:rsidRPr="00850C3E">
        <w:rPr>
          <w:spacing w:val="-4"/>
        </w:rPr>
        <w:t>4</w:t>
      </w:r>
      <w:r w:rsidRPr="00850C3E">
        <w:rPr>
          <w:noProof/>
          <w:spacing w:val="-4"/>
        </w:rPr>
        <w:t xml:space="preserve"> </w:t>
      </w:r>
      <w:r w:rsidRPr="00850C3E">
        <w:rPr>
          <w:spacing w:val="-4"/>
        </w:rPr>
        <w:t>– Many low</w:t>
      </w:r>
      <w:r w:rsidRPr="00850C3E">
        <w:rPr>
          <w:spacing w:val="-4"/>
        </w:rPr>
        <w:noBreakHyphen/>
        <w:t>income private renters spend more than 30</w:t>
      </w:r>
      <w:r w:rsidR="002A6681" w:rsidRPr="00850C3E">
        <w:rPr>
          <w:spacing w:val="-4"/>
        </w:rPr>
        <w:t>%</w:t>
      </w:r>
      <w:r w:rsidRPr="00850C3E">
        <w:rPr>
          <w:spacing w:val="-4"/>
        </w:rPr>
        <w:t xml:space="preserve"> of their income on rent</w:t>
      </w:r>
      <w:r w:rsidRPr="00850C3E">
        <w:rPr>
          <w:spacing w:val="-4"/>
          <w:vertAlign w:val="superscript"/>
        </w:rPr>
        <w:t>a</w:t>
      </w:r>
    </w:p>
    <w:p w14:paraId="507E5F33" w14:textId="77777777" w:rsidR="006A3D1F" w:rsidRPr="003C6F44" w:rsidRDefault="006A3D1F" w:rsidP="006A3D1F">
      <w:pPr>
        <w:pStyle w:val="FigureTableSubheading"/>
        <w:keepLines/>
        <w:rPr>
          <w:spacing w:val="-6"/>
        </w:rPr>
      </w:pPr>
      <w:r w:rsidRPr="003C6F44">
        <w:rPr>
          <w:spacing w:val="-6"/>
        </w:rPr>
        <w:t>Distribution of rent as a proportion of disposable household income, private renters, 2019</w:t>
      </w:r>
      <w:r w:rsidRPr="003C6F44">
        <w:rPr>
          <w:spacing w:val="-6"/>
        </w:rPr>
        <w:noBreakHyphen/>
        <w:t>20</w:t>
      </w:r>
    </w:p>
    <w:p w14:paraId="1B1701E5" w14:textId="77777777" w:rsidR="006A3D1F" w:rsidRPr="003C6F44" w:rsidRDefault="006A3D1F" w:rsidP="001A67F8">
      <w:pPr>
        <w:pStyle w:val="Note"/>
        <w:keepLines/>
        <w:spacing w:before="0"/>
        <w:jc w:val="center"/>
        <w:rPr>
          <w:noProof/>
        </w:rPr>
      </w:pPr>
      <w:r w:rsidRPr="003C6F44">
        <w:rPr>
          <w:noProof/>
        </w:rPr>
        <w:drawing>
          <wp:inline distT="0" distB="0" distL="0" distR="0" wp14:anchorId="19D509D9" wp14:editId="6AEBCD29">
            <wp:extent cx="6075045" cy="2834640"/>
            <wp:effectExtent l="0" t="0" r="0" b="3810"/>
            <wp:docPr id="558" name="Picture 558" descr="This figure shows that in 2019-20, 66 per cent of low-income private renter households spent over 30 per cent of their income on rent, compared to just 19 per cent of private renter households not on low incomes. 20 per cent of low-income households and 1.5 per cent of other households spent over half of their income on rent in 2019-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8" name="Picture 558" descr="This figure shows that in 2019-20, 66 per cent of low-income private renter households spent over 30 per cent of their income on rent, compared to just 19 per cent of private renter households not on low incomes. 20 per cent of low-income households and 1.5 per cent of other households spent over half of their income on rent in 2019-20."/>
                    <pic:cNvPicPr>
                      <a:picLocks noChangeAspect="1" noChangeArrowheads="1"/>
                    </pic:cNvPicPr>
                  </pic:nvPicPr>
                  <pic:blipFill rotWithShape="1">
                    <a:blip r:embed="rId27" cstate="print">
                      <a:extLst>
                        <a:ext uri="{28A0092B-C50C-407E-A947-70E740481C1C}">
                          <a14:useLocalDpi xmlns:a14="http://schemas.microsoft.com/office/drawing/2010/main" val="0"/>
                        </a:ext>
                      </a:extLst>
                    </a:blip>
                    <a:srcRect t="3477" b="4158"/>
                    <a:stretch/>
                  </pic:blipFill>
                  <pic:spPr bwMode="auto">
                    <a:xfrm>
                      <a:off x="0" y="0"/>
                      <a:ext cx="6075045" cy="2834640"/>
                    </a:xfrm>
                    <a:prstGeom prst="rect">
                      <a:avLst/>
                    </a:prstGeom>
                    <a:noFill/>
                    <a:ln>
                      <a:noFill/>
                    </a:ln>
                    <a:extLst>
                      <a:ext uri="{53640926-AAD7-44D8-BBD7-CCE9431645EC}">
                        <a14:shadowObscured xmlns:a14="http://schemas.microsoft.com/office/drawing/2010/main"/>
                      </a:ext>
                    </a:extLst>
                  </pic:spPr>
                </pic:pic>
              </a:graphicData>
            </a:graphic>
          </wp:inline>
        </w:drawing>
      </w:r>
    </w:p>
    <w:p w14:paraId="5CB063EA" w14:textId="398FC8D8" w:rsidR="006A3D1F" w:rsidRPr="003C6F44" w:rsidRDefault="006A3D1F" w:rsidP="006A3D1F">
      <w:pPr>
        <w:pStyle w:val="Note"/>
        <w:keepLines/>
        <w:rPr>
          <w:spacing w:val="-2"/>
        </w:rPr>
      </w:pPr>
      <w:r w:rsidRPr="003C6F44">
        <w:rPr>
          <w:b/>
          <w:bCs/>
          <w:spacing w:val="-2"/>
        </w:rPr>
        <w:t>a.</w:t>
      </w:r>
      <w:r w:rsidRPr="003C6F44">
        <w:rPr>
          <w:spacing w:val="-2"/>
        </w:rPr>
        <w:t xml:space="preserve"> Density charts show the distribution of a population </w:t>
      </w:r>
      <w:r w:rsidR="002A6681" w:rsidRPr="003C6F44">
        <w:rPr>
          <w:spacing w:val="-2"/>
        </w:rPr>
        <w:t xml:space="preserve">– </w:t>
      </w:r>
      <w:r w:rsidRPr="003C6F44">
        <w:rPr>
          <w:spacing w:val="-2"/>
        </w:rPr>
        <w:t>the higher the density value, the larger the share of the population falling around that point. For example, the ‘other private renter households’ line peaks at about 20</w:t>
      </w:r>
      <w:r w:rsidR="002A6681" w:rsidRPr="003C6F44">
        <w:rPr>
          <w:spacing w:val="-2"/>
        </w:rPr>
        <w:t>%</w:t>
      </w:r>
      <w:r w:rsidRPr="003C6F44">
        <w:rPr>
          <w:spacing w:val="-2"/>
        </w:rPr>
        <w:t>, indicating that many households pay about 20</w:t>
      </w:r>
      <w:r w:rsidR="002A6681" w:rsidRPr="003C6F44">
        <w:rPr>
          <w:spacing w:val="-2"/>
        </w:rPr>
        <w:t>%</w:t>
      </w:r>
      <w:r w:rsidRPr="003C6F44">
        <w:rPr>
          <w:spacing w:val="-2"/>
        </w:rPr>
        <w:t xml:space="preserve"> of income on rent. The line reaches zero density at about 60</w:t>
      </w:r>
      <w:r w:rsidR="002A6681" w:rsidRPr="003C6F44">
        <w:rPr>
          <w:spacing w:val="-2"/>
        </w:rPr>
        <w:t>%</w:t>
      </w:r>
      <w:r w:rsidRPr="003C6F44">
        <w:rPr>
          <w:spacing w:val="-2"/>
        </w:rPr>
        <w:t>, indicating that very few households pay more than 60</w:t>
      </w:r>
      <w:r w:rsidR="002A6681" w:rsidRPr="003C6F44">
        <w:rPr>
          <w:spacing w:val="-2"/>
        </w:rPr>
        <w:t>%</w:t>
      </w:r>
      <w:r w:rsidRPr="003C6F44">
        <w:rPr>
          <w:spacing w:val="-2"/>
        </w:rPr>
        <w:t xml:space="preserve"> of their income on rent. </w:t>
      </w:r>
    </w:p>
    <w:p w14:paraId="75F5EAE9" w14:textId="77777777" w:rsidR="006A3D1F" w:rsidRPr="003C6F44" w:rsidRDefault="006A3D1F" w:rsidP="006A3D1F">
      <w:pPr>
        <w:pStyle w:val="Source"/>
        <w:rPr>
          <w:i/>
          <w:iCs/>
        </w:rPr>
      </w:pPr>
      <w:r w:rsidRPr="003C6F44">
        <w:t>Source: Commission estimates using ABS (</w:t>
      </w:r>
      <w:r w:rsidRPr="003C6F44">
        <w:rPr>
          <w:i/>
          <w:iCs/>
        </w:rPr>
        <w:t>Microdata: Income and Housing, Australia, 2019</w:t>
      </w:r>
      <w:r w:rsidRPr="003C6F44">
        <w:rPr>
          <w:i/>
          <w:iCs/>
        </w:rPr>
        <w:noBreakHyphen/>
        <w:t>20</w:t>
      </w:r>
      <w:r w:rsidRPr="003C6F44">
        <w:t>, Cat. no. 6541.0.30.001).</w:t>
      </w:r>
    </w:p>
    <w:p w14:paraId="7641E3DA" w14:textId="45792351" w:rsidR="006A3D1F" w:rsidRPr="003C6F44" w:rsidRDefault="006A3D1F" w:rsidP="006A3D1F">
      <w:pPr>
        <w:pStyle w:val="FigureTableHeading"/>
        <w:rPr>
          <w:spacing w:val="-6"/>
        </w:rPr>
      </w:pPr>
      <w:r w:rsidRPr="003C6F44">
        <w:rPr>
          <w:spacing w:val="-6"/>
        </w:rPr>
        <w:t xml:space="preserve">Figure </w:t>
      </w:r>
      <w:r w:rsidR="00756EC6" w:rsidRPr="003C6F44">
        <w:rPr>
          <w:spacing w:val="-6"/>
        </w:rPr>
        <w:t>5</w:t>
      </w:r>
      <w:r w:rsidRPr="003C6F44">
        <w:rPr>
          <w:noProof/>
          <w:spacing w:val="-6"/>
        </w:rPr>
        <w:t xml:space="preserve"> </w:t>
      </w:r>
      <w:r w:rsidRPr="003C6F44">
        <w:rPr>
          <w:spacing w:val="-6"/>
        </w:rPr>
        <w:t>– Some low</w:t>
      </w:r>
      <w:r w:rsidRPr="003C6F44">
        <w:rPr>
          <w:spacing w:val="-6"/>
        </w:rPr>
        <w:noBreakHyphen/>
        <w:t>income households have little income left after paying rent</w:t>
      </w:r>
      <w:r w:rsidRPr="003C6F44">
        <w:rPr>
          <w:spacing w:val="-6"/>
          <w:vertAlign w:val="superscript"/>
        </w:rPr>
        <w:t>a</w:t>
      </w:r>
    </w:p>
    <w:p w14:paraId="58CF2219" w14:textId="77777777" w:rsidR="006A3D1F" w:rsidRPr="003C6F44" w:rsidRDefault="006A3D1F" w:rsidP="006A3D1F">
      <w:pPr>
        <w:pStyle w:val="FigureTableSubheading"/>
        <w:keepLines/>
      </w:pPr>
      <w:r w:rsidRPr="003C6F44">
        <w:t>Distribution of weekly disposable income minus rent, equivalised values, 2019</w:t>
      </w:r>
      <w:r w:rsidRPr="003C6F44">
        <w:noBreakHyphen/>
        <w:t>20</w:t>
      </w:r>
    </w:p>
    <w:p w14:paraId="1D5BF552" w14:textId="77777777" w:rsidR="006A3D1F" w:rsidRPr="003C6F44" w:rsidRDefault="006A3D1F" w:rsidP="006A3D1F">
      <w:pPr>
        <w:pStyle w:val="Note"/>
        <w:keepLines/>
        <w:rPr>
          <w:b/>
          <w:bCs/>
        </w:rPr>
      </w:pPr>
      <w:r w:rsidRPr="003C6F44">
        <w:rPr>
          <w:noProof/>
        </w:rPr>
        <w:drawing>
          <wp:inline distT="0" distB="0" distL="0" distR="0" wp14:anchorId="7C2B9E6A" wp14:editId="39435E1E">
            <wp:extent cx="6120130" cy="2908935"/>
            <wp:effectExtent l="0" t="0" r="0" b="0"/>
            <wp:docPr id="559" name="Picture 559" descr="This figure shows the distribution of weekly disposable income for renters after paying rent, in 2019-20. 77 per cent of low-income households and 2 per cent of other households had less than $500 left each week after paying rent. And 22 per cent of low-income households had less than $250 left each week after paying r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9" name="Picture 559" descr="This figure shows the distribution of weekly disposable income for renters after paying rent, in 2019-20. 77 per cent of low-income households and 2 per cent of other households had less than $500 left each week after paying rent. And 22 per cent of low-income households had less than $250 left each week after paying rent."/>
                    <pic:cNvPicPr>
                      <a:picLocks noChangeAspect="1" noChangeArrowheads="1"/>
                    </pic:cNvPicPr>
                  </pic:nvPicPr>
                  <pic:blipFill rotWithShape="1">
                    <a:blip r:embed="rId28" cstate="print">
                      <a:extLst>
                        <a:ext uri="{28A0092B-C50C-407E-A947-70E740481C1C}">
                          <a14:useLocalDpi xmlns:a14="http://schemas.microsoft.com/office/drawing/2010/main" val="0"/>
                        </a:ext>
                      </a:extLst>
                    </a:blip>
                    <a:srcRect t="5915"/>
                    <a:stretch/>
                  </pic:blipFill>
                  <pic:spPr bwMode="auto">
                    <a:xfrm>
                      <a:off x="0" y="0"/>
                      <a:ext cx="6120130" cy="2908935"/>
                    </a:xfrm>
                    <a:prstGeom prst="rect">
                      <a:avLst/>
                    </a:prstGeom>
                    <a:noFill/>
                    <a:ln>
                      <a:noFill/>
                    </a:ln>
                    <a:extLst>
                      <a:ext uri="{53640926-AAD7-44D8-BBD7-CCE9431645EC}">
                        <a14:shadowObscured xmlns:a14="http://schemas.microsoft.com/office/drawing/2010/main"/>
                      </a:ext>
                    </a:extLst>
                  </pic:spPr>
                </pic:pic>
              </a:graphicData>
            </a:graphic>
          </wp:inline>
        </w:drawing>
      </w:r>
    </w:p>
    <w:p w14:paraId="6BDF1544" w14:textId="5126D6A9" w:rsidR="006A3D1F" w:rsidRPr="003C6F44" w:rsidRDefault="006A3D1F" w:rsidP="006A3D1F">
      <w:pPr>
        <w:pStyle w:val="Note"/>
        <w:keepLines/>
      </w:pPr>
      <w:r w:rsidRPr="003C6F44">
        <w:rPr>
          <w:b/>
          <w:bCs/>
        </w:rPr>
        <w:t>a.</w:t>
      </w:r>
      <w:r w:rsidRPr="003C6F44">
        <w:t xml:space="preserve"> Only the 1</w:t>
      </w:r>
      <w:r w:rsidRPr="003C6F44">
        <w:rPr>
          <w:vertAlign w:val="superscript"/>
        </w:rPr>
        <w:t>st</w:t>
      </w:r>
      <w:r w:rsidRPr="003C6F44">
        <w:t xml:space="preserve"> to 95</w:t>
      </w:r>
      <w:r w:rsidRPr="003C6F44">
        <w:rPr>
          <w:vertAlign w:val="superscript"/>
        </w:rPr>
        <w:t>th</w:t>
      </w:r>
      <w:r w:rsidRPr="003C6F44">
        <w:t xml:space="preserve"> percentiles of equivalised residual incomes are shown. Residual income (disposable income minus rent) is equivalised using the modified OECD scale.</w:t>
      </w:r>
    </w:p>
    <w:p w14:paraId="683FC0AB" w14:textId="77777777" w:rsidR="006A3D1F" w:rsidRPr="003C6F44" w:rsidRDefault="006A3D1F" w:rsidP="006A3D1F">
      <w:pPr>
        <w:pStyle w:val="Source"/>
        <w:rPr>
          <w:i/>
          <w:iCs/>
        </w:rPr>
      </w:pPr>
      <w:r w:rsidRPr="003C6F44">
        <w:t>Source: Commission estimates using ABS (</w:t>
      </w:r>
      <w:r w:rsidRPr="003C6F44">
        <w:rPr>
          <w:i/>
          <w:iCs/>
        </w:rPr>
        <w:t>Microdata: Income and Housing, Australia, 2019</w:t>
      </w:r>
      <w:r w:rsidRPr="003C6F44">
        <w:rPr>
          <w:i/>
          <w:iCs/>
        </w:rPr>
        <w:noBreakHyphen/>
        <w:t>20</w:t>
      </w:r>
      <w:r w:rsidRPr="003C6F44">
        <w:t>, Cat. no. 6541.0.30.001).</w:t>
      </w:r>
    </w:p>
    <w:p w14:paraId="70CF60C5" w14:textId="1D83279A" w:rsidR="006A3D1F" w:rsidRPr="003C6F44" w:rsidRDefault="006A3D1F" w:rsidP="006A3D1F">
      <w:pPr>
        <w:pStyle w:val="BodyText"/>
        <w:rPr>
          <w:spacing w:val="-4"/>
        </w:rPr>
      </w:pPr>
      <w:r w:rsidRPr="003C6F44">
        <w:rPr>
          <w:spacing w:val="-4"/>
        </w:rPr>
        <w:lastRenderedPageBreak/>
        <w:t xml:space="preserve">Rent burdens are not evenly distributed across the population. </w:t>
      </w:r>
      <w:r w:rsidR="001B773F">
        <w:rPr>
          <w:spacing w:val="-4"/>
        </w:rPr>
        <w:t>P</w:t>
      </w:r>
      <w:r w:rsidRPr="003C6F44">
        <w:rPr>
          <w:spacing w:val="-4"/>
        </w:rPr>
        <w:t>rivate renters who are unemployed, older or sole parents spend a larger proportion of their income on rent (table </w:t>
      </w:r>
      <w:r w:rsidR="00EF72CA" w:rsidRPr="003C6F44">
        <w:rPr>
          <w:spacing w:val="-4"/>
        </w:rPr>
        <w:t>1</w:t>
      </w:r>
      <w:r w:rsidRPr="003C6F44">
        <w:rPr>
          <w:spacing w:val="-4"/>
        </w:rPr>
        <w:t xml:space="preserve">). </w:t>
      </w:r>
    </w:p>
    <w:p w14:paraId="3FF26147" w14:textId="650B81EE" w:rsidR="006A3D1F" w:rsidRPr="003C6F44" w:rsidRDefault="006A3D1F" w:rsidP="006A3D1F">
      <w:pPr>
        <w:pStyle w:val="FigureTableHeading"/>
      </w:pPr>
      <w:r w:rsidRPr="003C6F44">
        <w:t xml:space="preserve">Table </w:t>
      </w:r>
      <w:r w:rsidRPr="003C6F44">
        <w:rPr>
          <w:noProof/>
        </w:rPr>
        <w:t xml:space="preserve">1 – Rent burdens for different households, </w:t>
      </w:r>
      <w:r w:rsidRPr="003C6F44">
        <w:t>2019</w:t>
      </w:r>
      <w:r w:rsidRPr="003C6F44">
        <w:noBreakHyphen/>
        <w:t>20</w:t>
      </w:r>
    </w:p>
    <w:tbl>
      <w:tblPr>
        <w:tblW w:w="5000" w:type="pct"/>
        <w:tblBorders>
          <w:bottom w:val="single" w:sz="4" w:space="0" w:color="B3B3B3"/>
        </w:tblBorders>
        <w:shd w:val="clear" w:color="000000" w:fill="auto"/>
        <w:tblCellMar>
          <w:left w:w="0" w:type="dxa"/>
          <w:right w:w="0" w:type="dxa"/>
        </w:tblCellMar>
        <w:tblLook w:val="04A0" w:firstRow="1" w:lastRow="0" w:firstColumn="1" w:lastColumn="0" w:noHBand="0" w:noVBand="1"/>
        <w:tblDescription w:val="{&quot;Ott&quot;:{&quot;FirstRow&quot;:{&quot;Font&quot;:{&quot;Bold&quot;:true,&quot;Color&quot;:{&quot;Key&quot;:&quot;TableHeading&quot;},&quot;BulletColor&quot;:{&quot;Key&quot;:&quot;TableHeading&quot;}},&quot;Alignment&quot;:{&quot;Vertical&quot;:&quot;Bottom&quot;},&quot;Borders&quot;:{&quot;Bottom&quot;:{&quot;Color&quot;:{&quot;Key&quot;:&quot;BorderColor&quot;},&quot;BorderWeight&quot;:&quot;Pt0_5&quot;,&quot;Type&quot;:&quot;Solid&quot;,&quot;Visible&quot;:true}}},&quot;LastRow&quot;:{},&quot;FirstColumn&quot;:{&quot;Font&quot;:{&quot;Bold&quot;:true,&quot;Color&quot;:{&quot;Key&quot;:&quot;TableHeading&quot;},&quot;BulletColor&quot;:{&quot;Key&quot;:&quot;TableHeading&quot;}}},&quot;LastColumn&quot;:{},&quot;BandedRow&quot;:{&quot;Item&quot;:{&quot;BackgroundColor&quot;:{&quot;Key&quot;:&quot;BandedRow&quot;}},&quot;Type&quot;:&quot;BandFirst&quot;},&quot;BandedColumn&quot;:{&quot;Item&quot;:{},&quot;Type&quot;:&quot;BandFirst&quot;},&quot;FitRowHeightPp&quot;:true,&quot;ZeroMarginsWord&quot;:true,&quot;BackgroundColor&quot;:{&quot;Key&quot;:&quot;BackgroundColor&quot;},&quot;Font&quot;:{&quot;Name&quot;:&quot;Arial (Body)&quot;,&quot;Size&quot;:9.0,&quot;SizeOverridePp&quot;:16.0,&quot;Bold&quot;:false,&quot;Italic&quot;:false,&quot;Underline&quot;:false,&quot;Color&quot;:{&quot;Key&quot;:&quot;TableBody&quot;},&quot;BulletColor&quot;:{&quot;Key&quot;:&quot;TableBody&quot;}},&quot;Alignment&quot;:{&quot;Horizontal&quot;:&quot;Left&quot;,&quot;Vertical&quot;:&quot;Top&quot;},&quot;Margin&quot;:{&quot;Left&quot;:2.83464575,&quot;Top&quot;:2.26771641,&quot;Right&quot;:5.38582659,&quot;Bottom&quot;:2.26771641},&quot;Borders&quot;:{&quot;Vertical&quot;:{&quot;Visible&quot;:false},&quot;Horizontal&quot;:{&quot;Visible&quot;:false},&quot;Bottom&quot;:{&quot;Color&quot;:{&quot;Key&quot;:&quot;BorderColor&quot;},&quot;BorderWeight&quot;:&quot;Pt0_5&quot;,&quot;Type&quot;:&quot;Solid&quot;,&quot;Visible&quot;:true}}},&quot;Ccs&quot;:{&quot;TableBody&quot;:&quot;Black&quot;,&quot;TableHeading&quot;:&quot;38, 90, 154&quot;,&quot;BandedRow&quot;:&quot;242, 242, 242&quot;,&quot;BorderColor&quot;:&quot;179, 179, 179&quot;,&quot;BackgroundColor&quot;:&quot;Transparent&quot;},&quot;Cop&quot;:{&quot;FirstRow&quot;:true,&quot;LastRow&quot;:false,&quot;FirstColumn&quot;:true,&quot;LastColumn&quot;:false,&quot;BandedRows&quot;:true,&quot;BandedColumns&quot;:false},&quot;Aaf&quot;:false}"/>
      </w:tblPr>
      <w:tblGrid>
        <w:gridCol w:w="3596"/>
        <w:gridCol w:w="2014"/>
        <w:gridCol w:w="2014"/>
        <w:gridCol w:w="2014"/>
      </w:tblGrid>
      <w:tr w:rsidR="006A3D1F" w:rsidRPr="003C6F44" w14:paraId="747C203F" w14:textId="77777777">
        <w:trPr>
          <w:tblHeader/>
        </w:trPr>
        <w:tc>
          <w:tcPr>
            <w:tcW w:w="1250" w:type="pct"/>
            <w:tcBorders>
              <w:bottom w:val="single" w:sz="4" w:space="0" w:color="B3B3B3"/>
            </w:tcBorders>
            <w:shd w:val="clear" w:color="000000" w:fill="auto"/>
            <w:vAlign w:val="bottom"/>
          </w:tcPr>
          <w:p w14:paraId="508ABEC1" w14:textId="77777777" w:rsidR="006A3D1F" w:rsidRPr="003C6F44" w:rsidRDefault="006A3D1F">
            <w:pPr>
              <w:spacing w:before="45" w:after="45"/>
              <w:ind w:left="57" w:right="108"/>
              <w:rPr>
                <w:rFonts w:ascii="Arial (Body)" w:hAnsi="Arial (Body)"/>
                <w:b/>
                <w:color w:val="265A9A"/>
                <w:sz w:val="18"/>
              </w:rPr>
            </w:pPr>
          </w:p>
        </w:tc>
        <w:tc>
          <w:tcPr>
            <w:tcW w:w="700" w:type="pct"/>
            <w:tcBorders>
              <w:bottom w:val="single" w:sz="4" w:space="0" w:color="B3B3B3"/>
            </w:tcBorders>
            <w:shd w:val="clear" w:color="000000" w:fill="auto"/>
            <w:vAlign w:val="bottom"/>
          </w:tcPr>
          <w:p w14:paraId="75C4C368" w14:textId="77777777" w:rsidR="006A3D1F" w:rsidRPr="003C6F44" w:rsidRDefault="006A3D1F">
            <w:pPr>
              <w:pStyle w:val="TableHeading"/>
              <w:spacing w:before="45" w:after="45"/>
              <w:ind w:right="108"/>
              <w:jc w:val="right"/>
              <w:rPr>
                <w:rFonts w:ascii="Arial (Body)" w:hAnsi="Arial (Body)"/>
                <w:color w:val="265A9A"/>
              </w:rPr>
            </w:pPr>
            <w:r w:rsidRPr="003C6F44">
              <w:rPr>
                <w:rFonts w:ascii="Arial (Body)" w:hAnsi="Arial (Body)"/>
                <w:color w:val="265A9A"/>
              </w:rPr>
              <w:t>Median rent as share of disposable income</w:t>
            </w:r>
          </w:p>
        </w:tc>
        <w:tc>
          <w:tcPr>
            <w:tcW w:w="700" w:type="pct"/>
            <w:tcBorders>
              <w:bottom w:val="single" w:sz="4" w:space="0" w:color="B3B3B3"/>
            </w:tcBorders>
            <w:shd w:val="clear" w:color="000000" w:fill="auto"/>
            <w:vAlign w:val="bottom"/>
          </w:tcPr>
          <w:p w14:paraId="1889700F" w14:textId="77777777" w:rsidR="006A3D1F" w:rsidRPr="003C6F44" w:rsidRDefault="006A3D1F">
            <w:pPr>
              <w:pStyle w:val="TableHeading"/>
              <w:spacing w:before="45" w:after="45"/>
              <w:ind w:right="108"/>
              <w:jc w:val="right"/>
              <w:rPr>
                <w:rFonts w:ascii="Arial (Body)" w:hAnsi="Arial (Body)"/>
                <w:color w:val="265A9A"/>
              </w:rPr>
            </w:pPr>
            <w:r w:rsidRPr="003C6F44">
              <w:rPr>
                <w:rFonts w:ascii="Arial (Body)" w:hAnsi="Arial (Body)"/>
                <w:color w:val="265A9A"/>
              </w:rPr>
              <w:t>Spending more than 30% of disposable income on rent</w:t>
            </w:r>
          </w:p>
        </w:tc>
        <w:tc>
          <w:tcPr>
            <w:tcW w:w="700" w:type="pct"/>
            <w:tcBorders>
              <w:bottom w:val="single" w:sz="4" w:space="0" w:color="B3B3B3"/>
            </w:tcBorders>
            <w:shd w:val="clear" w:color="000000" w:fill="auto"/>
            <w:vAlign w:val="bottom"/>
          </w:tcPr>
          <w:p w14:paraId="6B9CABEA" w14:textId="77777777" w:rsidR="006A3D1F" w:rsidRPr="003C6F44" w:rsidRDefault="006A3D1F">
            <w:pPr>
              <w:pStyle w:val="TableHeading"/>
              <w:spacing w:before="45" w:after="45"/>
              <w:ind w:right="108"/>
              <w:jc w:val="right"/>
              <w:rPr>
                <w:rFonts w:ascii="Arial (Body)" w:hAnsi="Arial (Body)"/>
                <w:color w:val="265A9A"/>
              </w:rPr>
            </w:pPr>
            <w:r w:rsidRPr="003C6F44">
              <w:rPr>
                <w:rFonts w:ascii="Arial (Body)" w:hAnsi="Arial (Body)"/>
                <w:color w:val="265A9A"/>
              </w:rPr>
              <w:t>Spending more than 50% of disposable income on rent</w:t>
            </w:r>
          </w:p>
        </w:tc>
      </w:tr>
      <w:tr w:rsidR="006A3D1F" w:rsidRPr="003C6F44" w14:paraId="35E892DE" w14:textId="77777777">
        <w:tc>
          <w:tcPr>
            <w:tcW w:w="1250" w:type="pct"/>
            <w:tcBorders>
              <w:top w:val="single" w:sz="4" w:space="0" w:color="B3B3B3"/>
              <w:bottom w:val="nil"/>
            </w:tcBorders>
            <w:shd w:val="clear" w:color="000000" w:fill="F2F2F2"/>
          </w:tcPr>
          <w:p w14:paraId="58EE14FC" w14:textId="77777777" w:rsidR="006A3D1F" w:rsidRPr="003C6F44" w:rsidRDefault="006A3D1F">
            <w:pPr>
              <w:pStyle w:val="TableHeading"/>
              <w:spacing w:before="45" w:after="45"/>
              <w:ind w:right="108"/>
              <w:rPr>
                <w:rFonts w:ascii="Arial (Body)" w:hAnsi="Arial (Body)"/>
                <w:color w:val="265A9A"/>
              </w:rPr>
            </w:pPr>
            <w:r w:rsidRPr="003C6F44">
              <w:rPr>
                <w:rFonts w:ascii="Arial (Body)" w:hAnsi="Arial (Body)"/>
                <w:color w:val="265A9A"/>
              </w:rPr>
              <w:t>All private renter households</w:t>
            </w:r>
          </w:p>
        </w:tc>
        <w:tc>
          <w:tcPr>
            <w:tcW w:w="700" w:type="pct"/>
            <w:tcBorders>
              <w:top w:val="single" w:sz="4" w:space="0" w:color="B3B3B3"/>
              <w:bottom w:val="nil"/>
            </w:tcBorders>
            <w:shd w:val="clear" w:color="000000" w:fill="F2F2F2"/>
          </w:tcPr>
          <w:p w14:paraId="40A7EA61" w14:textId="77777777" w:rsidR="006A3D1F" w:rsidRPr="003C6F44" w:rsidRDefault="006A3D1F">
            <w:pPr>
              <w:pStyle w:val="TableBody"/>
              <w:spacing w:before="45" w:after="45"/>
              <w:ind w:right="108"/>
              <w:jc w:val="right"/>
              <w:rPr>
                <w:rFonts w:ascii="Arial (Body)" w:hAnsi="Arial (Body)"/>
                <w:color w:val="000000"/>
              </w:rPr>
            </w:pPr>
            <w:r w:rsidRPr="003C6F44">
              <w:rPr>
                <w:rFonts w:ascii="Arial (Body)" w:hAnsi="Arial (Body)"/>
                <w:color w:val="000000"/>
              </w:rPr>
              <w:t>25%</w:t>
            </w:r>
          </w:p>
        </w:tc>
        <w:tc>
          <w:tcPr>
            <w:tcW w:w="700" w:type="pct"/>
            <w:tcBorders>
              <w:top w:val="single" w:sz="4" w:space="0" w:color="B3B3B3"/>
              <w:bottom w:val="nil"/>
            </w:tcBorders>
            <w:shd w:val="clear" w:color="000000" w:fill="F2F2F2"/>
          </w:tcPr>
          <w:p w14:paraId="04D7551F" w14:textId="77777777" w:rsidR="006A3D1F" w:rsidRPr="003C6F44" w:rsidRDefault="006A3D1F">
            <w:pPr>
              <w:pStyle w:val="TableBody"/>
              <w:spacing w:before="45" w:after="45"/>
              <w:ind w:right="108"/>
              <w:jc w:val="right"/>
              <w:rPr>
                <w:rFonts w:ascii="Arial (Body)" w:hAnsi="Arial (Body)"/>
                <w:color w:val="000000"/>
              </w:rPr>
            </w:pPr>
            <w:r w:rsidRPr="003C6F44">
              <w:rPr>
                <w:rFonts w:ascii="Arial (Body)" w:hAnsi="Arial (Body)"/>
                <w:color w:val="000000"/>
              </w:rPr>
              <w:t>35%</w:t>
            </w:r>
          </w:p>
        </w:tc>
        <w:tc>
          <w:tcPr>
            <w:tcW w:w="700" w:type="pct"/>
            <w:tcBorders>
              <w:top w:val="single" w:sz="4" w:space="0" w:color="B3B3B3"/>
              <w:bottom w:val="nil"/>
            </w:tcBorders>
            <w:shd w:val="clear" w:color="000000" w:fill="F2F2F2"/>
          </w:tcPr>
          <w:p w14:paraId="53E93D7C" w14:textId="77777777" w:rsidR="006A3D1F" w:rsidRPr="003C6F44" w:rsidRDefault="006A3D1F">
            <w:pPr>
              <w:pStyle w:val="TableBody"/>
              <w:spacing w:before="45" w:after="45"/>
              <w:ind w:right="108"/>
              <w:jc w:val="right"/>
              <w:rPr>
                <w:rFonts w:ascii="Arial (Body)" w:hAnsi="Arial (Body)"/>
                <w:color w:val="000000"/>
              </w:rPr>
            </w:pPr>
            <w:r w:rsidRPr="003C6F44">
              <w:rPr>
                <w:rFonts w:ascii="Arial (Body)" w:hAnsi="Arial (Body)"/>
                <w:color w:val="000000"/>
              </w:rPr>
              <w:t>8%</w:t>
            </w:r>
          </w:p>
        </w:tc>
      </w:tr>
      <w:tr w:rsidR="006A3D1F" w:rsidRPr="003C6F44" w14:paraId="01C1C36E" w14:textId="77777777">
        <w:tc>
          <w:tcPr>
            <w:tcW w:w="1250" w:type="pct"/>
            <w:tcBorders>
              <w:top w:val="nil"/>
              <w:bottom w:val="nil"/>
            </w:tcBorders>
            <w:shd w:val="clear" w:color="000000" w:fill="auto"/>
          </w:tcPr>
          <w:p w14:paraId="365719CD" w14:textId="77777777" w:rsidR="006A3D1F" w:rsidRPr="003C6F44" w:rsidRDefault="006A3D1F">
            <w:pPr>
              <w:pStyle w:val="TableHeading"/>
              <w:spacing w:before="45" w:after="45"/>
              <w:ind w:right="108"/>
              <w:rPr>
                <w:rFonts w:ascii="Arial (Body)" w:hAnsi="Arial (Body)"/>
                <w:color w:val="265A9A"/>
              </w:rPr>
            </w:pPr>
            <w:r w:rsidRPr="003C6F44">
              <w:rPr>
                <w:rFonts w:ascii="Arial (Body)" w:hAnsi="Arial (Body)"/>
                <w:color w:val="265A9A"/>
              </w:rPr>
              <w:t>Low</w:t>
            </w:r>
            <w:r w:rsidRPr="003C6F44">
              <w:rPr>
                <w:rFonts w:ascii="Arial (Body)" w:hAnsi="Arial (Body)"/>
                <w:color w:val="265A9A"/>
              </w:rPr>
              <w:noBreakHyphen/>
              <w:t>income private renter households</w:t>
            </w:r>
          </w:p>
        </w:tc>
        <w:tc>
          <w:tcPr>
            <w:tcW w:w="700" w:type="pct"/>
            <w:tcBorders>
              <w:top w:val="nil"/>
              <w:bottom w:val="nil"/>
            </w:tcBorders>
            <w:shd w:val="clear" w:color="000000" w:fill="auto"/>
          </w:tcPr>
          <w:p w14:paraId="4685AE6E" w14:textId="77777777" w:rsidR="006A3D1F" w:rsidRPr="003C6F44" w:rsidRDefault="006A3D1F">
            <w:pPr>
              <w:pStyle w:val="TableBody"/>
              <w:spacing w:before="45" w:after="45"/>
              <w:ind w:right="108"/>
              <w:jc w:val="right"/>
              <w:rPr>
                <w:rFonts w:ascii="Arial (Body)" w:hAnsi="Arial (Body)"/>
                <w:color w:val="000000"/>
              </w:rPr>
            </w:pPr>
            <w:r w:rsidRPr="003C6F44">
              <w:rPr>
                <w:rFonts w:ascii="Arial (Body)" w:hAnsi="Arial (Body)"/>
                <w:color w:val="000000"/>
              </w:rPr>
              <w:t>36%</w:t>
            </w:r>
          </w:p>
        </w:tc>
        <w:tc>
          <w:tcPr>
            <w:tcW w:w="700" w:type="pct"/>
            <w:tcBorders>
              <w:top w:val="nil"/>
              <w:bottom w:val="nil"/>
            </w:tcBorders>
            <w:shd w:val="clear" w:color="000000" w:fill="auto"/>
          </w:tcPr>
          <w:p w14:paraId="11818D74" w14:textId="77777777" w:rsidR="006A3D1F" w:rsidRPr="003C6F44" w:rsidRDefault="006A3D1F">
            <w:pPr>
              <w:pStyle w:val="TableBody"/>
              <w:spacing w:before="45" w:after="45"/>
              <w:ind w:right="108"/>
              <w:jc w:val="right"/>
              <w:rPr>
                <w:rFonts w:ascii="Arial (Body)" w:hAnsi="Arial (Body)"/>
                <w:color w:val="000000"/>
              </w:rPr>
            </w:pPr>
            <w:r w:rsidRPr="003C6F44">
              <w:rPr>
                <w:rFonts w:ascii="Arial (Body)" w:hAnsi="Arial (Body)"/>
                <w:color w:val="000000"/>
              </w:rPr>
              <w:t>66%</w:t>
            </w:r>
          </w:p>
        </w:tc>
        <w:tc>
          <w:tcPr>
            <w:tcW w:w="700" w:type="pct"/>
            <w:tcBorders>
              <w:top w:val="nil"/>
              <w:bottom w:val="nil"/>
            </w:tcBorders>
            <w:shd w:val="clear" w:color="000000" w:fill="auto"/>
          </w:tcPr>
          <w:p w14:paraId="321C464D" w14:textId="77777777" w:rsidR="006A3D1F" w:rsidRPr="003C6F44" w:rsidRDefault="006A3D1F">
            <w:pPr>
              <w:pStyle w:val="TableBody"/>
              <w:spacing w:before="45" w:after="45"/>
              <w:ind w:right="108"/>
              <w:jc w:val="right"/>
              <w:rPr>
                <w:rFonts w:ascii="Arial (Body)" w:hAnsi="Arial (Body)"/>
                <w:color w:val="000000"/>
              </w:rPr>
            </w:pPr>
            <w:r w:rsidRPr="003C6F44">
              <w:rPr>
                <w:rFonts w:ascii="Arial (Body)" w:hAnsi="Arial (Body)"/>
                <w:color w:val="000000"/>
              </w:rPr>
              <w:t>20%</w:t>
            </w:r>
          </w:p>
        </w:tc>
      </w:tr>
      <w:tr w:rsidR="006A3D1F" w:rsidRPr="003C6F44" w14:paraId="2860943A" w14:textId="77777777">
        <w:tc>
          <w:tcPr>
            <w:tcW w:w="1250" w:type="pct"/>
            <w:tcBorders>
              <w:bottom w:val="nil"/>
            </w:tcBorders>
            <w:shd w:val="clear" w:color="000000" w:fill="F2F2F2"/>
          </w:tcPr>
          <w:p w14:paraId="01730312" w14:textId="77777777" w:rsidR="006A3D1F" w:rsidRPr="003C6F44" w:rsidRDefault="006A3D1F">
            <w:pPr>
              <w:pStyle w:val="TableHeading"/>
              <w:spacing w:before="45" w:after="45"/>
              <w:ind w:right="108"/>
              <w:rPr>
                <w:rFonts w:ascii="Arial (Body)" w:hAnsi="Arial (Body)"/>
                <w:color w:val="265A9A"/>
              </w:rPr>
            </w:pPr>
            <w:r w:rsidRPr="003C6F44">
              <w:rPr>
                <w:rFonts w:ascii="Arial (Body)" w:hAnsi="Arial (Body)"/>
                <w:color w:val="265A9A"/>
              </w:rPr>
              <w:t>Household head or spouse unemployed</w:t>
            </w:r>
          </w:p>
        </w:tc>
        <w:tc>
          <w:tcPr>
            <w:tcW w:w="700" w:type="pct"/>
            <w:tcBorders>
              <w:bottom w:val="nil"/>
            </w:tcBorders>
            <w:shd w:val="clear" w:color="000000" w:fill="F2F2F2"/>
          </w:tcPr>
          <w:p w14:paraId="34496E2F" w14:textId="77777777" w:rsidR="006A3D1F" w:rsidRPr="003C6F44" w:rsidRDefault="006A3D1F">
            <w:pPr>
              <w:pStyle w:val="TableBody"/>
              <w:spacing w:before="45" w:after="45"/>
              <w:ind w:right="108"/>
              <w:jc w:val="right"/>
              <w:rPr>
                <w:rFonts w:ascii="Arial (Body)" w:hAnsi="Arial (Body)"/>
                <w:color w:val="000000"/>
              </w:rPr>
            </w:pPr>
            <w:r w:rsidRPr="003C6F44">
              <w:rPr>
                <w:rFonts w:ascii="Arial (Body)" w:hAnsi="Arial (Body)"/>
                <w:color w:val="000000"/>
              </w:rPr>
              <w:t>30%</w:t>
            </w:r>
          </w:p>
        </w:tc>
        <w:tc>
          <w:tcPr>
            <w:tcW w:w="700" w:type="pct"/>
            <w:tcBorders>
              <w:bottom w:val="nil"/>
            </w:tcBorders>
            <w:shd w:val="clear" w:color="000000" w:fill="F2F2F2"/>
          </w:tcPr>
          <w:p w14:paraId="0014C4BC" w14:textId="77777777" w:rsidR="006A3D1F" w:rsidRPr="003C6F44" w:rsidRDefault="006A3D1F">
            <w:pPr>
              <w:pStyle w:val="TableBody"/>
              <w:spacing w:before="45" w:after="45"/>
              <w:ind w:right="108"/>
              <w:jc w:val="right"/>
              <w:rPr>
                <w:rFonts w:ascii="Arial (Body)" w:hAnsi="Arial (Body)"/>
                <w:color w:val="000000"/>
              </w:rPr>
            </w:pPr>
            <w:r w:rsidRPr="003C6F44">
              <w:rPr>
                <w:rFonts w:ascii="Arial (Body)" w:hAnsi="Arial (Body)"/>
                <w:color w:val="000000"/>
              </w:rPr>
              <w:t>50%</w:t>
            </w:r>
          </w:p>
        </w:tc>
        <w:tc>
          <w:tcPr>
            <w:tcW w:w="700" w:type="pct"/>
            <w:tcBorders>
              <w:bottom w:val="nil"/>
            </w:tcBorders>
            <w:shd w:val="clear" w:color="000000" w:fill="F2F2F2"/>
          </w:tcPr>
          <w:p w14:paraId="37CC0174" w14:textId="77777777" w:rsidR="006A3D1F" w:rsidRPr="003C6F44" w:rsidRDefault="006A3D1F">
            <w:pPr>
              <w:pStyle w:val="TableBody"/>
              <w:spacing w:before="45" w:after="45"/>
              <w:ind w:right="108"/>
              <w:jc w:val="right"/>
              <w:rPr>
                <w:rFonts w:ascii="Arial (Body)" w:hAnsi="Arial (Body)"/>
                <w:color w:val="000000"/>
              </w:rPr>
            </w:pPr>
            <w:r w:rsidRPr="003C6F44">
              <w:rPr>
                <w:rFonts w:ascii="Arial (Body)" w:hAnsi="Arial (Body)"/>
                <w:color w:val="000000"/>
              </w:rPr>
              <w:t>19%</w:t>
            </w:r>
          </w:p>
        </w:tc>
      </w:tr>
      <w:tr w:rsidR="006A3D1F" w:rsidRPr="003C6F44" w14:paraId="2907D9A9" w14:textId="77777777">
        <w:tc>
          <w:tcPr>
            <w:tcW w:w="1250" w:type="pct"/>
            <w:tcBorders>
              <w:top w:val="nil"/>
              <w:bottom w:val="nil"/>
            </w:tcBorders>
            <w:shd w:val="clear" w:color="000000" w:fill="auto"/>
          </w:tcPr>
          <w:p w14:paraId="1C232CBF" w14:textId="77777777" w:rsidR="006A3D1F" w:rsidRPr="003C6F44" w:rsidRDefault="006A3D1F">
            <w:pPr>
              <w:pStyle w:val="TableHeading"/>
              <w:spacing w:before="45" w:after="45"/>
              <w:ind w:right="108"/>
              <w:rPr>
                <w:rFonts w:ascii="Arial (Body)" w:hAnsi="Arial (Body)"/>
                <w:color w:val="265A9A"/>
              </w:rPr>
            </w:pPr>
            <w:r w:rsidRPr="003C6F44">
              <w:rPr>
                <w:rFonts w:ascii="Arial (Body)" w:hAnsi="Arial (Body)"/>
                <w:color w:val="265A9A"/>
              </w:rPr>
              <w:t>One</w:t>
            </w:r>
            <w:r w:rsidRPr="003C6F44">
              <w:rPr>
                <w:rFonts w:ascii="Arial (Body)" w:hAnsi="Arial (Body)"/>
                <w:color w:val="265A9A"/>
              </w:rPr>
              <w:noBreakHyphen/>
              <w:t>parent household</w:t>
            </w:r>
          </w:p>
        </w:tc>
        <w:tc>
          <w:tcPr>
            <w:tcW w:w="700" w:type="pct"/>
            <w:tcBorders>
              <w:top w:val="nil"/>
              <w:bottom w:val="nil"/>
            </w:tcBorders>
            <w:shd w:val="clear" w:color="000000" w:fill="auto"/>
          </w:tcPr>
          <w:p w14:paraId="0C784D4B" w14:textId="77777777" w:rsidR="006A3D1F" w:rsidRPr="003C6F44" w:rsidRDefault="006A3D1F">
            <w:pPr>
              <w:pStyle w:val="TableBody"/>
              <w:spacing w:before="45" w:after="45"/>
              <w:ind w:right="108"/>
              <w:jc w:val="right"/>
              <w:rPr>
                <w:rFonts w:ascii="Arial (Body)" w:hAnsi="Arial (Body)"/>
                <w:color w:val="000000"/>
              </w:rPr>
            </w:pPr>
            <w:r w:rsidRPr="003C6F44">
              <w:rPr>
                <w:rFonts w:ascii="Arial (Body)" w:hAnsi="Arial (Body)"/>
                <w:color w:val="000000"/>
              </w:rPr>
              <w:t>29%</w:t>
            </w:r>
          </w:p>
        </w:tc>
        <w:tc>
          <w:tcPr>
            <w:tcW w:w="700" w:type="pct"/>
            <w:tcBorders>
              <w:top w:val="nil"/>
              <w:bottom w:val="nil"/>
            </w:tcBorders>
            <w:shd w:val="clear" w:color="000000" w:fill="auto"/>
          </w:tcPr>
          <w:p w14:paraId="7E39E8AB" w14:textId="77777777" w:rsidR="006A3D1F" w:rsidRPr="003C6F44" w:rsidRDefault="006A3D1F">
            <w:pPr>
              <w:pStyle w:val="TableBody"/>
              <w:spacing w:before="45" w:after="45"/>
              <w:ind w:right="108"/>
              <w:jc w:val="right"/>
              <w:rPr>
                <w:rFonts w:ascii="Arial (Body)" w:hAnsi="Arial (Body)"/>
                <w:color w:val="000000"/>
              </w:rPr>
            </w:pPr>
            <w:r w:rsidRPr="003C6F44">
              <w:rPr>
                <w:rFonts w:ascii="Arial (Body)" w:hAnsi="Arial (Body)"/>
                <w:color w:val="000000"/>
              </w:rPr>
              <w:t>46%</w:t>
            </w:r>
          </w:p>
        </w:tc>
        <w:tc>
          <w:tcPr>
            <w:tcW w:w="700" w:type="pct"/>
            <w:tcBorders>
              <w:top w:val="nil"/>
              <w:bottom w:val="nil"/>
            </w:tcBorders>
            <w:shd w:val="clear" w:color="000000" w:fill="auto"/>
          </w:tcPr>
          <w:p w14:paraId="0E9FF1B1" w14:textId="77777777" w:rsidR="006A3D1F" w:rsidRPr="003C6F44" w:rsidRDefault="006A3D1F">
            <w:pPr>
              <w:pStyle w:val="TableBody"/>
              <w:spacing w:before="45" w:after="45"/>
              <w:ind w:right="108"/>
              <w:jc w:val="right"/>
              <w:rPr>
                <w:rFonts w:ascii="Arial (Body)" w:hAnsi="Arial (Body)"/>
                <w:color w:val="000000"/>
              </w:rPr>
            </w:pPr>
            <w:r w:rsidRPr="003C6F44">
              <w:rPr>
                <w:rFonts w:ascii="Arial (Body)" w:hAnsi="Arial (Body)"/>
                <w:color w:val="000000"/>
              </w:rPr>
              <w:t>9%</w:t>
            </w:r>
          </w:p>
        </w:tc>
      </w:tr>
      <w:tr w:rsidR="006A3D1F" w:rsidRPr="003C6F44" w14:paraId="7674FBA8" w14:textId="77777777">
        <w:tc>
          <w:tcPr>
            <w:tcW w:w="1250" w:type="pct"/>
            <w:tcBorders>
              <w:bottom w:val="nil"/>
            </w:tcBorders>
            <w:shd w:val="clear" w:color="000000" w:fill="F2F2F2"/>
          </w:tcPr>
          <w:p w14:paraId="2D35F160" w14:textId="77777777" w:rsidR="006A3D1F" w:rsidRPr="003C6F44" w:rsidRDefault="006A3D1F">
            <w:pPr>
              <w:pStyle w:val="TableHeading"/>
              <w:spacing w:before="45" w:after="45"/>
              <w:ind w:right="108"/>
              <w:rPr>
                <w:rFonts w:ascii="Arial (Body)" w:hAnsi="Arial (Body)"/>
                <w:color w:val="265A9A"/>
              </w:rPr>
            </w:pPr>
            <w:r w:rsidRPr="003C6F44">
              <w:rPr>
                <w:rFonts w:ascii="Arial (Body)" w:hAnsi="Arial (Body)"/>
                <w:bCs/>
                <w:color w:val="265A9A"/>
              </w:rPr>
              <w:t>Someone in household has a disability</w:t>
            </w:r>
          </w:p>
        </w:tc>
        <w:tc>
          <w:tcPr>
            <w:tcW w:w="700" w:type="pct"/>
            <w:tcBorders>
              <w:bottom w:val="nil"/>
            </w:tcBorders>
            <w:shd w:val="clear" w:color="000000" w:fill="F2F2F2"/>
          </w:tcPr>
          <w:p w14:paraId="0979C692" w14:textId="77777777" w:rsidR="006A3D1F" w:rsidRPr="003C6F44" w:rsidRDefault="006A3D1F">
            <w:pPr>
              <w:pStyle w:val="TableBody"/>
              <w:spacing w:before="45" w:after="45"/>
              <w:ind w:right="108"/>
              <w:jc w:val="right"/>
              <w:rPr>
                <w:rFonts w:ascii="Arial (Body)" w:hAnsi="Arial (Body)"/>
                <w:color w:val="000000"/>
              </w:rPr>
            </w:pPr>
            <w:r w:rsidRPr="003C6F44">
              <w:rPr>
                <w:rFonts w:ascii="Arial (Body)" w:hAnsi="Arial (Body)"/>
                <w:color w:val="000000"/>
              </w:rPr>
              <w:t>27%</w:t>
            </w:r>
          </w:p>
        </w:tc>
        <w:tc>
          <w:tcPr>
            <w:tcW w:w="700" w:type="pct"/>
            <w:tcBorders>
              <w:bottom w:val="nil"/>
            </w:tcBorders>
            <w:shd w:val="clear" w:color="000000" w:fill="F2F2F2"/>
          </w:tcPr>
          <w:p w14:paraId="1FC38896" w14:textId="77777777" w:rsidR="006A3D1F" w:rsidRPr="003C6F44" w:rsidRDefault="006A3D1F">
            <w:pPr>
              <w:pStyle w:val="TableBody"/>
              <w:spacing w:before="45" w:after="45"/>
              <w:ind w:right="108"/>
              <w:jc w:val="right"/>
              <w:rPr>
                <w:rFonts w:ascii="Arial (Body)" w:hAnsi="Arial (Body)"/>
                <w:color w:val="000000"/>
              </w:rPr>
            </w:pPr>
            <w:r w:rsidRPr="003C6F44">
              <w:rPr>
                <w:rFonts w:ascii="Arial (Body)" w:hAnsi="Arial (Body)"/>
                <w:color w:val="000000"/>
              </w:rPr>
              <w:t>40%</w:t>
            </w:r>
          </w:p>
        </w:tc>
        <w:tc>
          <w:tcPr>
            <w:tcW w:w="700" w:type="pct"/>
            <w:tcBorders>
              <w:bottom w:val="nil"/>
            </w:tcBorders>
            <w:shd w:val="clear" w:color="000000" w:fill="F2F2F2"/>
          </w:tcPr>
          <w:p w14:paraId="2B5BA927" w14:textId="77777777" w:rsidR="006A3D1F" w:rsidRPr="003C6F44" w:rsidRDefault="006A3D1F">
            <w:pPr>
              <w:pStyle w:val="TableBody"/>
              <w:spacing w:before="45" w:after="45"/>
              <w:ind w:right="108"/>
              <w:jc w:val="right"/>
              <w:rPr>
                <w:rFonts w:ascii="Arial (Body)" w:hAnsi="Arial (Body)"/>
                <w:color w:val="000000"/>
              </w:rPr>
            </w:pPr>
            <w:r w:rsidRPr="003C6F44">
              <w:rPr>
                <w:rFonts w:ascii="Arial (Body)" w:hAnsi="Arial (Body)"/>
                <w:color w:val="000000"/>
              </w:rPr>
              <w:t>9%</w:t>
            </w:r>
          </w:p>
        </w:tc>
      </w:tr>
      <w:tr w:rsidR="006A3D1F" w:rsidRPr="003C6F44" w14:paraId="753A716B" w14:textId="77777777">
        <w:tc>
          <w:tcPr>
            <w:tcW w:w="1250" w:type="pct"/>
            <w:tcBorders>
              <w:top w:val="nil"/>
            </w:tcBorders>
            <w:shd w:val="clear" w:color="000000" w:fill="auto"/>
          </w:tcPr>
          <w:p w14:paraId="00E7489B" w14:textId="77777777" w:rsidR="006A3D1F" w:rsidRPr="003C6F44" w:rsidRDefault="006A3D1F">
            <w:pPr>
              <w:pStyle w:val="TableHeading"/>
              <w:spacing w:before="45" w:after="45"/>
              <w:ind w:right="108"/>
              <w:rPr>
                <w:rFonts w:ascii="Arial (Body)" w:hAnsi="Arial (Body)"/>
                <w:bCs/>
                <w:color w:val="265A9A"/>
              </w:rPr>
            </w:pPr>
            <w:r w:rsidRPr="003C6F44">
              <w:rPr>
                <w:rFonts w:ascii="Arial (Body)" w:hAnsi="Arial (Body)"/>
                <w:bCs/>
                <w:color w:val="265A9A"/>
              </w:rPr>
              <w:t>Household head or spouse aged over 65</w:t>
            </w:r>
            <w:r w:rsidRPr="003C6F44">
              <w:rPr>
                <w:rFonts w:ascii="Arial (Body)" w:hAnsi="Arial (Body)" w:hint="eastAsia"/>
                <w:bCs/>
                <w:color w:val="265A9A"/>
              </w:rPr>
              <w:t> </w:t>
            </w:r>
            <w:r w:rsidRPr="003C6F44">
              <w:rPr>
                <w:rFonts w:ascii="Arial (Body)" w:hAnsi="Arial (Body)"/>
                <w:bCs/>
                <w:color w:val="265A9A"/>
              </w:rPr>
              <w:t>years</w:t>
            </w:r>
          </w:p>
        </w:tc>
        <w:tc>
          <w:tcPr>
            <w:tcW w:w="700" w:type="pct"/>
            <w:tcBorders>
              <w:top w:val="nil"/>
            </w:tcBorders>
            <w:shd w:val="clear" w:color="000000" w:fill="auto"/>
          </w:tcPr>
          <w:p w14:paraId="43D91D6D" w14:textId="77777777" w:rsidR="006A3D1F" w:rsidRPr="003C6F44" w:rsidRDefault="006A3D1F">
            <w:pPr>
              <w:pStyle w:val="TableBody"/>
              <w:spacing w:before="45" w:after="45"/>
              <w:ind w:right="108"/>
              <w:jc w:val="right"/>
              <w:rPr>
                <w:rFonts w:ascii="Arial (Body)" w:hAnsi="Arial (Body)"/>
                <w:color w:val="000000"/>
              </w:rPr>
            </w:pPr>
            <w:r w:rsidRPr="003C6F44">
              <w:rPr>
                <w:rFonts w:ascii="Arial (Body)" w:hAnsi="Arial (Body)"/>
                <w:color w:val="000000"/>
              </w:rPr>
              <w:t>36%</w:t>
            </w:r>
          </w:p>
        </w:tc>
        <w:tc>
          <w:tcPr>
            <w:tcW w:w="700" w:type="pct"/>
            <w:tcBorders>
              <w:top w:val="nil"/>
            </w:tcBorders>
            <w:shd w:val="clear" w:color="000000" w:fill="auto"/>
          </w:tcPr>
          <w:p w14:paraId="7B4AC47F" w14:textId="77777777" w:rsidR="006A3D1F" w:rsidRPr="003C6F44" w:rsidRDefault="006A3D1F">
            <w:pPr>
              <w:pStyle w:val="TableBody"/>
              <w:spacing w:before="45" w:after="45"/>
              <w:ind w:right="108"/>
              <w:jc w:val="right"/>
              <w:rPr>
                <w:rFonts w:ascii="Arial (Body)" w:hAnsi="Arial (Body)"/>
                <w:color w:val="000000"/>
              </w:rPr>
            </w:pPr>
            <w:r w:rsidRPr="003C6F44">
              <w:rPr>
                <w:rFonts w:ascii="Arial (Body)" w:hAnsi="Arial (Body)"/>
                <w:color w:val="000000"/>
              </w:rPr>
              <w:t>62%</w:t>
            </w:r>
          </w:p>
        </w:tc>
        <w:tc>
          <w:tcPr>
            <w:tcW w:w="700" w:type="pct"/>
            <w:tcBorders>
              <w:top w:val="nil"/>
            </w:tcBorders>
            <w:shd w:val="clear" w:color="000000" w:fill="auto"/>
          </w:tcPr>
          <w:p w14:paraId="7E614900" w14:textId="77777777" w:rsidR="006A3D1F" w:rsidRPr="003C6F44" w:rsidRDefault="006A3D1F">
            <w:pPr>
              <w:pStyle w:val="TableBody"/>
              <w:spacing w:before="45" w:after="45"/>
              <w:ind w:right="108"/>
              <w:jc w:val="right"/>
              <w:rPr>
                <w:rFonts w:ascii="Arial (Body)" w:hAnsi="Arial (Body)"/>
                <w:color w:val="000000"/>
              </w:rPr>
            </w:pPr>
            <w:r w:rsidRPr="003C6F44">
              <w:rPr>
                <w:rFonts w:ascii="Arial (Body)" w:hAnsi="Arial (Body)"/>
                <w:color w:val="000000"/>
              </w:rPr>
              <w:t>21%</w:t>
            </w:r>
          </w:p>
        </w:tc>
      </w:tr>
    </w:tbl>
    <w:p w14:paraId="5E1E0FC7" w14:textId="77777777" w:rsidR="006A3D1F" w:rsidRPr="003C6F44" w:rsidRDefault="006A3D1F" w:rsidP="006A3D1F">
      <w:pPr>
        <w:pStyle w:val="Source"/>
      </w:pPr>
      <w:r w:rsidRPr="003C6F44">
        <w:t>Source: Commission estimates using ABS (</w:t>
      </w:r>
      <w:r w:rsidRPr="003C6F44">
        <w:rPr>
          <w:i/>
          <w:iCs/>
        </w:rPr>
        <w:t>Microdata: Income and Housing, Australia, 2019</w:t>
      </w:r>
      <w:r w:rsidRPr="003C6F44">
        <w:rPr>
          <w:i/>
          <w:iCs/>
        </w:rPr>
        <w:noBreakHyphen/>
        <w:t>20</w:t>
      </w:r>
      <w:r w:rsidRPr="003C6F44">
        <w:t>, Cat. no. 6541.0.30.001).</w:t>
      </w:r>
    </w:p>
    <w:p w14:paraId="301238B4" w14:textId="77777777" w:rsidR="00E83F9C" w:rsidRPr="003C6F44" w:rsidRDefault="00E83F9C" w:rsidP="00B0032C">
      <w:pPr>
        <w:pStyle w:val="Heading3"/>
      </w:pPr>
      <w:bookmarkStart w:id="13" w:name="_Toc142050578"/>
      <w:r w:rsidRPr="003C6F44">
        <w:t>… and bear the brunt of a tightening rental market</w:t>
      </w:r>
      <w:bookmarkEnd w:id="13"/>
      <w:r w:rsidRPr="003C6F44">
        <w:t xml:space="preserve"> </w:t>
      </w:r>
    </w:p>
    <w:p w14:paraId="4597C9B6" w14:textId="21948C19" w:rsidR="00A033C2" w:rsidRPr="003C6F44" w:rsidRDefault="00E83F9C" w:rsidP="009F592E">
      <w:pPr>
        <w:pStyle w:val="BodyText"/>
      </w:pPr>
      <w:r w:rsidRPr="003C6F44">
        <w:t>Low</w:t>
      </w:r>
      <w:r w:rsidRPr="003C6F44">
        <w:noBreakHyphen/>
        <w:t>income renters bear the brunt of a tightening rental market. When rents across the market increase, high</w:t>
      </w:r>
      <w:r w:rsidRPr="003C6F44">
        <w:noBreakHyphen/>
        <w:t>income renters can move into cheaper accommodation to economise</w:t>
      </w:r>
      <w:r w:rsidR="004B42E0" w:rsidRPr="003C6F44">
        <w:t xml:space="preserve"> </w:t>
      </w:r>
      <w:r w:rsidR="00B7279F" w:rsidRPr="003C6F44">
        <w:rPr>
          <w:rFonts w:ascii="Arial" w:hAnsi="Arial" w:cs="Arial"/>
          <w:szCs w:val="24"/>
        </w:rPr>
        <w:t>(Hulse et al. 2019; Liu, Cheshire and Wadley 2016; Weller and Van Hulten 2012)</w:t>
      </w:r>
      <w:r w:rsidRPr="003C6F44">
        <w:t>. But low</w:t>
      </w:r>
      <w:r w:rsidRPr="003C6F44">
        <w:noBreakHyphen/>
        <w:t>income renters already occupying lower</w:t>
      </w:r>
      <w:r w:rsidRPr="003C6F44">
        <w:noBreakHyphen/>
        <w:t xml:space="preserve">cost properties have few places to go. There are reports of people moving into informal or marginal rental properties because the formal private rental market has become too expensive </w:t>
      </w:r>
      <w:r w:rsidR="007C342D" w:rsidRPr="003C6F44">
        <w:rPr>
          <w:rFonts w:ascii="Arial" w:hAnsi="Arial" w:cs="Arial"/>
          <w:szCs w:val="24"/>
        </w:rPr>
        <w:t>(Convery 2022; Goerling 2022; O’Flaherty 2022)</w:t>
      </w:r>
      <w:r w:rsidRPr="003C6F44">
        <w:t>. At the extreme, high rents increase the risk that life shocks lead to homelessness</w:t>
      </w:r>
      <w:r w:rsidR="0080336B" w:rsidRPr="003C6F44">
        <w:t xml:space="preserve"> </w:t>
      </w:r>
      <w:r w:rsidR="0080336B" w:rsidRPr="003C6F44">
        <w:rPr>
          <w:rFonts w:ascii="Arial" w:hAnsi="Arial" w:cs="Arial"/>
          <w:szCs w:val="24"/>
        </w:rPr>
        <w:t>(Curtis et al. 2013; Johnson et al. 2018)</w:t>
      </w:r>
      <w:r w:rsidRPr="003C6F44">
        <w:t>.</w:t>
      </w:r>
    </w:p>
    <w:p w14:paraId="5B5F8F72" w14:textId="35B6E0F4" w:rsidR="00CD5C0C" w:rsidRPr="00BD3D9F" w:rsidRDefault="00BB0BCF" w:rsidP="00BD3D9F">
      <w:pPr>
        <w:pStyle w:val="Heading2-nonumber"/>
      </w:pPr>
      <w:bookmarkStart w:id="14" w:name="_Toc142048583"/>
      <w:bookmarkStart w:id="15" w:name="_Toc142050415"/>
      <w:bookmarkStart w:id="16" w:name="_Toc142050482"/>
      <w:bookmarkStart w:id="17" w:name="_Toc142050579"/>
      <w:bookmarkStart w:id="18" w:name="_Toc142050616"/>
      <w:r>
        <w:t>3</w:t>
      </w:r>
      <w:r w:rsidR="00BD3D9F">
        <w:t>.</w:t>
      </w:r>
      <w:r w:rsidR="00BD3D9F">
        <w:tab/>
      </w:r>
      <w:r w:rsidR="007E75B9" w:rsidRPr="00BD3D9F">
        <w:t>More homes, cheaper rent</w:t>
      </w:r>
      <w:bookmarkEnd w:id="14"/>
      <w:bookmarkEnd w:id="15"/>
      <w:bookmarkEnd w:id="16"/>
      <w:bookmarkEnd w:id="17"/>
      <w:bookmarkEnd w:id="18"/>
      <w:r w:rsidR="00E56C76" w:rsidRPr="00BD3D9F">
        <w:t xml:space="preserve"> </w:t>
      </w:r>
    </w:p>
    <w:p w14:paraId="7E94359E" w14:textId="542A27FF" w:rsidR="00EC4449" w:rsidRPr="003E6702" w:rsidRDefault="00EC4449" w:rsidP="00B0032C">
      <w:pPr>
        <w:pStyle w:val="Heading3"/>
        <w:rPr>
          <w:spacing w:val="-6"/>
        </w:rPr>
      </w:pPr>
      <w:bookmarkStart w:id="19" w:name="_Toc142050580"/>
      <w:r w:rsidRPr="003E6702">
        <w:rPr>
          <w:spacing w:val="-6"/>
        </w:rPr>
        <w:t xml:space="preserve">Addressing barriers to the supply of rental properties will </w:t>
      </w:r>
      <w:r w:rsidR="00FA1877" w:rsidRPr="003E6702">
        <w:rPr>
          <w:spacing w:val="-6"/>
        </w:rPr>
        <w:t xml:space="preserve">reduce </w:t>
      </w:r>
      <w:r w:rsidRPr="003E6702">
        <w:rPr>
          <w:spacing w:val="-6"/>
        </w:rPr>
        <w:t>rents</w:t>
      </w:r>
      <w:bookmarkEnd w:id="19"/>
      <w:r w:rsidRPr="003E6702">
        <w:rPr>
          <w:spacing w:val="-6"/>
        </w:rPr>
        <w:t xml:space="preserve"> </w:t>
      </w:r>
    </w:p>
    <w:p w14:paraId="204A3771" w14:textId="30342E72" w:rsidR="001E64CA" w:rsidRPr="003C6F44" w:rsidRDefault="001E64CA" w:rsidP="001E64CA">
      <w:pPr>
        <w:pStyle w:val="BodyText"/>
      </w:pPr>
      <w:r w:rsidRPr="003C6F44">
        <w:t>Rental prices in the short run are driven by vacancy rates</w:t>
      </w:r>
      <w:r w:rsidRPr="00B45CCE">
        <w:rPr>
          <w:rStyle w:val="FootnoteReference"/>
        </w:rPr>
        <w:footnoteReference w:id="4"/>
      </w:r>
      <w:r w:rsidRPr="003C6F44">
        <w:t xml:space="preserve">, which are determined by the relative strength of supply and demand for rental properties. As the supply of rental properties increases (for example, because there is a surge in construction completions), or the demand for rental properties decreases (for example, due to a decrease in migration), there are fewer potential renters for each available property. This leads to higher vacancy rates, putting pressure on landlords (who lose potential rent revenue holding vacant properties) to compete for tenants by lowering rents. </w:t>
      </w:r>
    </w:p>
    <w:p w14:paraId="30AA6CF6" w14:textId="37AC1702" w:rsidR="00DC78E8" w:rsidRPr="003C6F44" w:rsidRDefault="001D2D3C" w:rsidP="00DC78E8">
      <w:pPr>
        <w:pStyle w:val="BodyText"/>
      </w:pPr>
      <w:r>
        <w:t xml:space="preserve">Over </w:t>
      </w:r>
      <w:r w:rsidR="00DC78E8" w:rsidRPr="003C6F44">
        <w:t>time, demand and supply of rental properties adjust to changes in rental prices. Higher rents may lead renters to choose smaller properties</w:t>
      </w:r>
      <w:r w:rsidR="00DC78E8" w:rsidRPr="003C6F44" w:rsidDel="00E954D3">
        <w:t xml:space="preserve"> </w:t>
      </w:r>
      <w:r w:rsidR="00DC78E8" w:rsidRPr="003C6F44">
        <w:t xml:space="preserve">or delay household formation, reducing demand for rental properties. At the same time, higher rental prices should lead to construction of new rental properties </w:t>
      </w:r>
      <w:r w:rsidR="00DA5C5B" w:rsidRPr="003C6F44">
        <w:t>–</w:t>
      </w:r>
      <w:r w:rsidR="002776BB" w:rsidRPr="003C6F44">
        <w:t xml:space="preserve"> </w:t>
      </w:r>
      <w:r w:rsidR="00DC78E8" w:rsidRPr="003C6F44">
        <w:t>or the re</w:t>
      </w:r>
      <w:r w:rsidR="00DC78E8" w:rsidRPr="003C6F44">
        <w:noBreakHyphen/>
        <w:t xml:space="preserve">purposing </w:t>
      </w:r>
      <w:r w:rsidR="00DC78E8" w:rsidRPr="003C6F44">
        <w:lastRenderedPageBreak/>
        <w:t>of existing properties, such as vacant properties</w:t>
      </w:r>
      <w:r w:rsidR="00DC78E8" w:rsidRPr="00B45CCE">
        <w:rPr>
          <w:rStyle w:val="FootnoteReference"/>
        </w:rPr>
        <w:footnoteReference w:id="5"/>
      </w:r>
      <w:r w:rsidR="00DC78E8" w:rsidRPr="003C6F44">
        <w:t xml:space="preserve"> or short</w:t>
      </w:r>
      <w:r w:rsidR="00DC78E8" w:rsidRPr="003C6F44">
        <w:noBreakHyphen/>
        <w:t>term holiday rentals</w:t>
      </w:r>
      <w:r w:rsidR="00DA5C5B" w:rsidRPr="003C6F44">
        <w:t xml:space="preserve"> – </w:t>
      </w:r>
      <w:r w:rsidR="00DC78E8" w:rsidRPr="003C6F44">
        <w:t xml:space="preserve">which increases supply and </w:t>
      </w:r>
      <w:r w:rsidR="00193628">
        <w:t xml:space="preserve">reduces </w:t>
      </w:r>
      <w:r w:rsidR="00DC78E8" w:rsidRPr="003C6F44">
        <w:t>rent</w:t>
      </w:r>
      <w:r w:rsidR="00193628">
        <w:t>s</w:t>
      </w:r>
      <w:r w:rsidR="00DC78E8" w:rsidRPr="003C6F44">
        <w:t xml:space="preserve">. </w:t>
      </w:r>
    </w:p>
    <w:p w14:paraId="6B55BD6B" w14:textId="4BF30C70" w:rsidR="00F01665" w:rsidRPr="003C6F44" w:rsidRDefault="00F01665" w:rsidP="00F01665">
      <w:pPr>
        <w:pStyle w:val="BodyText"/>
      </w:pPr>
      <w:r w:rsidRPr="003C6F44">
        <w:t xml:space="preserve">Increasing the supply of housing will lead to an increase in the supply of rental properties. </w:t>
      </w:r>
      <w:r w:rsidR="00963CD0">
        <w:t xml:space="preserve">While </w:t>
      </w:r>
      <w:r w:rsidRPr="003C6F44">
        <w:t>most newly</w:t>
      </w:r>
      <w:r w:rsidRPr="003C6F44">
        <w:noBreakHyphen/>
        <w:t>constructed properties are bought by owner</w:t>
      </w:r>
      <w:r w:rsidRPr="003C6F44">
        <w:noBreakHyphen/>
        <w:t>occupiers, about a third of mortgages for the purchase of new dwellings in June 2022 were for investors, most of whom will likely lease the properties in the rental market.</w:t>
      </w:r>
      <w:r w:rsidRPr="00B45CCE">
        <w:rPr>
          <w:rStyle w:val="FootnoteReference"/>
        </w:rPr>
        <w:footnoteReference w:id="6"/>
      </w:r>
      <w:r w:rsidRPr="003C6F44">
        <w:t xml:space="preserve"> And, in 2019</w:t>
      </w:r>
      <w:r w:rsidRPr="003C6F44">
        <w:noBreakHyphen/>
        <w:t>20, about 45</w:t>
      </w:r>
      <w:r w:rsidR="002A6681" w:rsidRPr="003C6F44">
        <w:t>%</w:t>
      </w:r>
      <w:r w:rsidRPr="003C6F44">
        <w:t xml:space="preserve"> of new homes were bought by first home buyers, probably reducing demand for rental properties.</w:t>
      </w:r>
      <w:r w:rsidRPr="00B45CCE">
        <w:rPr>
          <w:rStyle w:val="FootnoteReference"/>
        </w:rPr>
        <w:footnoteReference w:id="7"/>
      </w:r>
    </w:p>
    <w:p w14:paraId="5350923A" w14:textId="7D2A71B3" w:rsidR="00F01665" w:rsidRPr="003C6F44" w:rsidRDefault="00F01665" w:rsidP="00F01665">
      <w:pPr>
        <w:pStyle w:val="BodyText"/>
        <w:rPr>
          <w:spacing w:val="-2"/>
        </w:rPr>
      </w:pPr>
      <w:r w:rsidRPr="003C6F44">
        <w:rPr>
          <w:spacing w:val="-2"/>
        </w:rPr>
        <w:t>Even when newly built housing</w:t>
      </w:r>
      <w:r w:rsidRPr="003C6F44" w:rsidDel="002747E7">
        <w:rPr>
          <w:spacing w:val="-2"/>
        </w:rPr>
        <w:t xml:space="preserve"> </w:t>
      </w:r>
      <w:r w:rsidRPr="003C6F44">
        <w:rPr>
          <w:spacing w:val="-2"/>
        </w:rPr>
        <w:t xml:space="preserve">does not immediately come on the rental market, it can still moderate rents. International evidence shows that new construction reduces rental prices throughout the residential property market </w:t>
      </w:r>
      <w:r w:rsidR="00627557" w:rsidRPr="003C6F44">
        <w:rPr>
          <w:rFonts w:ascii="Arial" w:hAnsi="Arial" w:cs="Arial"/>
          <w:szCs w:val="24"/>
        </w:rPr>
        <w:t>(PC 2022)</w:t>
      </w:r>
      <w:r w:rsidRPr="003C6F44">
        <w:rPr>
          <w:spacing w:val="-2"/>
        </w:rPr>
        <w:t>. In Australia, many low</w:t>
      </w:r>
      <w:r w:rsidRPr="003C6F44">
        <w:rPr>
          <w:spacing w:val="-2"/>
        </w:rPr>
        <w:noBreakHyphen/>
        <w:t>cost rental properties are occupied by high</w:t>
      </w:r>
      <w:r w:rsidRPr="003C6F44">
        <w:rPr>
          <w:spacing w:val="-2"/>
        </w:rPr>
        <w:noBreakHyphen/>
        <w:t>income renters, reducing the effective availability of affordable rental properties for low</w:t>
      </w:r>
      <w:r w:rsidRPr="003C6F44">
        <w:rPr>
          <w:spacing w:val="-2"/>
        </w:rPr>
        <w:noBreakHyphen/>
        <w:t xml:space="preserve">income private renters </w:t>
      </w:r>
      <w:r w:rsidR="00743F48" w:rsidRPr="003C6F44">
        <w:rPr>
          <w:rFonts w:ascii="Arial" w:hAnsi="Arial" w:cs="Arial"/>
          <w:szCs w:val="24"/>
        </w:rPr>
        <w:t>(Hulse et al. 2019; NHFIC 2022)</w:t>
      </w:r>
      <w:r w:rsidRPr="003C6F44">
        <w:rPr>
          <w:spacing w:val="-2"/>
        </w:rPr>
        <w:t>. Additional construction can provide more opportunities for high</w:t>
      </w:r>
      <w:r w:rsidRPr="003C6F44">
        <w:rPr>
          <w:spacing w:val="-2"/>
        </w:rPr>
        <w:noBreakHyphen/>
        <w:t>income renters to purchase homes or move to more attractive rental properties, reducing demand for the lower</w:t>
      </w:r>
      <w:r w:rsidRPr="003C6F44">
        <w:rPr>
          <w:spacing w:val="-2"/>
        </w:rPr>
        <w:noBreakHyphen/>
        <w:t>cost rental stock.</w:t>
      </w:r>
    </w:p>
    <w:p w14:paraId="5506ABB0" w14:textId="000A9A85" w:rsidR="00F01665" w:rsidRPr="003C6F44" w:rsidRDefault="00F01665" w:rsidP="00F01665">
      <w:pPr>
        <w:pStyle w:val="BodyText"/>
        <w:rPr>
          <w:b/>
          <w:spacing w:val="-4"/>
        </w:rPr>
      </w:pPr>
      <w:r w:rsidRPr="003C6F44">
        <w:rPr>
          <w:spacing w:val="-4"/>
        </w:rPr>
        <w:t>Addressing barriers to the supply of new housing is the most important factor in increasing the supply of rental housing. These barriers can result in the supply of rental properties being slow to adjust to price signals and low vacancy rates. For example, v</w:t>
      </w:r>
      <w:r w:rsidRPr="003C6F44">
        <w:rPr>
          <w:rStyle w:val="BodyTextChar"/>
          <w:spacing w:val="-4"/>
        </w:rPr>
        <w:t xml:space="preserve">acancy rates in Hobart remained low between 2017 and 2020 and advertised rents grew significantly </w:t>
      </w:r>
      <w:r w:rsidR="00572B16" w:rsidRPr="003C6F44">
        <w:rPr>
          <w:rFonts w:ascii="Arial" w:hAnsi="Arial" w:cs="Arial"/>
          <w:szCs w:val="24"/>
        </w:rPr>
        <w:t>(De Vries et al. 2021)</w:t>
      </w:r>
      <w:r w:rsidRPr="003C6F44">
        <w:rPr>
          <w:rStyle w:val="BodyTextChar"/>
          <w:spacing w:val="-4"/>
        </w:rPr>
        <w:t>. Building approvals responded, but there was a lag between approvals and commencements (perhaps due to problems accessing skilled labour and finance), dampening the effect on total supply</w:t>
      </w:r>
      <w:r w:rsidR="00C93969" w:rsidRPr="003C6F44">
        <w:rPr>
          <w:rStyle w:val="BodyTextChar"/>
          <w:spacing w:val="-4"/>
        </w:rPr>
        <w:t xml:space="preserve"> </w:t>
      </w:r>
      <w:r w:rsidR="00C93969" w:rsidRPr="003C6F44">
        <w:rPr>
          <w:rFonts w:ascii="Arial" w:hAnsi="Arial" w:cs="Arial"/>
          <w:szCs w:val="24"/>
        </w:rPr>
        <w:t>(Eccleston et al. 2018; Jacobs et al. 2019, pp. 7–8)</w:t>
      </w:r>
      <w:r w:rsidRPr="003C6F44">
        <w:rPr>
          <w:rStyle w:val="BodyTextChar"/>
          <w:spacing w:val="-4"/>
        </w:rPr>
        <w:t>.</w:t>
      </w:r>
    </w:p>
    <w:p w14:paraId="7BF558FF" w14:textId="44D18EDD" w:rsidR="00F01665" w:rsidRPr="003C6F44" w:rsidRDefault="00465BB3" w:rsidP="00F01665">
      <w:pPr>
        <w:pStyle w:val="BodyText"/>
      </w:pPr>
      <w:r w:rsidRPr="003C6F44">
        <w:t>In the review of the NHHA, the</w:t>
      </w:r>
      <w:r w:rsidR="00F01665" w:rsidRPr="003C6F44">
        <w:t xml:space="preserve"> Commission </w:t>
      </w:r>
      <w:r w:rsidRPr="003C6F44">
        <w:t xml:space="preserve">recommended </w:t>
      </w:r>
      <w:r w:rsidR="00F01665" w:rsidRPr="003C6F44">
        <w:t>that governments commit to actions t</w:t>
      </w:r>
      <w:r w:rsidR="0066271A">
        <w:t xml:space="preserve">o </w:t>
      </w:r>
      <w:r w:rsidR="00F01665" w:rsidRPr="003C6F44">
        <w:t>reduce barriers to new supply, including:</w:t>
      </w:r>
    </w:p>
    <w:p w14:paraId="0E643B95" w14:textId="6A166172" w:rsidR="00F01665" w:rsidRPr="003C6F44" w:rsidRDefault="00F01665" w:rsidP="00F01665">
      <w:pPr>
        <w:pStyle w:val="ListBullet"/>
      </w:pPr>
      <w:r w:rsidRPr="003C6F44">
        <w:t xml:space="preserve">reporting annual progress against land supply targets </w:t>
      </w:r>
    </w:p>
    <w:p w14:paraId="364E69DE" w14:textId="77A534DE" w:rsidR="00F01665" w:rsidRPr="003C6F44" w:rsidRDefault="00F01665" w:rsidP="00F01665">
      <w:pPr>
        <w:pStyle w:val="ListBullet"/>
      </w:pPr>
      <w:r w:rsidRPr="003C6F44">
        <w:t xml:space="preserve">revising planning and zoning regulations to promote greater housing diversity and density </w:t>
      </w:r>
    </w:p>
    <w:p w14:paraId="79403FF6" w14:textId="17EA1C6A" w:rsidR="00F01665" w:rsidRPr="003C6F44" w:rsidRDefault="00F01665" w:rsidP="00F01665">
      <w:pPr>
        <w:pStyle w:val="ListBullet"/>
      </w:pPr>
      <w:r w:rsidRPr="003C6F44">
        <w:t xml:space="preserve">setting housing targets and working with local governments to meet the targets </w:t>
      </w:r>
    </w:p>
    <w:p w14:paraId="30E2CA29" w14:textId="1708F276" w:rsidR="00F01665" w:rsidRPr="003C6F44" w:rsidRDefault="00F01665" w:rsidP="00F01665">
      <w:pPr>
        <w:pStyle w:val="ListBullet"/>
      </w:pPr>
      <w:r w:rsidRPr="003C6F44">
        <w:t>commissioning an independent review of construction industry productivity</w:t>
      </w:r>
      <w:r w:rsidR="00946D86" w:rsidRPr="003C6F44">
        <w:t xml:space="preserve"> </w:t>
      </w:r>
      <w:r w:rsidR="00946D86" w:rsidRPr="003C6F44">
        <w:rPr>
          <w:rFonts w:ascii="Arial" w:hAnsi="Arial" w:cs="Arial"/>
          <w:szCs w:val="24"/>
        </w:rPr>
        <w:t>(PC 2022)</w:t>
      </w:r>
      <w:r w:rsidRPr="003C6F44">
        <w:t>.</w:t>
      </w:r>
    </w:p>
    <w:p w14:paraId="6D331548" w14:textId="49F81DDB" w:rsidR="00700499" w:rsidRPr="003C6F44" w:rsidRDefault="00700499" w:rsidP="00BB0BCF">
      <w:pPr>
        <w:pStyle w:val="Heading3"/>
      </w:pPr>
      <w:bookmarkStart w:id="20" w:name="_Toc142050581"/>
      <w:r w:rsidRPr="003C6F44">
        <w:t>Rent control is not an effective way to improve affordability for renters</w:t>
      </w:r>
      <w:bookmarkEnd w:id="20"/>
    </w:p>
    <w:p w14:paraId="0772623C" w14:textId="1C1846A4" w:rsidR="00F01665" w:rsidRPr="003C6F44" w:rsidRDefault="00F01665" w:rsidP="00F01665">
      <w:pPr>
        <w:pStyle w:val="BodyText"/>
        <w:rPr>
          <w:spacing w:val="-4"/>
        </w:rPr>
      </w:pPr>
      <w:r w:rsidRPr="003C6F44">
        <w:rPr>
          <w:spacing w:val="-4"/>
        </w:rPr>
        <w:t>Governments should avoid policies that artificially depress rents and curtail the supply of new properties</w:t>
      </w:r>
      <w:r w:rsidR="009F0275" w:rsidRPr="003C6F44">
        <w:rPr>
          <w:spacing w:val="-4"/>
        </w:rPr>
        <w:t xml:space="preserve">. </w:t>
      </w:r>
    </w:p>
    <w:p w14:paraId="77E0F013" w14:textId="136EAF4D" w:rsidR="00700499" w:rsidRPr="003C6F44" w:rsidRDefault="00700499" w:rsidP="00700499">
      <w:pPr>
        <w:pStyle w:val="BodyText"/>
      </w:pPr>
      <w:r w:rsidRPr="003C6F44">
        <w:t>Direct regulation of rental prices (or ‘rent control) involves government regulation of rental prices, either fixing rents for the duration of a tenancy or imposing a rent limit across all tenancies. Australian jurisdictions have not imposed rent controls widely. One exception is the ACT, where, for the duration of a tenancy, rents cannot increase by more than 10</w:t>
      </w:r>
      <w:r w:rsidR="002A6681" w:rsidRPr="003C6F44">
        <w:t>%</w:t>
      </w:r>
      <w:r w:rsidRPr="003C6F44">
        <w:t xml:space="preserve"> above the increase in the rents component of the Consumer Price Index for Canberra </w:t>
      </w:r>
      <w:r w:rsidR="00932026" w:rsidRPr="003C6F44">
        <w:rPr>
          <w:rFonts w:ascii="Arial" w:hAnsi="Arial" w:cs="Arial"/>
          <w:szCs w:val="24"/>
        </w:rPr>
        <w:t>(ACAT 2021)</w:t>
      </w:r>
      <w:r w:rsidRPr="003C6F44">
        <w:rPr>
          <w:rFonts w:ascii="Arial" w:hAnsi="Arial" w:cs="Arial"/>
          <w:szCs w:val="24"/>
        </w:rPr>
        <w:t>.</w:t>
      </w:r>
    </w:p>
    <w:p w14:paraId="0B66F15B" w14:textId="05E273E5" w:rsidR="00700499" w:rsidRPr="003C6F44" w:rsidRDefault="00700499" w:rsidP="00700499">
      <w:pPr>
        <w:pStyle w:val="BodyText"/>
      </w:pPr>
      <w:r w:rsidRPr="003C6F44">
        <w:t>Rent control benefits incumbent renters in the short term</w:t>
      </w:r>
      <w:r w:rsidR="006E7728">
        <w:t>,</w:t>
      </w:r>
      <w:r w:rsidRPr="003C6F44">
        <w:t xml:space="preserve"> but harms all renters in the long term. International evidence shows that rent control policies reduce the stock of rental properties and drive up market rents </w:t>
      </w:r>
      <w:r w:rsidR="00674D77" w:rsidRPr="003C6F44">
        <w:rPr>
          <w:rFonts w:ascii="Arial" w:hAnsi="Arial" w:cs="Arial"/>
          <w:szCs w:val="24"/>
        </w:rPr>
        <w:lastRenderedPageBreak/>
        <w:t>(Diamond, McQuade and Qian 2019)</w:t>
      </w:r>
      <w:r w:rsidRPr="003C6F44">
        <w:t xml:space="preserve">. These impacts are felt by all renters </w:t>
      </w:r>
      <w:r w:rsidRPr="003C6F44">
        <w:rPr>
          <w:rFonts w:ascii="Symbol" w:eastAsia="Symbol" w:hAnsi="Symbol" w:cs="Symbol"/>
        </w:rPr>
        <w:t>¾</w:t>
      </w:r>
      <w:r w:rsidRPr="003C6F44">
        <w:t xml:space="preserve"> especially those, like young people, who join the rental market after the policy is introduced. </w:t>
      </w:r>
    </w:p>
    <w:p w14:paraId="0745EBA1" w14:textId="0AF0A61B" w:rsidR="00700499" w:rsidRPr="003C6F44" w:rsidRDefault="00700499" w:rsidP="00700499">
      <w:pPr>
        <w:pStyle w:val="BodyText"/>
      </w:pPr>
      <w:r w:rsidRPr="003C6F44">
        <w:t>Rent control can create other rental market inefficiencies. Landlords might neglect maintenance because they have little incentive to provide a positive experience for renters. Rent control can also create mismatches between renters and their properties (they may be in a wrong</w:t>
      </w:r>
      <w:r w:rsidRPr="003C6F44">
        <w:noBreakHyphen/>
        <w:t xml:space="preserve">sized property, or too far from work), because the people benefiting from rent control cannot move without losing access to cheaper rent </w:t>
      </w:r>
      <w:r w:rsidR="00674D77" w:rsidRPr="003C6F44">
        <w:rPr>
          <w:rFonts w:ascii="Arial" w:hAnsi="Arial" w:cs="Arial"/>
          <w:szCs w:val="24"/>
        </w:rPr>
        <w:t>(Glaeser and Luttmer 2003)</w:t>
      </w:r>
      <w:r w:rsidRPr="003C6F44">
        <w:t>.</w:t>
      </w:r>
    </w:p>
    <w:p w14:paraId="4E82C9FA" w14:textId="77777777" w:rsidR="00B47BA3" w:rsidRDefault="00B47BA3" w:rsidP="00BB0BCF">
      <w:pPr>
        <w:pStyle w:val="Heading3"/>
      </w:pPr>
      <w:bookmarkStart w:id="21" w:name="_Toc142050582"/>
      <w:r>
        <w:t>Short-term rentals highlight — rather than cause — broader supply problems</w:t>
      </w:r>
      <w:bookmarkEnd w:id="21"/>
    </w:p>
    <w:p w14:paraId="0A8B5C1B" w14:textId="396D7FC9" w:rsidR="00B47BA3" w:rsidRPr="003E6702" w:rsidRDefault="00B47BA3" w:rsidP="00B47BA3">
      <w:pPr>
        <w:pStyle w:val="BodyText"/>
        <w:rPr>
          <w:spacing w:val="-4"/>
        </w:rPr>
      </w:pPr>
      <w:r w:rsidRPr="003E6702">
        <w:rPr>
          <w:spacing w:val="-4"/>
        </w:rPr>
        <w:t>In some tourism destinations, Airbnb listings now make up significant fractions of the rental housing stock. For example, Airbnb listings accounted for 12</w:t>
      </w:r>
      <w:r w:rsidR="001B3884" w:rsidRPr="003E6702">
        <w:rPr>
          <w:spacing w:val="-4"/>
        </w:rPr>
        <w:t>%</w:t>
      </w:r>
      <w:r w:rsidRPr="003E6702">
        <w:rPr>
          <w:spacing w:val="-4"/>
        </w:rPr>
        <w:t xml:space="preserve"> of private rental stock in Hobart in 2020 and 48</w:t>
      </w:r>
      <w:r w:rsidR="001B3884" w:rsidRPr="003E6702">
        <w:rPr>
          <w:spacing w:val="-4"/>
        </w:rPr>
        <w:t>%</w:t>
      </w:r>
      <w:r w:rsidR="00EE6FEB" w:rsidRPr="003E6702">
        <w:rPr>
          <w:spacing w:val="-4"/>
        </w:rPr>
        <w:t> </w:t>
      </w:r>
      <w:r w:rsidRPr="003E6702">
        <w:rPr>
          <w:spacing w:val="-4"/>
        </w:rPr>
        <w:t xml:space="preserve">of the rental housing stock in Byron Bay in 2017 </w:t>
      </w:r>
      <w:r w:rsidR="005A1DE7" w:rsidRPr="003E6702">
        <w:rPr>
          <w:rFonts w:cs="Arial"/>
          <w:spacing w:val="-4"/>
          <w:szCs w:val="24"/>
        </w:rPr>
        <w:t>(Buckle and Phibbs 2021, p. 143; Gurran et al. 2018, p. 7)</w:t>
      </w:r>
      <w:r w:rsidR="005A1DE7" w:rsidRPr="003E6702">
        <w:rPr>
          <w:rFonts w:eastAsia="Arial" w:cs="Times New Roman"/>
          <w:spacing w:val="-4"/>
        </w:rPr>
        <w:t>.</w:t>
      </w:r>
      <w:r w:rsidR="005A1DE7" w:rsidRPr="003E6702">
        <w:rPr>
          <w:spacing w:val="-4"/>
        </w:rPr>
        <w:t xml:space="preserve"> </w:t>
      </w:r>
      <w:r w:rsidRPr="003E6702">
        <w:rPr>
          <w:spacing w:val="-4"/>
        </w:rPr>
        <w:t xml:space="preserve">The rise of short-term rentals has affected the number of properties available in the long-term private rental market, which both Australian and international evidence suggests could put upward pressure on rents </w:t>
      </w:r>
      <w:r w:rsidR="007F139D" w:rsidRPr="003E6702">
        <w:rPr>
          <w:rFonts w:cs="Arial"/>
          <w:spacing w:val="-4"/>
          <w:szCs w:val="24"/>
        </w:rPr>
        <w:t>(Franco and Santos 2021; Horn and Merante 2017; Koster, Van Ommeren and Volkhausen 2021; Phibbs and Ely 2022)</w:t>
      </w:r>
      <w:r w:rsidR="004B3D7B" w:rsidRPr="003E6702">
        <w:rPr>
          <w:spacing w:val="-4"/>
        </w:rPr>
        <w:t xml:space="preserve">. </w:t>
      </w:r>
    </w:p>
    <w:p w14:paraId="1F593AF2" w14:textId="5626FE0A" w:rsidR="00B47BA3" w:rsidRDefault="00B47BA3" w:rsidP="00B47BA3">
      <w:pPr>
        <w:pStyle w:val="BodyText"/>
      </w:pPr>
      <w:r>
        <w:t xml:space="preserve">Well-functioning housing markets will respond to heightened demand for short- and long-term rental properties with more supply. The effect of Airbnb on rents and house prices is likely to be smaller when supply is more elastic </w:t>
      </w:r>
      <w:r w:rsidR="00B90486" w:rsidRPr="00A1420D">
        <w:rPr>
          <w:rFonts w:cs="Arial"/>
          <w:szCs w:val="24"/>
        </w:rPr>
        <w:t>(Farhoodi, Khazra and Christensen 2021; Farronato and Fradkin 2022)</w:t>
      </w:r>
      <w:r>
        <w:t>. Addressing the structural barriers to the supply of rental properties should be a key part of governments’ response to the rise of short-term rentals.</w:t>
      </w:r>
      <w:r w:rsidR="001837F8">
        <w:t xml:space="preserve"> </w:t>
      </w:r>
      <w:r w:rsidR="009D4A0A" w:rsidRPr="009D4A0A">
        <w:rPr>
          <w:rFonts w:ascii="Arial" w:hAnsi="Arial" w:cs="Arial"/>
          <w:szCs w:val="24"/>
        </w:rPr>
        <w:t>(Buckle and Phibbs 2021)</w:t>
      </w:r>
    </w:p>
    <w:p w14:paraId="3D37262A" w14:textId="75704732" w:rsidR="00B47BA3" w:rsidRDefault="00B47BA3" w:rsidP="00B47BA3">
      <w:pPr>
        <w:pStyle w:val="BodyText"/>
      </w:pPr>
      <w:r>
        <w:t xml:space="preserve">Some advocates and researchers argue for restrictions on the short-term rental sector, and some governments have taken steps to regulate the market </w:t>
      </w:r>
      <w:r w:rsidR="007100E1" w:rsidRPr="00A1420D">
        <w:rPr>
          <w:rFonts w:cs="Arial"/>
          <w:szCs w:val="24"/>
        </w:rPr>
        <w:t>(Crommelin et al. 2018; Nally 2022; Phibbs and Ely 2022)</w:t>
      </w:r>
      <w:r>
        <w:t xml:space="preserve">. But constraining the short-term rental sector could have negative economic consequences. Cheaper and more accessible tourist accommodation benefits travellers and increases tourism activity, providing employment opportunities and extra income for residents </w:t>
      </w:r>
      <w:r w:rsidR="005B5649" w:rsidRPr="00A1420D">
        <w:rPr>
          <w:rFonts w:cs="Arial"/>
          <w:szCs w:val="24"/>
        </w:rPr>
        <w:t>(Dogru et al. 2020; Fang, Ye and Law 2016; Farronato and Fradkin 2022; Grimmer, Massey and Vorobjovas-Pinta 2018)</w:t>
      </w:r>
      <w:r>
        <w:t>.</w:t>
      </w:r>
    </w:p>
    <w:p w14:paraId="5B806576" w14:textId="31EEB0BA" w:rsidR="00F01665" w:rsidRPr="003C6F44" w:rsidRDefault="00EB6CD5" w:rsidP="00BB0BCF">
      <w:pPr>
        <w:pStyle w:val="Heading3"/>
      </w:pPr>
      <w:bookmarkStart w:id="22" w:name="_Toc142050583"/>
      <w:r w:rsidRPr="003C6F44">
        <w:t>Governments</w:t>
      </w:r>
      <w:r w:rsidR="009F0275" w:rsidRPr="003C6F44">
        <w:t xml:space="preserve"> should </w:t>
      </w:r>
      <w:r w:rsidR="005359A2">
        <w:t>be cautious</w:t>
      </w:r>
      <w:r w:rsidR="00D8639F">
        <w:t xml:space="preserve"> about housing subsidies</w:t>
      </w:r>
      <w:r w:rsidR="005359A2" w:rsidRPr="003C6F44">
        <w:t xml:space="preserve"> </w:t>
      </w:r>
      <w:r w:rsidR="00C978C3">
        <w:t>…</w:t>
      </w:r>
      <w:bookmarkEnd w:id="22"/>
    </w:p>
    <w:p w14:paraId="5B9B7FC6" w14:textId="523DF9E5" w:rsidR="006D2BF8" w:rsidRPr="00A87468" w:rsidRDefault="00694F5C" w:rsidP="006D2BF8">
      <w:pPr>
        <w:pStyle w:val="BodyText"/>
        <w:rPr>
          <w:spacing w:val="-4"/>
        </w:rPr>
      </w:pPr>
      <w:r w:rsidRPr="00A87468">
        <w:rPr>
          <w:spacing w:val="-4"/>
        </w:rPr>
        <w:t xml:space="preserve">Some are </w:t>
      </w:r>
      <w:r w:rsidR="00BF1485" w:rsidRPr="00A87468">
        <w:rPr>
          <w:spacing w:val="-4"/>
        </w:rPr>
        <w:t xml:space="preserve">also </w:t>
      </w:r>
      <w:r w:rsidRPr="00A87468">
        <w:rPr>
          <w:spacing w:val="-4"/>
        </w:rPr>
        <w:t xml:space="preserve">calling for </w:t>
      </w:r>
      <w:r w:rsidR="006D2BF8" w:rsidRPr="00A87468">
        <w:rPr>
          <w:spacing w:val="-4"/>
        </w:rPr>
        <w:t xml:space="preserve">government subsidies for affordable rental properties </w:t>
      </w:r>
      <w:r w:rsidR="0096680D" w:rsidRPr="00A87468">
        <w:rPr>
          <w:spacing w:val="-4"/>
        </w:rPr>
        <w:t xml:space="preserve">as a way to address </w:t>
      </w:r>
      <w:r w:rsidR="006D2BF8" w:rsidRPr="00A87468">
        <w:rPr>
          <w:spacing w:val="-4"/>
        </w:rPr>
        <w:t>rental affordability issues. These initiatives usually involve payments or concessions to property owners to compensate them for accepting below-market rent from eligible renters (usually low- and middle-income households).</w:t>
      </w:r>
    </w:p>
    <w:p w14:paraId="7781AD43" w14:textId="77777777" w:rsidR="006D2BF8" w:rsidRDefault="006D2BF8" w:rsidP="006D2BF8">
      <w:pPr>
        <w:pStyle w:val="BodyText"/>
      </w:pPr>
      <w:r>
        <w:t>Subsidies for affordable rental properties are not a good way to tackle rental affordability. Subsidised construction can partly displace private construction of market-rate housing — it competes for the same finite pool of land, finance, construction materials and workers as private developments. This lessens the effect on overall affordability. And subsidies have hidden costs. For example, when governments provide land for housing at below-market rates there is an opportunity cost — governments could have used the proceeds from the sale of land to fund other government services, pay down debt or reduce taxes, but their choices are not explicit.</w:t>
      </w:r>
    </w:p>
    <w:p w14:paraId="13D6FB5C" w14:textId="0A1E8BC1" w:rsidR="006D2BF8" w:rsidRDefault="006D2BF8" w:rsidP="006D2BF8">
      <w:pPr>
        <w:pStyle w:val="BodyText"/>
      </w:pPr>
      <w:r>
        <w:t xml:space="preserve">Subsidies tied to properties have inherent disadvantages — they give people fewer options in the homes they can choose and may lock them in because, even when their needs change, they cannot move without losing assistance. Subsidies are often poorly targeted and, because the number of people eligible is usually greater than properties available, assistance </w:t>
      </w:r>
      <w:r w:rsidR="00641906">
        <w:t xml:space="preserve">can be </w:t>
      </w:r>
      <w:r>
        <w:t>distributed unfairly. In the review of the NHHA, the Commission recommended that Governments consider alternatives to subsidising affordable rental housing.</w:t>
      </w:r>
    </w:p>
    <w:p w14:paraId="58153A76" w14:textId="65929015" w:rsidR="006D2BF8" w:rsidRDefault="00E513DC" w:rsidP="00BB0BCF">
      <w:pPr>
        <w:pStyle w:val="Heading3"/>
      </w:pPr>
      <w:bookmarkStart w:id="23" w:name="_Toc142050584"/>
      <w:r>
        <w:lastRenderedPageBreak/>
        <w:t xml:space="preserve">… </w:t>
      </w:r>
      <w:r w:rsidR="00D8639F">
        <w:t xml:space="preserve">and </w:t>
      </w:r>
      <w:r w:rsidR="00AC41E0">
        <w:t xml:space="preserve">remove </w:t>
      </w:r>
      <w:r w:rsidR="00CC358E">
        <w:t xml:space="preserve">distortionary barriers, but </w:t>
      </w:r>
      <w:r w:rsidR="00D8639F">
        <w:t>not</w:t>
      </w:r>
      <w:r>
        <w:t xml:space="preserve"> tip the scales in favour of institutional investment</w:t>
      </w:r>
      <w:bookmarkEnd w:id="23"/>
    </w:p>
    <w:p w14:paraId="7A7AEDA1" w14:textId="50A98578" w:rsidR="00F01665" w:rsidRPr="003C6F44" w:rsidRDefault="00F01665" w:rsidP="00F01665">
      <w:pPr>
        <w:pStyle w:val="BodyText"/>
      </w:pPr>
      <w:r w:rsidRPr="003C6F44">
        <w:t xml:space="preserve">Institutional investors attract a lot of attention </w:t>
      </w:r>
      <w:r w:rsidR="00507064" w:rsidRPr="003C6F44">
        <w:t>as a solution to increasing the overall supply of rental properties</w:t>
      </w:r>
      <w:r w:rsidR="002E750E" w:rsidRPr="003C6F44">
        <w:t>,</w:t>
      </w:r>
      <w:r w:rsidR="00507064" w:rsidRPr="003C6F44">
        <w:t xml:space="preserve"> </w:t>
      </w:r>
      <w:r w:rsidRPr="003C6F44">
        <w:t xml:space="preserve">but </w:t>
      </w:r>
      <w:r w:rsidR="000010F3">
        <w:t xml:space="preserve">they </w:t>
      </w:r>
      <w:r w:rsidR="00014900">
        <w:t xml:space="preserve">makeup </w:t>
      </w:r>
      <w:r w:rsidRPr="003C6F44">
        <w:t>a small part of the Australian rental market. In 2017, corporate landlords made up about 8</w:t>
      </w:r>
      <w:r w:rsidR="002A6681" w:rsidRPr="003C6F44">
        <w:t>%</w:t>
      </w:r>
      <w:r w:rsidRPr="003C6F44">
        <w:t xml:space="preserve"> of the market</w:t>
      </w:r>
      <w:r w:rsidR="00F7545B" w:rsidRPr="003C6F44">
        <w:t xml:space="preserve"> </w:t>
      </w:r>
      <w:r w:rsidR="00F7545B" w:rsidRPr="003C6F44">
        <w:rPr>
          <w:rFonts w:ascii="Arial" w:hAnsi="Arial" w:cs="Arial"/>
          <w:szCs w:val="24"/>
        </w:rPr>
        <w:t>(Yanotti 2017)</w:t>
      </w:r>
      <w:r w:rsidR="00014900">
        <w:t xml:space="preserve">. </w:t>
      </w:r>
      <w:r w:rsidRPr="003C6F44">
        <w:t>This low share might reflect barriers to institutional investment in Australia, including low rental yields and uneven tax settings</w:t>
      </w:r>
      <w:r w:rsidR="008327F7" w:rsidRPr="003C6F44">
        <w:t>.</w:t>
      </w:r>
    </w:p>
    <w:p w14:paraId="58FB2755" w14:textId="277003CC" w:rsidR="00F01665" w:rsidRPr="003C6F44" w:rsidRDefault="00F01665" w:rsidP="00F01665">
      <w:pPr>
        <w:pStyle w:val="BodyText"/>
      </w:pPr>
      <w:r w:rsidRPr="003C6F44">
        <w:t>There is a case for governments to level the playing field and review unnecessary barriers to investment. This could marginally increase the supply of rental housing, although the extent to which build</w:t>
      </w:r>
      <w:r w:rsidRPr="003C6F44">
        <w:noBreakHyphen/>
        <w:t>to</w:t>
      </w:r>
      <w:r w:rsidRPr="003C6F44">
        <w:noBreakHyphen/>
        <w:t xml:space="preserve">rent construction just replaces other construction is contested and has not been empirically studied </w:t>
      </w:r>
      <w:r w:rsidR="00283AD4" w:rsidRPr="003C6F44">
        <w:rPr>
          <w:rFonts w:ascii="Arial" w:hAnsi="Arial" w:cs="Arial"/>
          <w:szCs w:val="24"/>
        </w:rPr>
        <w:t>(PC 2019, p. 108; Whitehead and Scanlon 2017, pp. 40–45)</w:t>
      </w:r>
      <w:r w:rsidRPr="003C6F44">
        <w:t>.</w:t>
      </w:r>
    </w:p>
    <w:p w14:paraId="3620CCCF" w14:textId="10EA01CA" w:rsidR="00F01665" w:rsidRPr="003C6F44" w:rsidRDefault="00F01665" w:rsidP="00F01665">
      <w:pPr>
        <w:pStyle w:val="BodyText"/>
        <w:rPr>
          <w:spacing w:val="-6"/>
        </w:rPr>
      </w:pPr>
      <w:r w:rsidRPr="003C6F44">
        <w:rPr>
          <w:spacing w:val="-6"/>
        </w:rPr>
        <w:t>But governments should not try to tip the scales in favour of institutional investment, or subsidise ‘affordable build</w:t>
      </w:r>
      <w:r w:rsidRPr="003C6F44">
        <w:rPr>
          <w:spacing w:val="-6"/>
        </w:rPr>
        <w:noBreakHyphen/>
        <w:t>to</w:t>
      </w:r>
      <w:r w:rsidRPr="003C6F44">
        <w:rPr>
          <w:spacing w:val="-6"/>
        </w:rPr>
        <w:noBreakHyphen/>
        <w:t>rent’ developments. These subsidies are tied to properties; they are poorly targeted (most tenants are middle</w:t>
      </w:r>
      <w:r w:rsidRPr="003C6F44">
        <w:rPr>
          <w:spacing w:val="-6"/>
        </w:rPr>
        <w:noBreakHyphen/>
        <w:t>to</w:t>
      </w:r>
      <w:r w:rsidRPr="003C6F44">
        <w:rPr>
          <w:spacing w:val="-6"/>
        </w:rPr>
        <w:noBreakHyphen/>
        <w:t xml:space="preserve">high income); and they offer little additionality. Institutional investment </w:t>
      </w:r>
      <w:r w:rsidR="0004550C">
        <w:rPr>
          <w:spacing w:val="-6"/>
        </w:rPr>
        <w:t xml:space="preserve">could </w:t>
      </w:r>
      <w:r w:rsidRPr="003C6F44">
        <w:rPr>
          <w:spacing w:val="-6"/>
        </w:rPr>
        <w:t>also bring new risks. In some areas with large corporate landlords, concerns have been raised about high eviction rates and poor landlord behaviour</w:t>
      </w:r>
      <w:r w:rsidR="00540305" w:rsidRPr="003C6F44">
        <w:rPr>
          <w:spacing w:val="-6"/>
        </w:rPr>
        <w:t xml:space="preserve"> </w:t>
      </w:r>
      <w:r w:rsidR="00540305" w:rsidRPr="003C6F44">
        <w:rPr>
          <w:rFonts w:ascii="Arial" w:hAnsi="Arial" w:cs="Arial"/>
          <w:szCs w:val="24"/>
        </w:rPr>
        <w:t>(Gomory 2022; Immergluck et al. 2020; Raymond et al. 2016; Whiting 2022)</w:t>
      </w:r>
      <w:r w:rsidRPr="003C6F44">
        <w:rPr>
          <w:spacing w:val="-6"/>
        </w:rPr>
        <w:t xml:space="preserve">. </w:t>
      </w:r>
    </w:p>
    <w:p w14:paraId="30727B10" w14:textId="30095F44" w:rsidR="007E75B9" w:rsidRPr="003C6F44" w:rsidRDefault="00BB0BCF" w:rsidP="00C2511B">
      <w:pPr>
        <w:pStyle w:val="Heading2-nonumber"/>
      </w:pPr>
      <w:bookmarkStart w:id="24" w:name="_Toc142048584"/>
      <w:bookmarkStart w:id="25" w:name="_Toc142050416"/>
      <w:bookmarkStart w:id="26" w:name="_Toc142050483"/>
      <w:bookmarkStart w:id="27" w:name="_Toc142050585"/>
      <w:bookmarkStart w:id="28" w:name="_Toc142050617"/>
      <w:r>
        <w:t>4</w:t>
      </w:r>
      <w:r w:rsidR="00C2511B">
        <w:t>.</w:t>
      </w:r>
      <w:r w:rsidR="00C2511B">
        <w:tab/>
      </w:r>
      <w:r w:rsidR="00AB56AE">
        <w:t>Boosting r</w:t>
      </w:r>
      <w:r w:rsidR="00AB2BEA">
        <w:t>enters</w:t>
      </w:r>
      <w:r w:rsidR="00AB56AE">
        <w:t>’</w:t>
      </w:r>
      <w:r w:rsidR="00AB2BEA">
        <w:t xml:space="preserve"> incomes </w:t>
      </w:r>
      <w:r w:rsidR="00AB56AE">
        <w:t xml:space="preserve">to improve </w:t>
      </w:r>
      <w:r w:rsidR="007E75B9" w:rsidRPr="003C6F44">
        <w:t>affordability</w:t>
      </w:r>
      <w:bookmarkEnd w:id="24"/>
      <w:bookmarkEnd w:id="25"/>
      <w:bookmarkEnd w:id="26"/>
      <w:bookmarkEnd w:id="27"/>
      <w:bookmarkEnd w:id="28"/>
      <w:r w:rsidR="007E75B9" w:rsidRPr="003C6F44">
        <w:t xml:space="preserve"> </w:t>
      </w:r>
    </w:p>
    <w:p w14:paraId="639AD417" w14:textId="07E89938" w:rsidR="00CB7D98" w:rsidRPr="003C6F44" w:rsidRDefault="002B7167" w:rsidP="00CB7D98">
      <w:pPr>
        <w:pStyle w:val="BodyText"/>
      </w:pPr>
      <w:r w:rsidRPr="003C6F44">
        <w:t>R</w:t>
      </w:r>
      <w:r w:rsidR="00CB7D98" w:rsidRPr="003C6F44">
        <w:t>ents are only one side of the affordability equation. Boosting renters’ incomes would also help to improve rental affordability and facilitate social and economic participation.</w:t>
      </w:r>
    </w:p>
    <w:p w14:paraId="36F4ACED" w14:textId="2D7451C4" w:rsidR="00CB7D98" w:rsidRPr="003C6F44" w:rsidRDefault="00FB6399" w:rsidP="00FB6399">
      <w:pPr>
        <w:pStyle w:val="BodyText"/>
      </w:pPr>
      <w:r w:rsidRPr="003C6F44">
        <w:t>Commonwealth Rental Assistance (</w:t>
      </w:r>
      <w:r w:rsidR="00B2469C" w:rsidRPr="003C6F44">
        <w:t>CRA</w:t>
      </w:r>
      <w:r w:rsidRPr="003C6F44">
        <w:t>)</w:t>
      </w:r>
      <w:r w:rsidR="00B2469C" w:rsidRPr="003C6F44">
        <w:t xml:space="preserve"> is a fortnightly payment available to people </w:t>
      </w:r>
      <w:r w:rsidR="00C95F62">
        <w:t>who receive a qualifying social security payment and r</w:t>
      </w:r>
      <w:r w:rsidR="00B2469C" w:rsidRPr="003C6F44">
        <w:t>ent privately or from a community housing provider.</w:t>
      </w:r>
      <w:r w:rsidR="00B2469C" w:rsidRPr="00B45CCE">
        <w:rPr>
          <w:rStyle w:val="FootnoteReference"/>
        </w:rPr>
        <w:footnoteReference w:id="8"/>
      </w:r>
      <w:r w:rsidR="00B2469C" w:rsidRPr="003C6F44">
        <w:t xml:space="preserve"> CRA is paid directly to renters along with their other income support payments </w:t>
      </w:r>
      <w:r w:rsidR="002A6681" w:rsidRPr="003C6F44">
        <w:t xml:space="preserve">– </w:t>
      </w:r>
      <w:r w:rsidR="00B2469C" w:rsidRPr="003C6F44">
        <w:t>there are no restrictions on how recipients spend the payment. The amount received depends on the recipient’s family structure and how much rent they pay</w:t>
      </w:r>
      <w:r w:rsidRPr="003C6F44">
        <w:t xml:space="preserve">. </w:t>
      </w:r>
    </w:p>
    <w:p w14:paraId="44C5DA92" w14:textId="694F7DBA" w:rsidR="006359BD" w:rsidRPr="003E71B7" w:rsidRDefault="006359BD" w:rsidP="006359BD">
      <w:pPr>
        <w:pStyle w:val="BodyText"/>
        <w:rPr>
          <w:spacing w:val="4"/>
        </w:rPr>
      </w:pPr>
      <w:r w:rsidRPr="003E71B7">
        <w:rPr>
          <w:spacing w:val="4"/>
        </w:rPr>
        <w:t>Overall, 29</w:t>
      </w:r>
      <w:r w:rsidR="002A6681" w:rsidRPr="003E71B7">
        <w:rPr>
          <w:spacing w:val="4"/>
        </w:rPr>
        <w:t>%</w:t>
      </w:r>
      <w:r w:rsidRPr="003E71B7">
        <w:rPr>
          <w:spacing w:val="4"/>
        </w:rPr>
        <w:t xml:space="preserve"> of private renter households, and 57</w:t>
      </w:r>
      <w:r w:rsidR="002A6681" w:rsidRPr="003E71B7">
        <w:rPr>
          <w:spacing w:val="4"/>
        </w:rPr>
        <w:t>%</w:t>
      </w:r>
      <w:r w:rsidRPr="003E71B7">
        <w:rPr>
          <w:spacing w:val="4"/>
        </w:rPr>
        <w:t xml:space="preserve"> of low</w:t>
      </w:r>
      <w:r w:rsidRPr="003E71B7">
        <w:rPr>
          <w:spacing w:val="4"/>
        </w:rPr>
        <w:noBreakHyphen/>
        <w:t>income private renter households, received CRA in 2019</w:t>
      </w:r>
      <w:r w:rsidRPr="003E71B7">
        <w:rPr>
          <w:spacing w:val="4"/>
        </w:rPr>
        <w:noBreakHyphen/>
        <w:t>20.</w:t>
      </w:r>
      <w:r w:rsidRPr="003E71B7">
        <w:rPr>
          <w:rStyle w:val="FootnoteReference"/>
          <w:spacing w:val="4"/>
        </w:rPr>
        <w:footnoteReference w:id="9"/>
      </w:r>
    </w:p>
    <w:p w14:paraId="2BDF3265" w14:textId="119E7301" w:rsidR="00C47E6A" w:rsidRPr="003C6F44" w:rsidRDefault="00C47E6A" w:rsidP="006359BD">
      <w:pPr>
        <w:pStyle w:val="BodyText"/>
      </w:pPr>
      <w:r w:rsidRPr="003C6F44">
        <w:t>In line with the eligibility criteria for the qualifying social security payments, CRA recipients typically have lower incomes and wealth than other Australians. Overall, households that received CRA had median equivalised wealth of about $33 500 in 2019</w:t>
      </w:r>
      <w:r w:rsidRPr="003C6F44">
        <w:noBreakHyphen/>
        <w:t>20, compared with $411 600 for non</w:t>
      </w:r>
      <w:r w:rsidRPr="003C6F44">
        <w:noBreakHyphen/>
        <w:t>recipient households. Their median weekly equivalised household disposable income was $619, compared with $987 for non</w:t>
      </w:r>
      <w:r w:rsidRPr="003C6F44">
        <w:noBreakHyphen/>
        <w:t>recipient households.</w:t>
      </w:r>
      <w:r w:rsidRPr="00B45CCE">
        <w:rPr>
          <w:rStyle w:val="FootnoteReference"/>
        </w:rPr>
        <w:footnoteReference w:id="10"/>
      </w:r>
      <w:r w:rsidRPr="003C6F44">
        <w:t xml:space="preserve"> Other characteristics of CRA recipients are shown in figure </w:t>
      </w:r>
      <w:r w:rsidR="00590C6E">
        <w:t>6</w:t>
      </w:r>
      <w:r w:rsidRPr="003C6F44">
        <w:t xml:space="preserve">. </w:t>
      </w:r>
    </w:p>
    <w:p w14:paraId="571760DF" w14:textId="6CE13404" w:rsidR="009407FD" w:rsidRPr="003C6F44" w:rsidRDefault="009407FD" w:rsidP="009407FD">
      <w:pPr>
        <w:pStyle w:val="FigureTableHeading"/>
      </w:pPr>
      <w:r w:rsidRPr="003C6F44">
        <w:lastRenderedPageBreak/>
        <w:t xml:space="preserve">Figure </w:t>
      </w:r>
      <w:r w:rsidR="007D398D">
        <w:t>6</w:t>
      </w:r>
      <w:r w:rsidRPr="003C6F44">
        <w:rPr>
          <w:noProof/>
        </w:rPr>
        <w:t xml:space="preserve"> </w:t>
      </w:r>
      <w:r w:rsidRPr="003C6F44">
        <w:t>– Profile of CRA recipients</w:t>
      </w:r>
    </w:p>
    <w:p w14:paraId="36EC3CC1" w14:textId="77777777" w:rsidR="009407FD" w:rsidRPr="003C6F44" w:rsidRDefault="009407FD" w:rsidP="009407FD">
      <w:pPr>
        <w:pStyle w:val="FigureTableSubheading"/>
        <w:keepLines/>
      </w:pPr>
      <w:r w:rsidRPr="003C6F44">
        <w:t>Proportion of CRA recipients, 2019</w:t>
      </w:r>
      <w:r w:rsidRPr="003C6F44">
        <w:noBreakHyphen/>
        <w:t xml:space="preserve">20 </w:t>
      </w:r>
    </w:p>
    <w:p w14:paraId="1FE3879D" w14:textId="3C40ECEC" w:rsidR="009407FD" w:rsidRPr="003C6F44" w:rsidRDefault="009407FD" w:rsidP="003E6702">
      <w:pPr>
        <w:pStyle w:val="Note"/>
        <w:keepLines/>
        <w:rPr>
          <w:b/>
          <w:bCs/>
        </w:rPr>
      </w:pPr>
      <w:r w:rsidRPr="003C6F44">
        <w:rPr>
          <w:noProof/>
        </w:rPr>
        <w:drawing>
          <wp:inline distT="0" distB="0" distL="0" distR="0" wp14:anchorId="195A348B" wp14:editId="025DDE2A">
            <wp:extent cx="5480050" cy="2628265"/>
            <wp:effectExtent l="0" t="0" r="6350" b="0"/>
            <wp:docPr id="255" name="Picture 255" descr="This figure shows different characteristics of CRA recipients. 61 per cent of recipients are not in the labour force, 20 per cent are employed part time, 10 per cent are employed full time and 9 per cent are unemployed. 38 per cent are older than 20 years with a highest education level of year 10 or below. 9 per cent are under 24 years and 28 per cent are over 65 years. 20 per cent are a sole parent in a one-parent household and 46 per cent have a disability or long-term health condi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5" name="Picture 255" descr="This figure shows different characteristics of CRA recipients. 61 per cent of recipients are not in the labour force, 20 per cent are employed part time, 10 per cent are employed full time and 9 per cent are unemployed. 38 per cent are older than 20 years with a highest education level of year 10 or below. 9 per cent are under 24 years and 28 per cent are over 65 years. 20 per cent are a sole parent in a one-parent household and 46 per cent have a disability or long-term health condition. "/>
                    <pic:cNvPicPr>
                      <a:picLocks noChangeAspect="1" noChangeArrowheads="1"/>
                    </pic:cNvPicPr>
                  </pic:nvPicPr>
                  <pic:blipFill rotWithShape="1">
                    <a:blip r:embed="rId29" cstate="print">
                      <a:extLst>
                        <a:ext uri="{28A0092B-C50C-407E-A947-70E740481C1C}">
                          <a14:useLocalDpi xmlns:a14="http://schemas.microsoft.com/office/drawing/2010/main" val="0"/>
                        </a:ext>
                      </a:extLst>
                    </a:blip>
                    <a:srcRect l="10458"/>
                    <a:stretch/>
                  </pic:blipFill>
                  <pic:spPr bwMode="auto">
                    <a:xfrm>
                      <a:off x="0" y="0"/>
                      <a:ext cx="5480050" cy="2628265"/>
                    </a:xfrm>
                    <a:prstGeom prst="rect">
                      <a:avLst/>
                    </a:prstGeom>
                    <a:noFill/>
                    <a:ln>
                      <a:noFill/>
                    </a:ln>
                    <a:extLst>
                      <a:ext uri="{53640926-AAD7-44D8-BBD7-CCE9431645EC}">
                        <a14:shadowObscured xmlns:a14="http://schemas.microsoft.com/office/drawing/2010/main"/>
                      </a:ext>
                    </a:extLst>
                  </pic:spPr>
                </pic:pic>
              </a:graphicData>
            </a:graphic>
          </wp:inline>
        </w:drawing>
      </w:r>
    </w:p>
    <w:p w14:paraId="76D66128" w14:textId="77777777" w:rsidR="009407FD" w:rsidRPr="003C6F44" w:rsidRDefault="009407FD" w:rsidP="009407FD">
      <w:pPr>
        <w:pStyle w:val="Source"/>
      </w:pPr>
      <w:r w:rsidRPr="003C6F44">
        <w:t>Source: Commission estimates using ABS (</w:t>
      </w:r>
      <w:r w:rsidRPr="003C6F44">
        <w:rPr>
          <w:i/>
          <w:iCs/>
        </w:rPr>
        <w:t>Microdata: Income and Housing, Australia, 2019</w:t>
      </w:r>
      <w:r w:rsidRPr="003C6F44">
        <w:rPr>
          <w:i/>
          <w:iCs/>
        </w:rPr>
        <w:noBreakHyphen/>
        <w:t>20</w:t>
      </w:r>
      <w:r w:rsidRPr="003C6F44">
        <w:t>, Cat. no. 6541.0.30.001).</w:t>
      </w:r>
    </w:p>
    <w:p w14:paraId="00E83E6F" w14:textId="6B935DB9" w:rsidR="00A119A2" w:rsidRPr="003C6F44" w:rsidRDefault="00A119A2" w:rsidP="00BB0BCF">
      <w:pPr>
        <w:pStyle w:val="Heading3"/>
      </w:pPr>
      <w:bookmarkStart w:id="29" w:name="_Toc142050586"/>
      <w:r w:rsidRPr="003C6F44">
        <w:t>CRA plays an important role in the income support syste</w:t>
      </w:r>
      <w:r w:rsidR="009D1FF6" w:rsidRPr="003C6F44">
        <w:t>m</w:t>
      </w:r>
      <w:bookmarkEnd w:id="29"/>
    </w:p>
    <w:p w14:paraId="4FF96711" w14:textId="0C857B47" w:rsidR="00401B33" w:rsidRPr="003C6F44" w:rsidRDefault="0013649F" w:rsidP="00401B33">
      <w:pPr>
        <w:pStyle w:val="BodyText"/>
      </w:pPr>
      <w:r w:rsidRPr="003C6F44">
        <w:rPr>
          <w:szCs w:val="22"/>
        </w:rPr>
        <w:t xml:space="preserve">CRA is the Australian Government’s largest housing assistance measure. </w:t>
      </w:r>
      <w:r w:rsidR="00401B33" w:rsidRPr="003C6F44">
        <w:t>T</w:t>
      </w:r>
      <w:r w:rsidR="00FB065B" w:rsidRPr="003C6F44">
        <w:t>he objective of CRA is to assist Australians receiving income support or family assistance payments with the cost of their private rental or community housing.</w:t>
      </w:r>
      <w:r w:rsidR="00401B33" w:rsidRPr="003C6F44">
        <w:t xml:space="preserve"> In practice, CRA is an income supplement for renters, not a direct rent subsidy. </w:t>
      </w:r>
      <w:bookmarkStart w:id="30" w:name="_Hlk107934991"/>
      <w:r w:rsidR="00401B33" w:rsidRPr="003C6F44">
        <w:t xml:space="preserve">It is an untied cash transfer, paid directly to recipients with their other social security payments </w:t>
      </w:r>
      <w:r w:rsidR="007D0B8A" w:rsidRPr="003C6F44">
        <w:t>–</w:t>
      </w:r>
      <w:r w:rsidR="00401B33" w:rsidRPr="003C6F44">
        <w:t xml:space="preserve"> recipients are not bound to spend the payment on rent. </w:t>
      </w:r>
      <w:bookmarkEnd w:id="30"/>
      <w:r w:rsidR="00401B33" w:rsidRPr="003C6F44">
        <w:t>For the majority (79</w:t>
      </w:r>
      <w:r w:rsidR="002A6681" w:rsidRPr="003C6F44">
        <w:t>%</w:t>
      </w:r>
      <w:r w:rsidR="00401B33" w:rsidRPr="003C6F44">
        <w:t>) of households who pay</w:t>
      </w:r>
      <w:r w:rsidR="00401B33" w:rsidRPr="003C6F44" w:rsidDel="00276A86">
        <w:t xml:space="preserve"> </w:t>
      </w:r>
      <w:r w:rsidR="00401B33" w:rsidRPr="003C6F44">
        <w:t xml:space="preserve">enough rent to receive the maximum rate of CRA, the payment does not vary with their housing costs </w:t>
      </w:r>
      <w:r w:rsidR="00952D37" w:rsidRPr="003C6F44">
        <w:rPr>
          <w:rFonts w:ascii="Arial" w:hAnsi="Arial" w:cs="Arial"/>
          <w:szCs w:val="24"/>
        </w:rPr>
        <w:t>(DSS 2022)</w:t>
      </w:r>
      <w:r w:rsidR="00401B33" w:rsidRPr="003C6F44">
        <w:t>. There are no conditions on the type or location of housing rented, nor is there a minimum housing standard.</w:t>
      </w:r>
    </w:p>
    <w:p w14:paraId="4F88677B" w14:textId="70C60C63" w:rsidR="00FB065B" w:rsidRPr="003C6F44" w:rsidRDefault="009D1FF6" w:rsidP="00BB0BCF">
      <w:pPr>
        <w:pStyle w:val="Heading3"/>
      </w:pPr>
      <w:bookmarkStart w:id="31" w:name="_Toc142050587"/>
      <w:r w:rsidRPr="003C6F44">
        <w:t>T</w:t>
      </w:r>
      <w:r w:rsidR="009B28CC" w:rsidRPr="003C6F44">
        <w:t xml:space="preserve">here is </w:t>
      </w:r>
      <w:r w:rsidRPr="003C6F44">
        <w:t>a strong case for changes to CRA</w:t>
      </w:r>
      <w:bookmarkEnd w:id="31"/>
      <w:r w:rsidR="009B28CC" w:rsidRPr="003C6F44">
        <w:t xml:space="preserve"> </w:t>
      </w:r>
    </w:p>
    <w:p w14:paraId="2BF085DF" w14:textId="3FE6D4D8" w:rsidR="00FD7F31" w:rsidRPr="003C6F44" w:rsidRDefault="00FD7F31" w:rsidP="00FD7F31">
      <w:pPr>
        <w:pStyle w:val="BodyText"/>
      </w:pPr>
      <w:r w:rsidRPr="003C6F44">
        <w:t>CRA is designed on sound principles</w:t>
      </w:r>
      <w:r w:rsidR="00FB4D29" w:rsidRPr="003C6F44">
        <w:t>:</w:t>
      </w:r>
      <w:r w:rsidRPr="003C6F44">
        <w:t xml:space="preserve"> </w:t>
      </w:r>
    </w:p>
    <w:p w14:paraId="454C87B1" w14:textId="77777777" w:rsidR="00FD7F31" w:rsidRPr="003C6F44" w:rsidRDefault="00FD7F31" w:rsidP="00FD7F31">
      <w:pPr>
        <w:pStyle w:val="ListBullet"/>
        <w:rPr>
          <w:spacing w:val="-4"/>
        </w:rPr>
      </w:pPr>
      <w:r w:rsidRPr="003C6F44">
        <w:rPr>
          <w:spacing w:val="-4"/>
        </w:rPr>
        <w:t xml:space="preserve">CRA is a flexible and portable payment that allows recipients to choose the home that best meets their needs. </w:t>
      </w:r>
    </w:p>
    <w:p w14:paraId="23FE6D51" w14:textId="2908E19F" w:rsidR="00FD7F31" w:rsidRPr="003C6F44" w:rsidRDefault="00FD7F31" w:rsidP="00FD7F31">
      <w:pPr>
        <w:pStyle w:val="ListBullet"/>
      </w:pPr>
      <w:r w:rsidRPr="003C6F44">
        <w:t xml:space="preserve">CRA provides timely assistance when people’s needs change </w:t>
      </w:r>
      <w:r w:rsidR="002A6681" w:rsidRPr="003C6F44">
        <w:t xml:space="preserve">– </w:t>
      </w:r>
      <w:r w:rsidRPr="003C6F44">
        <w:t xml:space="preserve">there is no waiting list or need to move to obtain assistance </w:t>
      </w:r>
      <w:r w:rsidR="002A6681" w:rsidRPr="003C6F44">
        <w:t xml:space="preserve">– </w:t>
      </w:r>
      <w:r w:rsidRPr="003C6F44">
        <w:t xml:space="preserve">and adjusts as those needs change over time. One study found that there is considerable churn in the population receiving CRA, with many recipients receiving the payment for only short periods of time </w:t>
      </w:r>
      <w:r w:rsidR="00E86A66" w:rsidRPr="003C6F44">
        <w:rPr>
          <w:rFonts w:ascii="Arial" w:hAnsi="Arial" w:cs="Arial"/>
          <w:szCs w:val="24"/>
        </w:rPr>
        <w:t>(Yanotti et al. 2021)</w:t>
      </w:r>
      <w:r w:rsidRPr="003C6F44">
        <w:t>. This suggests that it may help</w:t>
      </w:r>
      <w:r w:rsidRPr="003C6F44" w:rsidDel="0037160D">
        <w:t xml:space="preserve"> </w:t>
      </w:r>
      <w:r w:rsidRPr="003C6F44">
        <w:t>to smooth short</w:t>
      </w:r>
      <w:r w:rsidRPr="003C6F44">
        <w:noBreakHyphen/>
        <w:t>term fluctuations in income or household situation.</w:t>
      </w:r>
    </w:p>
    <w:p w14:paraId="72B471FF" w14:textId="3EA5AFBD" w:rsidR="00FD7F31" w:rsidRPr="003C6F44" w:rsidRDefault="00FD7F31" w:rsidP="00FD7F31">
      <w:pPr>
        <w:pStyle w:val="ListBullet"/>
        <w:rPr>
          <w:spacing w:val="-2"/>
        </w:rPr>
      </w:pPr>
      <w:r w:rsidRPr="003C6F44">
        <w:rPr>
          <w:spacing w:val="-2"/>
        </w:rPr>
        <w:t xml:space="preserve">CRA payments allow renters to stay part of their existing community </w:t>
      </w:r>
      <w:r w:rsidR="002A6681" w:rsidRPr="003C6F44">
        <w:rPr>
          <w:spacing w:val="-2"/>
        </w:rPr>
        <w:t xml:space="preserve">– </w:t>
      </w:r>
      <w:r w:rsidRPr="003C6F44">
        <w:rPr>
          <w:spacing w:val="-2"/>
        </w:rPr>
        <w:t>they do not have to move to access assistance, and can stay in the same property even if their level of assistance changes. Its effect on effective marginal tax rates</w:t>
      </w:r>
      <w:r w:rsidRPr="003C6F44" w:rsidDel="003205CF">
        <w:rPr>
          <w:spacing w:val="-2"/>
        </w:rPr>
        <w:t xml:space="preserve"> </w:t>
      </w:r>
      <w:r w:rsidRPr="003C6F44">
        <w:rPr>
          <w:spacing w:val="-2"/>
        </w:rPr>
        <w:t xml:space="preserve">is minimal </w:t>
      </w:r>
      <w:r w:rsidR="0018122D" w:rsidRPr="003C6F44">
        <w:rPr>
          <w:rFonts w:ascii="Arial" w:hAnsi="Arial" w:cs="Arial"/>
          <w:szCs w:val="24"/>
        </w:rPr>
        <w:t>(PC 2015, p. 9)</w:t>
      </w:r>
      <w:r w:rsidRPr="003C6F44">
        <w:rPr>
          <w:spacing w:val="-2"/>
        </w:rPr>
        <w:t>. This facilitates social and economic participation.</w:t>
      </w:r>
    </w:p>
    <w:p w14:paraId="0F863EF9" w14:textId="5374AE46" w:rsidR="00FD7F31" w:rsidRPr="003C6F44" w:rsidRDefault="00FD7F31" w:rsidP="00FD7F31">
      <w:pPr>
        <w:pStyle w:val="BodyText"/>
      </w:pPr>
      <w:r w:rsidRPr="003C6F44">
        <w:t>But</w:t>
      </w:r>
      <w:r w:rsidR="00F43465">
        <w:t xml:space="preserve"> </w:t>
      </w:r>
      <w:r w:rsidRPr="003C6F44">
        <w:t>CRA falls short on principles of sufficiency and fairness.</w:t>
      </w:r>
    </w:p>
    <w:p w14:paraId="1795E274" w14:textId="77777777" w:rsidR="00BA3AD3" w:rsidRPr="003C6F44" w:rsidRDefault="00BA3AD3" w:rsidP="00BA3AD3">
      <w:pPr>
        <w:pStyle w:val="ListBullet"/>
      </w:pPr>
      <w:r w:rsidRPr="003C6F44">
        <w:t xml:space="preserve">Many CRA recipients experience high rent burdens and have little income left to afford other essentials after paying for rent. </w:t>
      </w:r>
    </w:p>
    <w:p w14:paraId="6C1D4651" w14:textId="77777777" w:rsidR="00BA3AD3" w:rsidRPr="003C6F44" w:rsidRDefault="00BA3AD3" w:rsidP="00BA3AD3">
      <w:pPr>
        <w:pStyle w:val="ListBullet"/>
      </w:pPr>
      <w:r w:rsidRPr="003C6F44">
        <w:t xml:space="preserve">The value of the payment has declined over time, relative to rents, reducing its effectiveness. </w:t>
      </w:r>
    </w:p>
    <w:p w14:paraId="49C4A25F" w14:textId="3A1F8AE3" w:rsidR="00BA3AD3" w:rsidRPr="003C6F44" w:rsidRDefault="00BA3AD3" w:rsidP="00BA3AD3">
      <w:pPr>
        <w:pStyle w:val="ListBullet"/>
      </w:pPr>
      <w:r w:rsidRPr="003C6F44">
        <w:t>Some relatively well</w:t>
      </w:r>
      <w:r w:rsidRPr="003C6F44">
        <w:noBreakHyphen/>
        <w:t>off households, whose rent payments appear affordable, receive the payment.</w:t>
      </w:r>
    </w:p>
    <w:p w14:paraId="68DB6BDD" w14:textId="15607E97" w:rsidR="006359BD" w:rsidRPr="003C6F44" w:rsidRDefault="00C97E07" w:rsidP="00FB6399">
      <w:pPr>
        <w:pStyle w:val="BodyText"/>
      </w:pPr>
      <w:r w:rsidRPr="003C6F44">
        <w:lastRenderedPageBreak/>
        <w:t xml:space="preserve">In the review of the NHHA, the Commission recommended </w:t>
      </w:r>
      <w:r w:rsidR="00885F71" w:rsidRPr="003C6F44">
        <w:t xml:space="preserve">the </w:t>
      </w:r>
      <w:r w:rsidR="00092CF4" w:rsidRPr="003C6F44">
        <w:t>Australian Government review CRA</w:t>
      </w:r>
      <w:r w:rsidR="00885F71" w:rsidRPr="003C6F44">
        <w:t xml:space="preserve"> and </w:t>
      </w:r>
      <w:r w:rsidR="00092CF4" w:rsidRPr="003C6F44">
        <w:t>assess all aspects of the design of the payment (including minimum and maximum rent thresholds, the co</w:t>
      </w:r>
      <w:r w:rsidR="00092CF4" w:rsidRPr="003C6F44">
        <w:noBreakHyphen/>
        <w:t xml:space="preserve">payment rate, indexation, income tapering and eligibility), with the aim of improving the sufficiency, fairness, and effectiveness of </w:t>
      </w:r>
      <w:r w:rsidR="00A77A65" w:rsidRPr="003C6F44">
        <w:t>CRA</w:t>
      </w:r>
      <w:r w:rsidR="00092CF4" w:rsidRPr="003C6F44">
        <w:t xml:space="preserve">. </w:t>
      </w:r>
      <w:r w:rsidR="00507E92">
        <w:t>More detail on o</w:t>
      </w:r>
      <w:r w:rsidR="0018375B" w:rsidRPr="003C6F44">
        <w:t xml:space="preserve">ptions for reforming CRA </w:t>
      </w:r>
      <w:r w:rsidR="00A77A65" w:rsidRPr="003C6F44">
        <w:t>can be found</w:t>
      </w:r>
      <w:r w:rsidR="0018375B" w:rsidRPr="003C6F44">
        <w:t xml:space="preserve"> in chapter 9 of the </w:t>
      </w:r>
      <w:r w:rsidR="005A6DA6" w:rsidRPr="003C6F44">
        <w:t>Commission’s r</w:t>
      </w:r>
      <w:r w:rsidR="0018375B" w:rsidRPr="003C6F44">
        <w:t xml:space="preserve">eview of the NHHA </w:t>
      </w:r>
      <w:r w:rsidR="005A6DA6" w:rsidRPr="003C6F44">
        <w:rPr>
          <w:rFonts w:ascii="Arial" w:hAnsi="Arial" w:cs="Arial"/>
          <w:szCs w:val="24"/>
        </w:rPr>
        <w:t>(PC 2022)</w:t>
      </w:r>
      <w:r w:rsidR="00B25364" w:rsidRPr="003C6F44">
        <w:t>.</w:t>
      </w:r>
      <w:r w:rsidR="006D376B">
        <w:rPr>
          <w:rStyle w:val="FootnoteReference"/>
        </w:rPr>
        <w:footnoteReference w:id="11"/>
      </w:r>
    </w:p>
    <w:p w14:paraId="682550C9" w14:textId="7B46273E" w:rsidR="003A6860" w:rsidRPr="00C86394" w:rsidRDefault="00BB0BCF" w:rsidP="00C86394">
      <w:pPr>
        <w:pStyle w:val="Heading2-nonumber"/>
      </w:pPr>
      <w:bookmarkStart w:id="32" w:name="_Toc142048585"/>
      <w:bookmarkStart w:id="33" w:name="_Toc142050417"/>
      <w:bookmarkStart w:id="34" w:name="_Toc142050484"/>
      <w:bookmarkStart w:id="35" w:name="_Toc142050588"/>
      <w:bookmarkStart w:id="36" w:name="_Toc142050618"/>
      <w:r>
        <w:t>5</w:t>
      </w:r>
      <w:r w:rsidR="00C86394">
        <w:t>.</w:t>
      </w:r>
      <w:r w:rsidR="00C86394">
        <w:tab/>
      </w:r>
      <w:r w:rsidR="003A6860" w:rsidRPr="00C86394">
        <w:t>Tenancy laws and tenancy support</w:t>
      </w:r>
      <w:r w:rsidR="00B95579" w:rsidRPr="00C86394">
        <w:t xml:space="preserve"> services</w:t>
      </w:r>
      <w:bookmarkEnd w:id="32"/>
      <w:bookmarkEnd w:id="33"/>
      <w:bookmarkEnd w:id="34"/>
      <w:bookmarkEnd w:id="35"/>
      <w:bookmarkEnd w:id="36"/>
    </w:p>
    <w:p w14:paraId="0014CBA2" w14:textId="35609F31" w:rsidR="00247071" w:rsidRDefault="00437D5A" w:rsidP="00437D5A">
      <w:pPr>
        <w:pStyle w:val="BodyText"/>
      </w:pPr>
      <w:r>
        <w:t>Residential tenancy laws and tenancy support services are important complements to affordability and supply measures to make the private rental market function well. These policies and programs aim to im</w:t>
      </w:r>
      <w:r w:rsidR="00174986">
        <w:t>p</w:t>
      </w:r>
      <w:r>
        <w:t>rove security, safety and accessibility for renters</w:t>
      </w:r>
      <w:r w:rsidR="001C3040">
        <w:t>.</w:t>
      </w:r>
      <w:r w:rsidR="00E80532">
        <w:rPr>
          <w:rStyle w:val="FootnoteReference"/>
        </w:rPr>
        <w:footnoteReference w:id="12"/>
      </w:r>
      <w:r w:rsidR="005C6726">
        <w:t xml:space="preserve"> </w:t>
      </w:r>
    </w:p>
    <w:p w14:paraId="31249850" w14:textId="62437531" w:rsidR="00824DE8" w:rsidRPr="003C6F44" w:rsidRDefault="00824DE8" w:rsidP="00BB0BCF">
      <w:pPr>
        <w:pStyle w:val="Heading3"/>
      </w:pPr>
      <w:bookmarkStart w:id="37" w:name="_Toc142050589"/>
      <w:r w:rsidRPr="003C6F44">
        <w:t>Reforming tenancy laws</w:t>
      </w:r>
      <w:bookmarkEnd w:id="37"/>
    </w:p>
    <w:p w14:paraId="2368770D" w14:textId="394983A7" w:rsidR="00824DE8" w:rsidRPr="003C6F44" w:rsidRDefault="00824DE8" w:rsidP="00824DE8">
      <w:pPr>
        <w:pStyle w:val="BodyText"/>
      </w:pPr>
      <w:r w:rsidRPr="003C6F44">
        <w:t>Several jurisdictions refer to residential tenancy legislation reform processes in their housing strategies</w:t>
      </w:r>
      <w:r w:rsidR="00362218" w:rsidRPr="003C6F44">
        <w:t xml:space="preserve">. </w:t>
      </w:r>
      <w:r w:rsidRPr="003C6F44">
        <w:t>These legislative changes have generally provided for greater security of tenure, renter autonomy and minimum standards for rental dwellings</w:t>
      </w:r>
      <w:r w:rsidR="0018122D" w:rsidRPr="003C6F44">
        <w:t xml:space="preserve"> </w:t>
      </w:r>
      <w:r w:rsidR="0018122D" w:rsidRPr="003C6F44">
        <w:rPr>
          <w:rFonts w:ascii="Arial" w:hAnsi="Arial" w:cs="Arial"/>
          <w:szCs w:val="24"/>
        </w:rPr>
        <w:t>(Martin 2020)</w:t>
      </w:r>
      <w:r w:rsidRPr="003C6F44">
        <w:t>. Areas of reform include:</w:t>
      </w:r>
    </w:p>
    <w:p w14:paraId="79ABF401" w14:textId="536B5983" w:rsidR="00824DE8" w:rsidRPr="003C6F44" w:rsidRDefault="00824DE8" w:rsidP="00824DE8">
      <w:pPr>
        <w:pStyle w:val="ListBullet"/>
      </w:pPr>
      <w:r w:rsidRPr="003C6F44">
        <w:t>removing or limiting without</w:t>
      </w:r>
      <w:r w:rsidRPr="003C6F44">
        <w:noBreakHyphen/>
        <w:t xml:space="preserve">grounds evictions </w:t>
      </w:r>
    </w:p>
    <w:p w14:paraId="54BCB2BD" w14:textId="77777777" w:rsidR="00824DE8" w:rsidRPr="003C6F44" w:rsidRDefault="00824DE8" w:rsidP="00824DE8">
      <w:pPr>
        <w:pStyle w:val="ListBullet"/>
      </w:pPr>
      <w:r w:rsidRPr="003C6F44">
        <w:t>increasing minimum notice periods for evictions</w:t>
      </w:r>
    </w:p>
    <w:p w14:paraId="6621D78C" w14:textId="77777777" w:rsidR="00824DE8" w:rsidRPr="003C6F44" w:rsidRDefault="00824DE8" w:rsidP="00824DE8">
      <w:pPr>
        <w:pStyle w:val="ListBullet"/>
      </w:pPr>
      <w:r w:rsidRPr="003C6F44">
        <w:t>addressing the treatment of renters who experience family and domestic violence</w:t>
      </w:r>
    </w:p>
    <w:p w14:paraId="3B56FC5D" w14:textId="77777777" w:rsidR="00824DE8" w:rsidRPr="008F3B2F" w:rsidRDefault="00824DE8" w:rsidP="00824DE8">
      <w:pPr>
        <w:pStyle w:val="ListBullet"/>
        <w:rPr>
          <w:spacing w:val="-4"/>
        </w:rPr>
      </w:pPr>
      <w:r w:rsidRPr="008F3B2F">
        <w:rPr>
          <w:spacing w:val="-4"/>
        </w:rPr>
        <w:t xml:space="preserve">expanding renters’ rights to have pets or make minor alterations to rental properties (such as hanging pictures) </w:t>
      </w:r>
    </w:p>
    <w:p w14:paraId="131C41D9" w14:textId="77777777" w:rsidR="00824DE8" w:rsidRPr="003C6F44" w:rsidRDefault="00824DE8" w:rsidP="00824DE8">
      <w:pPr>
        <w:pStyle w:val="ListBullet"/>
      </w:pPr>
      <w:r w:rsidRPr="003C6F44">
        <w:t xml:space="preserve">increasing minimum standards in rental properties. </w:t>
      </w:r>
    </w:p>
    <w:p w14:paraId="0C0DB45E" w14:textId="65544EF9" w:rsidR="00824DE8" w:rsidRPr="003C6F44" w:rsidRDefault="00824DE8" w:rsidP="00E63852">
      <w:pPr>
        <w:pStyle w:val="BodyText"/>
      </w:pPr>
      <w:r w:rsidRPr="003C6F44">
        <w:t xml:space="preserve">These changes have costs as well as benefits. Renters benefit from greater security of tenure and safer rental properties. </w:t>
      </w:r>
      <w:r w:rsidR="006866FB">
        <w:t xml:space="preserve">Security of tenure, the safety and quality of rental properties, and the accessibility of the rental market can make a big difference to renters’ experiences and wellbeing. </w:t>
      </w:r>
      <w:r w:rsidRPr="003C6F44">
        <w:t xml:space="preserve">But they also increase costs and risks for landlords, leading to unintended consequences for renters, including higher rents. </w:t>
      </w:r>
    </w:p>
    <w:p w14:paraId="04CD3233" w14:textId="374487E7" w:rsidR="00824DE8" w:rsidRPr="003C6F44" w:rsidRDefault="00824DE8" w:rsidP="00824DE8">
      <w:pPr>
        <w:pStyle w:val="ListBullet"/>
      </w:pPr>
      <w:r w:rsidRPr="003C6F44">
        <w:t xml:space="preserve">More stringent minimum quality standards may increase rents by requiring landlords to spend more to bring properties up to standard, or causing some noncompliant properties to be removed from the rental market entirely </w:t>
      </w:r>
      <w:r w:rsidR="000252A8" w:rsidRPr="003C6F44">
        <w:rPr>
          <w:rFonts w:ascii="Arial" w:hAnsi="Arial" w:cs="Arial"/>
          <w:szCs w:val="24"/>
        </w:rPr>
        <w:t>(Bartram 2019)</w:t>
      </w:r>
      <w:r w:rsidRPr="003C6F44">
        <w:t xml:space="preserve">. Enforcing minimum standards may therefore reduce renters’ choices and ability to trade away nonessential (to them) features in order to save on rent </w:t>
      </w:r>
      <w:r w:rsidR="00872C4A" w:rsidRPr="003C6F44">
        <w:rPr>
          <w:rFonts w:ascii="Arial" w:hAnsi="Arial" w:cs="Arial"/>
          <w:szCs w:val="24"/>
        </w:rPr>
        <w:t>(PC 2019)</w:t>
      </w:r>
      <w:r w:rsidRPr="003C6F44">
        <w:t xml:space="preserve">. </w:t>
      </w:r>
    </w:p>
    <w:p w14:paraId="4F0B7CE8" w14:textId="44FB38CD" w:rsidR="00824DE8" w:rsidRPr="003C6F44" w:rsidRDefault="00824DE8" w:rsidP="00824DE8">
      <w:pPr>
        <w:pStyle w:val="ListBullet"/>
      </w:pPr>
      <w:r w:rsidRPr="003C6F44">
        <w:t>Similarly, rules that reduce landlords’ ability to flexibly manage their properties (such as removing without</w:t>
      </w:r>
      <w:r w:rsidRPr="003C6F44">
        <w:noBreakHyphen/>
        <w:t>grounds evictions or increasing minimum notice periods) may increase the financial costs, and perceived risk, of holding property. This could diminish incentives for investment, reducing the supply of rental properties and increasing rents</w:t>
      </w:r>
      <w:r w:rsidR="00872C4A" w:rsidRPr="003C6F44">
        <w:t xml:space="preserve"> </w:t>
      </w:r>
      <w:r w:rsidR="00CB2741" w:rsidRPr="003C6F44">
        <w:rPr>
          <w:rFonts w:ascii="Arial" w:hAnsi="Arial" w:cs="Arial"/>
          <w:szCs w:val="24"/>
        </w:rPr>
        <w:t>(Abramson 2022; PC 2019)</w:t>
      </w:r>
      <w:r w:rsidRPr="003C6F44">
        <w:t xml:space="preserve">. </w:t>
      </w:r>
    </w:p>
    <w:p w14:paraId="06C3BAD5" w14:textId="448FCFF4" w:rsidR="00824DE8" w:rsidRPr="003C6F44" w:rsidRDefault="00824DE8" w:rsidP="00824DE8">
      <w:pPr>
        <w:pStyle w:val="ListBullet"/>
      </w:pPr>
      <w:r w:rsidRPr="003C6F44">
        <w:t xml:space="preserve">Similarly, rules that reduce landlords’ ability (perceived or actual) to easily evict ‘problematic’ tenants </w:t>
      </w:r>
      <w:r w:rsidR="00CB2741" w:rsidRPr="003C6F44">
        <w:rPr>
          <w:rFonts w:ascii="Arial" w:hAnsi="Arial" w:cs="Arial"/>
          <w:szCs w:val="24"/>
        </w:rPr>
        <w:t>(ACT Government 2022)</w:t>
      </w:r>
      <w:r w:rsidRPr="003C6F44">
        <w:t xml:space="preserve"> may make landlords less willing to rent to tenants they view as higher risk </w:t>
      </w:r>
      <w:r w:rsidR="002A6681" w:rsidRPr="003C6F44">
        <w:t xml:space="preserve">– </w:t>
      </w:r>
      <w:r w:rsidRPr="003C6F44">
        <w:t xml:space="preserve">potentially increasing tenant screening and discrimination in the rental market </w:t>
      </w:r>
      <w:r w:rsidR="008247C9" w:rsidRPr="003C6F44">
        <w:rPr>
          <w:rFonts w:ascii="Arial" w:hAnsi="Arial" w:cs="Arial"/>
          <w:szCs w:val="24"/>
        </w:rPr>
        <w:t>(Ambrose and Diop 2021)</w:t>
      </w:r>
      <w:r w:rsidRPr="003C6F44">
        <w:t>.</w:t>
      </w:r>
    </w:p>
    <w:p w14:paraId="713DA5B4" w14:textId="77777777" w:rsidR="00B44B9B" w:rsidRPr="003C6F44" w:rsidRDefault="00824DE8" w:rsidP="00824DE8">
      <w:pPr>
        <w:pStyle w:val="BodyText"/>
      </w:pPr>
      <w:r w:rsidRPr="003C6F44">
        <w:lastRenderedPageBreak/>
        <w:t>A lack of high</w:t>
      </w:r>
      <w:r w:rsidRPr="003C6F44">
        <w:noBreakHyphen/>
        <w:t>quality evidence makes it difficult for jurisdictions considering future reform to make an accurate assessment of these costs and benefits.</w:t>
      </w:r>
      <w:r w:rsidRPr="00B45CCE">
        <w:rPr>
          <w:rStyle w:val="FootnoteReference"/>
        </w:rPr>
        <w:footnoteReference w:id="13"/>
      </w:r>
      <w:r w:rsidRPr="003C6F44">
        <w:t xml:space="preserve"> </w:t>
      </w:r>
    </w:p>
    <w:p w14:paraId="1DE33C19" w14:textId="74296ACA" w:rsidR="00824DE8" w:rsidRPr="00B47419" w:rsidRDefault="00D5307A" w:rsidP="00824DE8">
      <w:pPr>
        <w:pStyle w:val="BodyText"/>
        <w:rPr>
          <w:spacing w:val="2"/>
        </w:rPr>
      </w:pPr>
      <w:r w:rsidRPr="00B47419">
        <w:rPr>
          <w:spacing w:val="2"/>
        </w:rPr>
        <w:t>In the review of the NHHA, t</w:t>
      </w:r>
      <w:r w:rsidR="00824DE8" w:rsidRPr="00B47419">
        <w:rPr>
          <w:spacing w:val="2"/>
        </w:rPr>
        <w:t xml:space="preserve">he Commission recommended </w:t>
      </w:r>
      <w:r w:rsidR="00512C10" w:rsidRPr="00B47419">
        <w:rPr>
          <w:spacing w:val="2"/>
        </w:rPr>
        <w:t xml:space="preserve">a </w:t>
      </w:r>
      <w:r w:rsidR="00824DE8" w:rsidRPr="00B47419">
        <w:rPr>
          <w:spacing w:val="2"/>
        </w:rPr>
        <w:t xml:space="preserve">‘what works’ centre </w:t>
      </w:r>
      <w:r w:rsidR="008D12A6" w:rsidRPr="00B47419">
        <w:rPr>
          <w:spacing w:val="2"/>
        </w:rPr>
        <w:t xml:space="preserve">to </w:t>
      </w:r>
      <w:r w:rsidR="00824DE8" w:rsidRPr="00B47419">
        <w:rPr>
          <w:spacing w:val="2"/>
        </w:rPr>
        <w:t>help to build and share the evidence base across jurisdictions. For example, evaluations of the removal of without</w:t>
      </w:r>
      <w:r w:rsidR="00824DE8" w:rsidRPr="00B47419">
        <w:rPr>
          <w:spacing w:val="2"/>
        </w:rPr>
        <w:noBreakHyphen/>
        <w:t>grounds evictions in Victoria or Queensland provide an opportunity to learn more about the effect of this change on outcomes for renters.</w:t>
      </w:r>
    </w:p>
    <w:p w14:paraId="49D3F928" w14:textId="77777777" w:rsidR="007C395B" w:rsidRDefault="007C395B" w:rsidP="00BB0BCF">
      <w:pPr>
        <w:pStyle w:val="Heading3"/>
      </w:pPr>
      <w:bookmarkStart w:id="38" w:name="_Toc142050590"/>
      <w:r>
        <w:t>Policies that improve affordability will also improve security, quality and accessibility</w:t>
      </w:r>
      <w:bookmarkEnd w:id="38"/>
    </w:p>
    <w:p w14:paraId="640A4AE5" w14:textId="77777777" w:rsidR="007C395B" w:rsidRDefault="007C395B" w:rsidP="007C395B">
      <w:pPr>
        <w:pStyle w:val="BodyText"/>
      </w:pPr>
      <w:r>
        <w:t>When vacancy rates are low and renters have few options in the private rental market, they have less bargaining power with landlords. This compounds issues of security, safety and accessibility for renters, and can undermine the effectiveness of tenancy reform by reducing renters’ ability to enforce their rights.</w:t>
      </w:r>
      <w:r w:rsidRPr="00B45CCE">
        <w:rPr>
          <w:rStyle w:val="FootnoteReference"/>
        </w:rPr>
        <w:footnoteReference w:id="14"/>
      </w:r>
      <w:r>
        <w:t xml:space="preserve"> </w:t>
      </w:r>
    </w:p>
    <w:p w14:paraId="79E82B73" w14:textId="77777777" w:rsidR="007C395B" w:rsidRDefault="007C395B" w:rsidP="007C395B">
      <w:pPr>
        <w:pStyle w:val="ListBullet"/>
      </w:pPr>
      <w:r>
        <w:t xml:space="preserve">The threat of eviction looms larger when vacancy rates are low, as renters have more cause to fear that they will not be easily able to find another home that meets their needs. This increases the costs and stress of insecure tenure, and means that renters may be less willing to enforce rights, such as asking for essential repairs. </w:t>
      </w:r>
    </w:p>
    <w:p w14:paraId="5AD7C912" w14:textId="312AD594" w:rsidR="007C395B" w:rsidRDefault="007C395B" w:rsidP="007C395B">
      <w:pPr>
        <w:pStyle w:val="ListBullet"/>
      </w:pPr>
      <w:r>
        <w:t xml:space="preserve">Property owners have less incentive to offer characteristics that renters desire — such as longer leases or improved dwelling quality — when they can easily rent out properties on their own terms </w:t>
      </w:r>
      <w:r w:rsidR="00A8728B" w:rsidRPr="0005178B">
        <w:rPr>
          <w:rFonts w:ascii="Arial" w:hAnsi="Arial" w:cs="Arial"/>
          <w:szCs w:val="24"/>
        </w:rPr>
        <w:t>(Hinchliffe 2022)</w:t>
      </w:r>
      <w:r>
        <w:t xml:space="preserve">. </w:t>
      </w:r>
    </w:p>
    <w:p w14:paraId="23499FC4" w14:textId="21B3718B" w:rsidR="007C395B" w:rsidRPr="00B47419" w:rsidRDefault="007C395B" w:rsidP="007C395B">
      <w:pPr>
        <w:pStyle w:val="ListBullet"/>
        <w:rPr>
          <w:spacing w:val="-4"/>
        </w:rPr>
      </w:pPr>
      <w:r w:rsidRPr="00B47419">
        <w:rPr>
          <w:spacing w:val="-4"/>
        </w:rPr>
        <w:t xml:space="preserve">When vacancy rates are low and there are many applications for every available property, property owners can afford to be selective, and may be less likely to accept low-income renters or other renters whom they perceive to be less desirable tenants </w:t>
      </w:r>
      <w:r w:rsidR="00C6116C" w:rsidRPr="00B47419">
        <w:rPr>
          <w:rFonts w:cs="Arial"/>
          <w:spacing w:val="-4"/>
          <w:szCs w:val="24"/>
        </w:rPr>
        <w:t>(Hanson and Hawley 2014; Reosti 2020; Short et al. 2008, p. 3)</w:t>
      </w:r>
      <w:r w:rsidRPr="00B47419">
        <w:rPr>
          <w:spacing w:val="-4"/>
        </w:rPr>
        <w:t>.</w:t>
      </w:r>
    </w:p>
    <w:p w14:paraId="5A82EF14" w14:textId="77777777" w:rsidR="007C395B" w:rsidRDefault="007C395B" w:rsidP="007C395B">
      <w:pPr>
        <w:pStyle w:val="BodyText"/>
      </w:pPr>
      <w:r>
        <w:t xml:space="preserve">This means that improving private rental affordability — increasing the supply of rental properties and reforming CRA — will also improve the security, quality and accessibility of the private rental market. </w:t>
      </w:r>
    </w:p>
    <w:p w14:paraId="02F0FBD3" w14:textId="77DF3EC8" w:rsidR="00193D71" w:rsidRPr="003C6F44" w:rsidRDefault="00193D71" w:rsidP="00BB0BCF">
      <w:pPr>
        <w:pStyle w:val="Heading3"/>
      </w:pPr>
      <w:bookmarkStart w:id="39" w:name="_Toc142050591"/>
      <w:r w:rsidRPr="003C6F44">
        <w:t>Private rental assistance and tenancy support services can help people who need extra assistance</w:t>
      </w:r>
      <w:bookmarkEnd w:id="39"/>
    </w:p>
    <w:p w14:paraId="71F98F36" w14:textId="77777777" w:rsidR="00193D71" w:rsidRPr="003C6F44" w:rsidRDefault="00193D71" w:rsidP="00193D71">
      <w:pPr>
        <w:pStyle w:val="BodyText"/>
      </w:pPr>
      <w:r w:rsidRPr="003C6F44">
        <w:t xml:space="preserve">Some renters need additional support to find and maintain private rental accommodation. </w:t>
      </w:r>
    </w:p>
    <w:p w14:paraId="0DF8085A" w14:textId="009514EF" w:rsidR="00193D71" w:rsidRPr="003C6F44" w:rsidRDefault="00193D71" w:rsidP="00193D71">
      <w:pPr>
        <w:pStyle w:val="BodyText"/>
        <w:rPr>
          <w:spacing w:val="-4"/>
        </w:rPr>
      </w:pPr>
      <w:r w:rsidRPr="003C6F44">
        <w:rPr>
          <w:spacing w:val="-4"/>
        </w:rPr>
        <w:t xml:space="preserve">State and Territory Governments provide assistance for private renters, including bond loans and grants for rent in </w:t>
      </w:r>
      <w:r w:rsidRPr="003C6F44">
        <w:t>advance, rent arrears or other costs. In 2020</w:t>
      </w:r>
      <w:r w:rsidRPr="003C6F44">
        <w:noBreakHyphen/>
        <w:t>21, 46 464 households received a bond loan, and 23 702 households received a one</w:t>
      </w:r>
      <w:r w:rsidRPr="003C6F44">
        <w:noBreakHyphen/>
        <w:t>off rental grant, at a cost of $57 million and $12 million, respectively</w:t>
      </w:r>
      <w:r w:rsidRPr="003C6F44">
        <w:rPr>
          <w:spacing w:val="-4"/>
        </w:rPr>
        <w:t xml:space="preserve"> </w:t>
      </w:r>
      <w:r w:rsidR="00DA33FB" w:rsidRPr="003C6F44">
        <w:rPr>
          <w:rFonts w:ascii="Arial" w:hAnsi="Arial" w:cs="Arial"/>
          <w:szCs w:val="24"/>
        </w:rPr>
        <w:t>(AIHW 2022)</w:t>
      </w:r>
      <w:r w:rsidR="00DA33FB" w:rsidRPr="003C6F44">
        <w:t>.</w:t>
      </w:r>
      <w:r w:rsidRPr="003C6F44">
        <w:t xml:space="preserve"> </w:t>
      </w:r>
      <w:r w:rsidRPr="003C6F44">
        <w:rPr>
          <w:spacing w:val="-4"/>
        </w:rPr>
        <w:t>Private rental assistance helps renters overcome the upfront costs of renting, although this type of limited, one</w:t>
      </w:r>
      <w:r w:rsidRPr="003C6F44">
        <w:rPr>
          <w:spacing w:val="-4"/>
        </w:rPr>
        <w:noBreakHyphen/>
        <w:t>off assistance may be less effective when rental markets are very competitive.</w:t>
      </w:r>
    </w:p>
    <w:p w14:paraId="7F65274E" w14:textId="5729170A" w:rsidR="00193D71" w:rsidRPr="000478B4" w:rsidRDefault="00193D71" w:rsidP="00193D71">
      <w:pPr>
        <w:pStyle w:val="NoSpacing"/>
        <w:rPr>
          <w:spacing w:val="-2"/>
        </w:rPr>
      </w:pPr>
      <w:r w:rsidRPr="000478B4">
        <w:rPr>
          <w:spacing w:val="-2"/>
        </w:rPr>
        <w:t>Tenancy support services, also known as private rental brokerage services, help renters who face challenges finding or sustaining a private rental tenancy. They typically provide assistance searching and applying for properties, one</w:t>
      </w:r>
      <w:r w:rsidRPr="000478B4">
        <w:rPr>
          <w:spacing w:val="-2"/>
        </w:rPr>
        <w:noBreakHyphen/>
        <w:t xml:space="preserve">off grants for moving or other costs, and links to other support services </w:t>
      </w:r>
      <w:r w:rsidR="00DA33FB" w:rsidRPr="000478B4">
        <w:rPr>
          <w:rFonts w:cs="Arial"/>
          <w:spacing w:val="-2"/>
          <w:szCs w:val="24"/>
        </w:rPr>
        <w:t>(Tually et al. 2016)</w:t>
      </w:r>
      <w:r w:rsidRPr="000478B4">
        <w:rPr>
          <w:spacing w:val="-2"/>
        </w:rPr>
        <w:t>. They can be provided by government agencies or non</w:t>
      </w:r>
      <w:r w:rsidRPr="000478B4">
        <w:rPr>
          <w:spacing w:val="-2"/>
        </w:rPr>
        <w:noBreakHyphen/>
        <w:t xml:space="preserve">government organisations, and are usually funded, on a </w:t>
      </w:r>
      <w:r w:rsidRPr="000478B4">
        <w:rPr>
          <w:spacing w:val="-2"/>
        </w:rPr>
        <w:lastRenderedPageBreak/>
        <w:t>small scale, by State and Territory Governments. These services form part of many jurisdictions’ housing strategies</w:t>
      </w:r>
      <w:r w:rsidR="00C55E3B" w:rsidRPr="000478B4">
        <w:rPr>
          <w:spacing w:val="-2"/>
        </w:rPr>
        <w:t xml:space="preserve"> </w:t>
      </w:r>
      <w:r w:rsidR="00050E95" w:rsidRPr="000478B4">
        <w:rPr>
          <w:rFonts w:cs="Arial"/>
          <w:spacing w:val="-2"/>
          <w:szCs w:val="24"/>
        </w:rPr>
        <w:t>(NSW Government 2016; Tasmanian Government 2015; Victorian Government 2011)</w:t>
      </w:r>
      <w:r w:rsidRPr="000478B4">
        <w:rPr>
          <w:spacing w:val="-2"/>
        </w:rPr>
        <w:t>.</w:t>
      </w:r>
    </w:p>
    <w:p w14:paraId="24D5A8FE" w14:textId="1D361EAE" w:rsidR="00792FA8" w:rsidRPr="003C6F44" w:rsidRDefault="00792FA8" w:rsidP="00792FA8">
      <w:pPr>
        <w:pStyle w:val="BodyText"/>
      </w:pPr>
      <w:r w:rsidRPr="003C6F44">
        <w:t xml:space="preserve">Tenancy support services can be effective in helping renters obtain and sustain a tenancy </w:t>
      </w:r>
      <w:r w:rsidR="00865A44" w:rsidRPr="003C6F44">
        <w:rPr>
          <w:rFonts w:ascii="Arial" w:hAnsi="Arial" w:cs="Arial"/>
          <w:szCs w:val="24"/>
        </w:rPr>
        <w:t>(ARTD Consultants 2013; Robyn Kennedy Consultants 2013; Tually et al. 2016)</w:t>
      </w:r>
      <w:r w:rsidRPr="003C6F44">
        <w:t>. An evaluation of one program in Victoria found that about 80</w:t>
      </w:r>
      <w:r w:rsidR="002A6681" w:rsidRPr="003C6F44">
        <w:t>%</w:t>
      </w:r>
      <w:r w:rsidRPr="003C6F44">
        <w:t xml:space="preserve"> of clients had maintained their housing and avoided homelessness for two years after engaging with the program </w:t>
      </w:r>
      <w:r w:rsidR="000C4D40" w:rsidRPr="003C6F44">
        <w:rPr>
          <w:rFonts w:ascii="Arial" w:hAnsi="Arial" w:cs="Arial"/>
          <w:szCs w:val="24"/>
        </w:rPr>
        <w:t>(Watson, Johnson and Taylor 2020)</w:t>
      </w:r>
      <w:r w:rsidRPr="003C6F44">
        <w:t xml:space="preserve">. Another program that aimed to assist young people experiencing homelessness was successful in providing clients with a rental history, allowing them to secure other rentals in the future </w:t>
      </w:r>
      <w:r w:rsidR="000C4D40" w:rsidRPr="003C6F44">
        <w:rPr>
          <w:rFonts w:ascii="Arial" w:hAnsi="Arial" w:cs="Arial"/>
          <w:szCs w:val="24"/>
        </w:rPr>
        <w:t>(Gill, Ooi and Chiodo 2018)</w:t>
      </w:r>
      <w:r w:rsidRPr="003C6F44">
        <w:t xml:space="preserve">. </w:t>
      </w:r>
    </w:p>
    <w:p w14:paraId="42ACF2A5" w14:textId="1BC34E76" w:rsidR="00873C8D" w:rsidRPr="003C6F44" w:rsidRDefault="00873C8D" w:rsidP="00792FA8">
      <w:pPr>
        <w:pStyle w:val="BodyText"/>
      </w:pPr>
      <w:r w:rsidRPr="003C6F44">
        <w:t xml:space="preserve">Expanding these services could help more people find and sustain private rental tenancies and reduce evictions </w:t>
      </w:r>
      <w:r w:rsidR="00197317" w:rsidRPr="00197317">
        <w:rPr>
          <w:rFonts w:ascii="Arial" w:hAnsi="Arial" w:cs="Arial"/>
          <w:szCs w:val="24"/>
        </w:rPr>
        <w:t>(PC 2020, pp. 980–981)</w:t>
      </w:r>
      <w:r w:rsidRPr="003C6F44">
        <w:t>. There is evidence of unmet demand for these services. In 2020</w:t>
      </w:r>
      <w:r w:rsidRPr="003C6F44">
        <w:noBreakHyphen/>
        <w:t>21, 15</w:t>
      </w:r>
      <w:r w:rsidR="002A6681" w:rsidRPr="003C6F44">
        <w:t>%</w:t>
      </w:r>
      <w:r w:rsidRPr="003C6F44">
        <w:t xml:space="preserve"> of clients who presented to a specialist homelessness service provider seeking assistance to sustain housing tenure (either social housing or private rental) were turned away</w:t>
      </w:r>
      <w:r w:rsidR="00DE7F57" w:rsidRPr="003C6F44">
        <w:t xml:space="preserve"> </w:t>
      </w:r>
      <w:r w:rsidR="00DE7F57" w:rsidRPr="003C6F44">
        <w:rPr>
          <w:rFonts w:ascii="Arial" w:hAnsi="Arial" w:cs="Arial"/>
          <w:szCs w:val="24"/>
        </w:rPr>
        <w:t>(AIHW 2021)</w:t>
      </w:r>
      <w:r w:rsidRPr="003C6F44">
        <w:t xml:space="preserve">. </w:t>
      </w:r>
    </w:p>
    <w:p w14:paraId="3B9168DF" w14:textId="48B9E860" w:rsidR="005D32FC" w:rsidRPr="003C6F44" w:rsidRDefault="005D32FC" w:rsidP="005D32FC">
      <w:pPr>
        <w:pStyle w:val="BodyText"/>
      </w:pPr>
      <w:r w:rsidRPr="003C6F44">
        <w:t>However, a cautious approach to expansion is warranted. There is little evidence available to assess the long</w:t>
      </w:r>
      <w:r w:rsidRPr="003C6F44">
        <w:noBreakHyphen/>
        <w:t>term success, or cost</w:t>
      </w:r>
      <w:r w:rsidRPr="003C6F44">
        <w:noBreakHyphen/>
        <w:t>effectiveness, of these programs, because evaluations do not always track outcomes over time or compare people receiving assistance with a control group who do not receive support.</w:t>
      </w:r>
      <w:r w:rsidRPr="00B45CCE">
        <w:rPr>
          <w:rStyle w:val="FootnoteReference"/>
        </w:rPr>
        <w:footnoteReference w:id="15"/>
      </w:r>
      <w:r w:rsidRPr="003C6F44">
        <w:t xml:space="preserve"> Scaling up might be difficult, because the success of existing programs often depends on local factors, such as how well case managers build relationships with real estate agents, other service providers and the broader community </w:t>
      </w:r>
      <w:r w:rsidR="00A553BB" w:rsidRPr="003C6F44">
        <w:rPr>
          <w:rFonts w:ascii="Arial" w:hAnsi="Arial" w:cs="Arial"/>
          <w:szCs w:val="24"/>
        </w:rPr>
        <w:t>(Blunden and Flanagan 2021; Moskos et al. 2022; Tually et al. 2016)</w:t>
      </w:r>
      <w:r w:rsidRPr="003C6F44">
        <w:t>. And expanding services to a wider group of renters would present new challenges. Existing services typically only provide short</w:t>
      </w:r>
      <w:r w:rsidRPr="003C6F44">
        <w:noBreakHyphen/>
        <w:t xml:space="preserve">term assistance to clients who are ‘rental ready’, without significant underlying financial, mental health, substance use or other challenges </w:t>
      </w:r>
      <w:r w:rsidR="00B50DB5" w:rsidRPr="003C6F44">
        <w:rPr>
          <w:rFonts w:ascii="Arial" w:hAnsi="Arial" w:cs="Arial"/>
          <w:szCs w:val="24"/>
        </w:rPr>
        <w:t>(ARTD Consultants 2013; Gill, Ooi and Chiodo 2018; Tually et al. 2016; Watson, Johnson and Taylor 2020)</w:t>
      </w:r>
      <w:r w:rsidRPr="003C6F44">
        <w:t xml:space="preserve">. While there are examples of tenancy support services that target people with more complex needs </w:t>
      </w:r>
      <w:r w:rsidR="00197317" w:rsidRPr="00197317">
        <w:rPr>
          <w:rFonts w:ascii="Arial" w:hAnsi="Arial" w:cs="Arial"/>
          <w:szCs w:val="24"/>
        </w:rPr>
        <w:t>(PC 2020, p. 988)</w:t>
      </w:r>
      <w:r w:rsidRPr="003C6F44">
        <w:t>, these services might require longer</w:t>
      </w:r>
      <w:r w:rsidRPr="003C6F44">
        <w:noBreakHyphen/>
        <w:t>term follow up, a more skilled workforce and greater links to other services.</w:t>
      </w:r>
    </w:p>
    <w:p w14:paraId="541B6ABB" w14:textId="0F110CB3" w:rsidR="00AE3F48" w:rsidRPr="003C6F44" w:rsidRDefault="005D32FC" w:rsidP="005D32FC">
      <w:pPr>
        <w:pStyle w:val="BodyText"/>
      </w:pPr>
      <w:r w:rsidRPr="003C6F44">
        <w:t xml:space="preserve">Given these challenges, tenancy support services should be expanded gradually, with regular evaluation. </w:t>
      </w:r>
    </w:p>
    <w:p w14:paraId="003275AD" w14:textId="2AD91809" w:rsidR="00FB7440" w:rsidRDefault="00FB7440">
      <w:pPr>
        <w:spacing w:before="0" w:after="160" w:line="259" w:lineRule="auto"/>
      </w:pPr>
      <w:r>
        <w:br w:type="page"/>
      </w:r>
    </w:p>
    <w:p w14:paraId="54D0A130" w14:textId="79FA7CF8" w:rsidR="00A91551" w:rsidRPr="005804FC" w:rsidRDefault="00191B7D" w:rsidP="005804FC">
      <w:pPr>
        <w:pStyle w:val="Heading2-nonumber"/>
      </w:pPr>
      <w:bookmarkStart w:id="40" w:name="_Toc142048586"/>
      <w:bookmarkStart w:id="41" w:name="_Toc142050418"/>
      <w:bookmarkStart w:id="42" w:name="_Toc142050485"/>
      <w:bookmarkStart w:id="43" w:name="_Toc142050592"/>
      <w:bookmarkStart w:id="44" w:name="_Toc142050619"/>
      <w:r w:rsidRPr="005804FC">
        <w:lastRenderedPageBreak/>
        <w:t>R</w:t>
      </w:r>
      <w:r w:rsidR="00A91551" w:rsidRPr="005804FC">
        <w:t>eference</w:t>
      </w:r>
      <w:r w:rsidRPr="005804FC">
        <w:t>s</w:t>
      </w:r>
      <w:bookmarkEnd w:id="40"/>
      <w:bookmarkEnd w:id="41"/>
      <w:bookmarkEnd w:id="42"/>
      <w:bookmarkEnd w:id="43"/>
      <w:bookmarkEnd w:id="44"/>
    </w:p>
    <w:p w14:paraId="388D8719" w14:textId="77777777" w:rsidR="005430F2" w:rsidRDefault="005430F2" w:rsidP="005430F2">
      <w:pPr>
        <w:pStyle w:val="Reference"/>
        <w:rPr>
          <w:sz w:val="20"/>
        </w:rPr>
        <w:sectPr w:rsidR="005430F2" w:rsidSect="00547A7F">
          <w:headerReference w:type="even" r:id="rId30"/>
          <w:headerReference w:type="default" r:id="rId31"/>
          <w:footerReference w:type="even" r:id="rId32"/>
          <w:footerReference w:type="default" r:id="rId33"/>
          <w:type w:val="continuous"/>
          <w:pgSz w:w="11906" w:h="16838" w:code="9"/>
          <w:pgMar w:top="1134" w:right="1134" w:bottom="1134" w:left="1134" w:header="794" w:footer="510" w:gutter="0"/>
          <w:cols w:space="708"/>
          <w:docGrid w:linePitch="360"/>
        </w:sectPr>
      </w:pPr>
    </w:p>
    <w:p w14:paraId="1A0A3727" w14:textId="35F57FD9" w:rsidR="00D45816" w:rsidRDefault="00D45816" w:rsidP="005430F2">
      <w:pPr>
        <w:pStyle w:val="Reference"/>
      </w:pPr>
      <w:r>
        <w:t xml:space="preserve">Abramson, B. 2022, </w:t>
      </w:r>
      <w:r>
        <w:rPr>
          <w:i/>
          <w:iCs/>
        </w:rPr>
        <w:t>The welfare effects of eviction and homelessness policies</w:t>
      </w:r>
      <w:r>
        <w:t>, 17 July, Stanford University.</w:t>
      </w:r>
    </w:p>
    <w:p w14:paraId="14F28779" w14:textId="77777777" w:rsidR="00D45816" w:rsidRDefault="00D45816" w:rsidP="005430F2">
      <w:pPr>
        <w:pStyle w:val="Reference"/>
      </w:pPr>
      <w:r>
        <w:t xml:space="preserve">ABS (Australian Bureau of Statistics) 2002, </w:t>
      </w:r>
      <w:r>
        <w:rPr>
          <w:i/>
          <w:iCs/>
        </w:rPr>
        <w:t>2001 Census Community Profiles, Australia</w:t>
      </w:r>
      <w:r>
        <w:t>, Cat. No. 2001.0, Canberra.</w:t>
      </w:r>
    </w:p>
    <w:p w14:paraId="3743D831" w14:textId="321AAD8D" w:rsidR="00D45816" w:rsidRDefault="00D45816" w:rsidP="005430F2">
      <w:pPr>
        <w:pStyle w:val="Reference"/>
      </w:pPr>
      <w:r>
        <w:t>——</w:t>
      </w:r>
      <w:r w:rsidR="00B47419">
        <w:t> </w:t>
      </w:r>
      <w:r>
        <w:t xml:space="preserve">2022, </w:t>
      </w:r>
      <w:r>
        <w:rPr>
          <w:i/>
          <w:iCs/>
        </w:rPr>
        <w:t>Housing: Census, 2021</w:t>
      </w:r>
      <w:r>
        <w:t>, https://www.abs.gov.au/statistics/people/housing/housing-census/latest-release (accessed 9 August 2022).</w:t>
      </w:r>
    </w:p>
    <w:p w14:paraId="40C9A239" w14:textId="77777777" w:rsidR="00D45816" w:rsidRDefault="00D45816" w:rsidP="005430F2">
      <w:pPr>
        <w:pStyle w:val="Reference"/>
      </w:pPr>
      <w:r>
        <w:t xml:space="preserve">ACAT (ACT Civil and Administrative Tribunal) 2021, </w:t>
      </w:r>
      <w:r>
        <w:rPr>
          <w:i/>
          <w:iCs/>
        </w:rPr>
        <w:t>Rent increases</w:t>
      </w:r>
      <w:r>
        <w:t>, ACT Law Courts and Tribunal Administration, https://www.acat.act.gov.au/case-types/rental-disputes/rent-increases (accessed 29 August 2022).</w:t>
      </w:r>
    </w:p>
    <w:p w14:paraId="1261370E" w14:textId="77777777" w:rsidR="00D45816" w:rsidRDefault="00D45816" w:rsidP="005430F2">
      <w:pPr>
        <w:pStyle w:val="Reference"/>
      </w:pPr>
      <w:r>
        <w:t xml:space="preserve">ACT Government 2022, </w:t>
      </w:r>
      <w:r>
        <w:rPr>
          <w:i/>
          <w:iCs/>
        </w:rPr>
        <w:t>Improving residential tenancies: Report on what we heard</w:t>
      </w:r>
      <w:r>
        <w:t>, Canberra.</w:t>
      </w:r>
    </w:p>
    <w:p w14:paraId="3689DF77" w14:textId="77777777" w:rsidR="00D45816" w:rsidRDefault="00D45816" w:rsidP="005430F2">
      <w:pPr>
        <w:pStyle w:val="Reference"/>
      </w:pPr>
      <w:r>
        <w:t xml:space="preserve">AIHW (Australian Institute of Health and Welfare) 2021, </w:t>
      </w:r>
      <w:r>
        <w:rPr>
          <w:i/>
          <w:iCs/>
        </w:rPr>
        <w:t>Specialist Homelessness Services Annual Report 2020-21</w:t>
      </w:r>
      <w:r>
        <w:t>, Cat. no. HOU 327, Canberra.</w:t>
      </w:r>
    </w:p>
    <w:p w14:paraId="624EA7BA" w14:textId="1B40736A" w:rsidR="00D45816" w:rsidRPr="00721C11" w:rsidRDefault="00D45816" w:rsidP="005430F2">
      <w:pPr>
        <w:pStyle w:val="Reference"/>
        <w:rPr>
          <w:spacing w:val="-4"/>
        </w:rPr>
      </w:pPr>
      <w:r w:rsidRPr="00721C11">
        <w:rPr>
          <w:spacing w:val="-4"/>
        </w:rPr>
        <w:t>——</w:t>
      </w:r>
      <w:r w:rsidR="00B47419">
        <w:rPr>
          <w:spacing w:val="-4"/>
        </w:rPr>
        <w:t> </w:t>
      </w:r>
      <w:r w:rsidRPr="00721C11">
        <w:rPr>
          <w:spacing w:val="-4"/>
        </w:rPr>
        <w:t xml:space="preserve">2022, </w:t>
      </w:r>
      <w:r w:rsidRPr="00721C11">
        <w:rPr>
          <w:i/>
          <w:iCs/>
          <w:spacing w:val="-4"/>
        </w:rPr>
        <w:t>Housing Assistance in Australia 2022: Financial Assistance</w:t>
      </w:r>
      <w:r w:rsidRPr="00721C11">
        <w:rPr>
          <w:spacing w:val="-4"/>
        </w:rPr>
        <w:t>, 326, Canberra.</w:t>
      </w:r>
    </w:p>
    <w:p w14:paraId="7E85800E" w14:textId="77777777" w:rsidR="00D45816" w:rsidRDefault="00D45816" w:rsidP="005430F2">
      <w:pPr>
        <w:pStyle w:val="Reference"/>
      </w:pPr>
      <w:r>
        <w:t xml:space="preserve">Ambrose, B.W. and Diop, M. 2021, ‘Information asymmetry, regulations and equilibrium outcomes: Theory and evidence from the housing rental market’, Wiley Online Library, </w:t>
      </w:r>
      <w:r>
        <w:rPr>
          <w:i/>
          <w:iCs/>
        </w:rPr>
        <w:t>Real Estate Economics</w:t>
      </w:r>
      <w:r>
        <w:t>, vol. 49, no. S1, pp. 74–110.</w:t>
      </w:r>
    </w:p>
    <w:p w14:paraId="628E9218" w14:textId="77777777" w:rsidR="00D45816" w:rsidRDefault="00D45816" w:rsidP="005430F2">
      <w:pPr>
        <w:pStyle w:val="Reference"/>
      </w:pPr>
      <w:r>
        <w:t>ARTD Consultants 2013, ‘Evaluation of the North Coast Accommodation Project’, p. 108.</w:t>
      </w:r>
    </w:p>
    <w:p w14:paraId="12878A0C" w14:textId="77777777" w:rsidR="00D45816" w:rsidRDefault="00D45816" w:rsidP="005430F2">
      <w:pPr>
        <w:pStyle w:val="Reference"/>
      </w:pPr>
      <w:r>
        <w:t xml:space="preserve">Bartram, R. 2019, ‘The cost of code violations: How building codes shape residential sales prices and rents’, Taylor &amp; Francis, </w:t>
      </w:r>
      <w:r>
        <w:rPr>
          <w:i/>
          <w:iCs/>
        </w:rPr>
        <w:t>Housing Policy Debate</w:t>
      </w:r>
      <w:r>
        <w:t>, vol. 29, no. 6, pp. 931–946.</w:t>
      </w:r>
    </w:p>
    <w:p w14:paraId="74C7B457" w14:textId="77777777" w:rsidR="00D45816" w:rsidRDefault="00D45816" w:rsidP="005430F2">
      <w:pPr>
        <w:pStyle w:val="Reference"/>
      </w:pPr>
      <w:r>
        <w:t xml:space="preserve">Blunden, H. and Flanagan, K. 2021, ‘Housing options for women leaving domestic violence: the limitations of rental subsidy models’, </w:t>
      </w:r>
      <w:r>
        <w:rPr>
          <w:i/>
          <w:iCs/>
        </w:rPr>
        <w:t>Housing Studies</w:t>
      </w:r>
      <w:r>
        <w:t>, Ahead of Print, pp. 1–20.</w:t>
      </w:r>
    </w:p>
    <w:p w14:paraId="2C5E6079" w14:textId="77777777" w:rsidR="00D45816" w:rsidRDefault="00D45816" w:rsidP="005430F2">
      <w:pPr>
        <w:pStyle w:val="Reference"/>
      </w:pPr>
      <w:r>
        <w:t xml:space="preserve">Borrowman, L., Kazakevitch, G. and Frost, L. 2017, ‘How long do households remain in housing affordability stress?’, </w:t>
      </w:r>
      <w:r>
        <w:rPr>
          <w:i/>
          <w:iCs/>
        </w:rPr>
        <w:t>Housing studies</w:t>
      </w:r>
      <w:r>
        <w:t>, vol. 32, no. 7, pp. 869–886.</w:t>
      </w:r>
    </w:p>
    <w:p w14:paraId="3BA7C6F7" w14:textId="77777777" w:rsidR="00D45816" w:rsidRDefault="00D45816" w:rsidP="005430F2">
      <w:pPr>
        <w:pStyle w:val="Reference"/>
      </w:pPr>
      <w:r>
        <w:t xml:space="preserve">Buckle, C. and Phibbs, P. 2021, ‘Challenging the discourse around the impacts of Airbnb through suburbs not cities: Lessons from Australia and COVID-19’, Institute of Sociology, Czech Academy of Sciences, </w:t>
      </w:r>
      <w:r>
        <w:rPr>
          <w:i/>
          <w:iCs/>
        </w:rPr>
        <w:t>Critical Housing Analysis</w:t>
      </w:r>
      <w:r>
        <w:t>, vol. 8, no. 1, pp. 141–149.</w:t>
      </w:r>
    </w:p>
    <w:p w14:paraId="2E88D6BC" w14:textId="77777777" w:rsidR="00D45816" w:rsidRDefault="00D45816" w:rsidP="005430F2">
      <w:pPr>
        <w:pStyle w:val="Reference"/>
      </w:pPr>
      <w:r>
        <w:t xml:space="preserve">Convery, S. 2022, ‘Desperate tenants are turning to crowdfunding to pay for housing amid Australia’s rental crisis’, </w:t>
      </w:r>
      <w:r>
        <w:rPr>
          <w:i/>
          <w:iCs/>
        </w:rPr>
        <w:t>The Guardian</w:t>
      </w:r>
      <w:r>
        <w:t>, 18 May, https://www.theguardian.com/australia-news/2022/may/19/desperate-tenants-are-turning-to-crowdfunding-to-pay-for-housing-amid-australias-rental-crisis (accessed 16 August 2022).</w:t>
      </w:r>
    </w:p>
    <w:p w14:paraId="52A2BE71" w14:textId="77777777" w:rsidR="00D45816" w:rsidRDefault="00D45816" w:rsidP="005430F2">
      <w:pPr>
        <w:pStyle w:val="Reference"/>
      </w:pPr>
      <w:r>
        <w:t xml:space="preserve">Crommelin, L., Troy, L., Martin, C. and Parkinson, S. 2018, </w:t>
      </w:r>
      <w:r>
        <w:rPr>
          <w:i/>
          <w:iCs/>
        </w:rPr>
        <w:t>Technological Disruption in Private Housing the Case of Airbnb</w:t>
      </w:r>
      <w:r>
        <w:t>, 305, AHURI Final Report, Melbourne.</w:t>
      </w:r>
    </w:p>
    <w:p w14:paraId="4870CE37" w14:textId="77777777" w:rsidR="00D45816" w:rsidRDefault="00D45816" w:rsidP="005430F2">
      <w:pPr>
        <w:pStyle w:val="Reference"/>
      </w:pPr>
      <w:r>
        <w:t xml:space="preserve">Curtis, M.A., Corman, H., Noonan, K. and Reichman, N.E. 2013, ‘Life Shocks and Homelessness’, </w:t>
      </w:r>
      <w:r>
        <w:rPr>
          <w:i/>
          <w:iCs/>
        </w:rPr>
        <w:t>Demography</w:t>
      </w:r>
      <w:r>
        <w:t>, vol. 50, no. 6, pp. 2227–2253.</w:t>
      </w:r>
    </w:p>
    <w:p w14:paraId="2AA3F3AA" w14:textId="77777777" w:rsidR="00D45816" w:rsidRPr="00B47419" w:rsidRDefault="00D45816" w:rsidP="005430F2">
      <w:pPr>
        <w:pStyle w:val="Reference"/>
        <w:rPr>
          <w:spacing w:val="-4"/>
        </w:rPr>
      </w:pPr>
      <w:r w:rsidRPr="00B47419">
        <w:rPr>
          <w:spacing w:val="-4"/>
        </w:rPr>
        <w:t xml:space="preserve">Daniel, L., Baker, E. and Lester, L. 2018, ‘Measuring housing affordability stress: can deprivation capture risk made real?’, Taylor &amp; Francis, </w:t>
      </w:r>
      <w:r w:rsidRPr="00B47419">
        <w:rPr>
          <w:i/>
          <w:iCs/>
          <w:spacing w:val="-4"/>
        </w:rPr>
        <w:t>Urban policy and research</w:t>
      </w:r>
      <w:r w:rsidRPr="00B47419">
        <w:rPr>
          <w:spacing w:val="-4"/>
        </w:rPr>
        <w:t>, vol. 36, no. 3, pp. 271–286.</w:t>
      </w:r>
    </w:p>
    <w:p w14:paraId="6EC798DF" w14:textId="77777777" w:rsidR="00D45816" w:rsidRDefault="00D45816" w:rsidP="005430F2">
      <w:pPr>
        <w:pStyle w:val="Reference"/>
      </w:pPr>
      <w:r>
        <w:t xml:space="preserve">De Vries, J., Yanotti, M., Verdouw, J., Jacobs, K. and Flanagan, K. 2021, </w:t>
      </w:r>
      <w:r>
        <w:rPr>
          <w:i/>
          <w:iCs/>
        </w:rPr>
        <w:t>The Tasmanian housing market: update 2020-21</w:t>
      </w:r>
      <w:r>
        <w:t>, Housing and Community Research Unit, University of Tasmania, Hobart.</w:t>
      </w:r>
    </w:p>
    <w:p w14:paraId="7A40943A" w14:textId="77777777" w:rsidR="00D45816" w:rsidRDefault="00D45816" w:rsidP="005430F2">
      <w:pPr>
        <w:pStyle w:val="Reference"/>
      </w:pPr>
      <w:r>
        <w:t xml:space="preserve">Diamond, R., McQuade, T. and Qian, F. 2019, ‘The effects of rent control expansion on tenants, landlords, and inequality: Evidence from San Francisco’, </w:t>
      </w:r>
      <w:r>
        <w:rPr>
          <w:i/>
          <w:iCs/>
        </w:rPr>
        <w:t>American Economic Review</w:t>
      </w:r>
      <w:r>
        <w:t>, vol. 109, no. 9, pp. 3365–3394.</w:t>
      </w:r>
    </w:p>
    <w:p w14:paraId="1A836098" w14:textId="77777777" w:rsidR="00D45816" w:rsidRDefault="00D45816" w:rsidP="005430F2">
      <w:pPr>
        <w:pStyle w:val="Reference"/>
      </w:pPr>
      <w:r>
        <w:t xml:space="preserve">Dodson, J., Li, T., Taylor, E. and Goldie, X. 2020, </w:t>
      </w:r>
      <w:r>
        <w:rPr>
          <w:i/>
          <w:iCs/>
        </w:rPr>
        <w:t>Commuting burden and housing affordability for low-income renters</w:t>
      </w:r>
      <w:r>
        <w:t>, No. 335, AHURI Final Report, Australian Housing and Urban Research Institute, Melbourne.</w:t>
      </w:r>
    </w:p>
    <w:p w14:paraId="3D1D73DF" w14:textId="77777777" w:rsidR="00D45816" w:rsidRDefault="00D45816" w:rsidP="005430F2">
      <w:pPr>
        <w:pStyle w:val="Reference"/>
      </w:pPr>
      <w:r>
        <w:t xml:space="preserve">Dogru, T., Mody, M., Suess, C., McGinley, S. and Line, N.D. 2020, ‘The Airbnb paradox: Positive employment effects in the hospitality industry’, </w:t>
      </w:r>
      <w:r>
        <w:rPr>
          <w:i/>
          <w:iCs/>
        </w:rPr>
        <w:t>Tourism Management</w:t>
      </w:r>
      <w:r>
        <w:t>, vol. 77, p. 104001.</w:t>
      </w:r>
    </w:p>
    <w:p w14:paraId="2DF304E2" w14:textId="77777777" w:rsidR="00D45816" w:rsidRDefault="00D45816" w:rsidP="005430F2">
      <w:pPr>
        <w:pStyle w:val="Reference"/>
      </w:pPr>
      <w:r>
        <w:t xml:space="preserve">DSS (Department of Social Services) 2022, </w:t>
      </w:r>
      <w:r>
        <w:rPr>
          <w:i/>
          <w:iCs/>
        </w:rPr>
        <w:t>DSS Payment Demographic Data: June 2022</w:t>
      </w:r>
      <w:r>
        <w:t>, https://data.gov.au/data/dataset/dss-payment-demographic-data (accessed 28 August 2022).</w:t>
      </w:r>
    </w:p>
    <w:p w14:paraId="5F0F27E5" w14:textId="77777777" w:rsidR="00D45816" w:rsidRDefault="00D45816" w:rsidP="005430F2">
      <w:pPr>
        <w:pStyle w:val="Reference"/>
      </w:pPr>
      <w:r>
        <w:t xml:space="preserve">Eccleston, R., Verdouw, J., Denny, L., Flanagan, K., Glaetzer, S. and Eslake, S. 2018, </w:t>
      </w:r>
      <w:r>
        <w:rPr>
          <w:i/>
          <w:iCs/>
        </w:rPr>
        <w:t>Tasmanian housing update, August 2018</w:t>
      </w:r>
      <w:r>
        <w:t>, University of Tasmania Institute for the Study of Social Change, Hobart.</w:t>
      </w:r>
    </w:p>
    <w:p w14:paraId="6723A400" w14:textId="77777777" w:rsidR="00D45816" w:rsidRDefault="00D45816" w:rsidP="005430F2">
      <w:pPr>
        <w:pStyle w:val="Reference"/>
      </w:pPr>
      <w:r>
        <w:t xml:space="preserve">Fang, B., Ye, Q. and Law, R. 2016, ‘Effect of sharing economy on tourism industry employment.’, Elsevier Ltd, </w:t>
      </w:r>
      <w:r>
        <w:rPr>
          <w:i/>
          <w:iCs/>
        </w:rPr>
        <w:t>Annals of Tourism Research</w:t>
      </w:r>
      <w:r>
        <w:t>, vol. 57, pp. 264–267.</w:t>
      </w:r>
    </w:p>
    <w:p w14:paraId="5D57745B" w14:textId="77777777" w:rsidR="00D45816" w:rsidRDefault="00D45816" w:rsidP="005430F2">
      <w:pPr>
        <w:pStyle w:val="Reference"/>
      </w:pPr>
      <w:r>
        <w:t xml:space="preserve">Farhoodi, A., Khazra, N. and Christensen, P. 2021, </w:t>
      </w:r>
      <w:r>
        <w:rPr>
          <w:i/>
          <w:iCs/>
        </w:rPr>
        <w:t>Does Airbnb Reduce Matching Frictions in the Housing Market?</w:t>
      </w:r>
      <w:r>
        <w:t>, Social Science Research Network.</w:t>
      </w:r>
    </w:p>
    <w:p w14:paraId="7F17B786" w14:textId="77777777" w:rsidR="00D45816" w:rsidRDefault="00D45816" w:rsidP="005430F2">
      <w:pPr>
        <w:pStyle w:val="Reference"/>
      </w:pPr>
      <w:r>
        <w:t xml:space="preserve">Farronato, C. and Fradkin, A. 2022, ‘The Welfare Effects of Peer Entry: The Case of Airbnb and the Accommodation Industry’, </w:t>
      </w:r>
      <w:r>
        <w:rPr>
          <w:i/>
          <w:iCs/>
        </w:rPr>
        <w:t>American Economic Review</w:t>
      </w:r>
      <w:r>
        <w:t>, vol. 112, no. 6, pp. 1782–1817.</w:t>
      </w:r>
    </w:p>
    <w:p w14:paraId="31D69A71" w14:textId="77777777" w:rsidR="00D45816" w:rsidRDefault="00D45816" w:rsidP="005430F2">
      <w:pPr>
        <w:pStyle w:val="Reference"/>
      </w:pPr>
      <w:r>
        <w:t xml:space="preserve">Franco, S.F. and Santos, C.D. 2021, ‘The impact of Airbnb on residential property values and rents: Evidence from Portugal’, Elsevier, </w:t>
      </w:r>
      <w:r>
        <w:rPr>
          <w:i/>
          <w:iCs/>
        </w:rPr>
        <w:t>Regional Science and Urban Economics</w:t>
      </w:r>
      <w:r>
        <w:t>, vol. 88, p. 103667.</w:t>
      </w:r>
    </w:p>
    <w:p w14:paraId="10EFAD55" w14:textId="77777777" w:rsidR="00D45816" w:rsidRDefault="00D45816" w:rsidP="005430F2">
      <w:pPr>
        <w:pStyle w:val="Reference"/>
      </w:pPr>
      <w:r>
        <w:t xml:space="preserve">Gill, P., Ooi, D. and Chiodo, L. 2018, </w:t>
      </w:r>
      <w:r>
        <w:rPr>
          <w:i/>
          <w:iCs/>
        </w:rPr>
        <w:t>Hope to Home Evaluation Report</w:t>
      </w:r>
      <w:r>
        <w:t>, Victoria University, https://vuir.vu.edu.au/36593/1/VU%20Hope%20to%20Home%20Final%20Report%20Final%2022%20August%202018.pdf (accessed 19 August 2022).</w:t>
      </w:r>
    </w:p>
    <w:p w14:paraId="55D945E8" w14:textId="77777777" w:rsidR="00D45816" w:rsidRDefault="00D45816" w:rsidP="005430F2">
      <w:pPr>
        <w:pStyle w:val="Reference"/>
      </w:pPr>
      <w:r>
        <w:t xml:space="preserve">Glaeser, E. and Luttmer, E. 2003, ‘The missallocation of housing under rent control’, </w:t>
      </w:r>
      <w:r>
        <w:rPr>
          <w:i/>
          <w:iCs/>
        </w:rPr>
        <w:t>The American Economic Review</w:t>
      </w:r>
      <w:r>
        <w:t>, vol. 93, no. 4, pp. 1027–1046.</w:t>
      </w:r>
    </w:p>
    <w:p w14:paraId="0B5BBFAF" w14:textId="77777777" w:rsidR="00D45816" w:rsidRDefault="00D45816" w:rsidP="005430F2">
      <w:pPr>
        <w:pStyle w:val="Reference"/>
      </w:pPr>
      <w:r>
        <w:t xml:space="preserve">Goerling, S. 2022, ‘Port Hedland rental properties too expensive for family left homeless in booming mining region’, </w:t>
      </w:r>
      <w:r>
        <w:rPr>
          <w:i/>
          <w:iCs/>
        </w:rPr>
        <w:t>ABC News</w:t>
      </w:r>
      <w:r>
        <w:t>, 5 May, https://www.abc.net.au/news/2022-05-05/family-homeless-port-hedland-expensive-rental-market/101037688 (accessed 16 August 2022).</w:t>
      </w:r>
    </w:p>
    <w:p w14:paraId="59D54D5A" w14:textId="77777777" w:rsidR="00D45816" w:rsidRDefault="00D45816" w:rsidP="005430F2">
      <w:pPr>
        <w:pStyle w:val="Reference"/>
      </w:pPr>
      <w:r>
        <w:t xml:space="preserve">Gomory, H. 2022, ‘The social and institutional contexts underlying landlords’ eviction practices’, </w:t>
      </w:r>
      <w:r>
        <w:rPr>
          <w:i/>
          <w:iCs/>
        </w:rPr>
        <w:t>Social Forces</w:t>
      </w:r>
      <w:r>
        <w:t>, vol. 100, no. 4, pp. 1774–1805.</w:t>
      </w:r>
    </w:p>
    <w:p w14:paraId="6705590C" w14:textId="77777777" w:rsidR="00D45816" w:rsidRDefault="00D45816" w:rsidP="005430F2">
      <w:pPr>
        <w:pStyle w:val="Reference"/>
      </w:pPr>
      <w:r>
        <w:t xml:space="preserve">Greenberg, D., Gershenson, C. and Desmond, M. 2016, ‘Discrimination in evictions: empirical evidence and legal challenges’, HeinOnline, </w:t>
      </w:r>
      <w:r>
        <w:rPr>
          <w:i/>
          <w:iCs/>
        </w:rPr>
        <w:t>Harvard Civil Rights-Civil Liberties Law Review</w:t>
      </w:r>
      <w:r>
        <w:t>, vol. 51, p. 115.</w:t>
      </w:r>
    </w:p>
    <w:p w14:paraId="53361C04" w14:textId="77777777" w:rsidR="00D45816" w:rsidRDefault="00D45816" w:rsidP="005430F2">
      <w:pPr>
        <w:pStyle w:val="Reference"/>
      </w:pPr>
      <w:r>
        <w:t xml:space="preserve">Grimmer, L., Massey, M. and Vorobjovas-Pinta, O. 2018, ‘Airbnb is blamed for Tasmania’s housing affordability problems, but it’s actually helping small businesses’, </w:t>
      </w:r>
      <w:r>
        <w:rPr>
          <w:i/>
          <w:iCs/>
        </w:rPr>
        <w:t>The Conversation</w:t>
      </w:r>
      <w:r>
        <w:t>, 16 February.</w:t>
      </w:r>
    </w:p>
    <w:p w14:paraId="5DDDAC8E" w14:textId="77777777" w:rsidR="00D45816" w:rsidRDefault="00D45816" w:rsidP="005430F2">
      <w:pPr>
        <w:pStyle w:val="Reference"/>
      </w:pPr>
      <w:r>
        <w:t xml:space="preserve">Gurran, N., Zhang, Y., Shrestha, P. and Gilbert, C. 2018, </w:t>
      </w:r>
      <w:r>
        <w:rPr>
          <w:i/>
          <w:iCs/>
        </w:rPr>
        <w:t xml:space="preserve">Planning Responses to Online Short Term Holiday Rental </w:t>
      </w:r>
      <w:r>
        <w:rPr>
          <w:i/>
          <w:iCs/>
        </w:rPr>
        <w:lastRenderedPageBreak/>
        <w:t>Platforms</w:t>
      </w:r>
      <w:r>
        <w:t>, Research Report for the Australian Coastal Councils Association, University of Sydney, Sydney.</w:t>
      </w:r>
    </w:p>
    <w:p w14:paraId="1C319B08" w14:textId="77777777" w:rsidR="00D45816" w:rsidRDefault="00D45816" w:rsidP="005430F2">
      <w:pPr>
        <w:pStyle w:val="Reference"/>
      </w:pPr>
      <w:r>
        <w:t xml:space="preserve">Hanson, A. and Hawley, Z. 2014, ‘Where does racial discrimination occur? An experimental analysis across neighborhood and housing unit characteristics’, Elsevier, </w:t>
      </w:r>
      <w:r>
        <w:rPr>
          <w:i/>
          <w:iCs/>
        </w:rPr>
        <w:t>Regional Science and Urban Economics</w:t>
      </w:r>
      <w:r>
        <w:t>, vol. 44, pp. 94–106.</w:t>
      </w:r>
    </w:p>
    <w:p w14:paraId="36153469" w14:textId="77777777" w:rsidR="00D45816" w:rsidRDefault="00D45816" w:rsidP="005430F2">
      <w:pPr>
        <w:pStyle w:val="Reference"/>
      </w:pPr>
      <w:r>
        <w:t xml:space="preserve">Hinchliffe, J. 2022, ‘Queensland real estate body tells landlords how to skirt new no-grounds eviction laws’, </w:t>
      </w:r>
      <w:r>
        <w:rPr>
          <w:i/>
          <w:iCs/>
        </w:rPr>
        <w:t>The Guardian</w:t>
      </w:r>
      <w:r>
        <w:t>, 4 August, https://www.theguardian.com/australia-news/2022/aug/05/queensland-real-estate-body-tells-landlords-how-to-skirt-new-no-grounds-eviction-laws (accessed 19 August 2022).</w:t>
      </w:r>
    </w:p>
    <w:p w14:paraId="668863F4" w14:textId="77777777" w:rsidR="00D45816" w:rsidRDefault="00D45816" w:rsidP="005430F2">
      <w:pPr>
        <w:pStyle w:val="Reference"/>
      </w:pPr>
      <w:r>
        <w:t xml:space="preserve">Horn, K. and Merante, M. 2017, ‘Is home sharing driving up rents? Evidence from Airbnb in Boston’, </w:t>
      </w:r>
      <w:r>
        <w:rPr>
          <w:i/>
          <w:iCs/>
        </w:rPr>
        <w:t>Journal of Housing Economics</w:t>
      </w:r>
      <w:r>
        <w:t>, vol. 38, pp. 14–24.</w:t>
      </w:r>
    </w:p>
    <w:p w14:paraId="196F703E" w14:textId="77777777" w:rsidR="00D45816" w:rsidRDefault="00D45816" w:rsidP="005430F2">
      <w:pPr>
        <w:pStyle w:val="Reference"/>
      </w:pPr>
      <w:r>
        <w:t xml:space="preserve">Hulse, K., Reynolds, M., Nygaard, C., Parkinson, S. and Yates, J. 2019, </w:t>
      </w:r>
      <w:r>
        <w:rPr>
          <w:i/>
          <w:iCs/>
        </w:rPr>
        <w:t>The Supply of Affordable Private Rental Housing in Australian Cities: Short-Term and Longer-Term Changes</w:t>
      </w:r>
      <w:r>
        <w:t>, AHURI Final Report 323, Australian Housing and Urban Research Institute, Melbourne.</w:t>
      </w:r>
    </w:p>
    <w:p w14:paraId="6331C3E0" w14:textId="77777777" w:rsidR="00D45816" w:rsidRPr="00721C11" w:rsidRDefault="00D45816" w:rsidP="005430F2">
      <w:pPr>
        <w:pStyle w:val="Reference"/>
        <w:rPr>
          <w:spacing w:val="-2"/>
        </w:rPr>
      </w:pPr>
      <w:r w:rsidRPr="00721C11">
        <w:rPr>
          <w:spacing w:val="-2"/>
        </w:rPr>
        <w:t xml:space="preserve">Immergluck, D., Ernsthausen, J., Earl, S. and Powell, A. 2020, ‘Evictions, large owners, and serial filings: findings from Atlanta’, Routledge, </w:t>
      </w:r>
      <w:r w:rsidRPr="00721C11">
        <w:rPr>
          <w:i/>
          <w:iCs/>
          <w:spacing w:val="-2"/>
        </w:rPr>
        <w:t>Housing Studies</w:t>
      </w:r>
      <w:r w:rsidRPr="00721C11">
        <w:rPr>
          <w:spacing w:val="-2"/>
        </w:rPr>
        <w:t>, vol. 35, no. 5, pp. 903–924.</w:t>
      </w:r>
    </w:p>
    <w:p w14:paraId="073461EA" w14:textId="77777777" w:rsidR="00D45816" w:rsidRDefault="00D45816" w:rsidP="005430F2">
      <w:pPr>
        <w:pStyle w:val="Reference"/>
      </w:pPr>
      <w:r>
        <w:t xml:space="preserve">Jacobs, K., Flanagan, K., Verdouw, J. and Denny, L. 2019, </w:t>
      </w:r>
      <w:r>
        <w:rPr>
          <w:i/>
          <w:iCs/>
        </w:rPr>
        <w:t>Tasmanian Housing Update, December 2019</w:t>
      </w:r>
      <w:r>
        <w:t>, Housing and Community Research Unit, University of Tasmania.</w:t>
      </w:r>
    </w:p>
    <w:p w14:paraId="7F9CF2F2" w14:textId="77777777" w:rsidR="00D45816" w:rsidRDefault="00D45816" w:rsidP="005430F2">
      <w:pPr>
        <w:pStyle w:val="Reference"/>
      </w:pPr>
      <w:r>
        <w:t xml:space="preserve">Johnson, G., Scutella, R., Tseng, Y.-P. and Wood, G. 2018, ‘How do housing and labour markets affect individual homelessness?’, </w:t>
      </w:r>
      <w:r>
        <w:rPr>
          <w:i/>
          <w:iCs/>
        </w:rPr>
        <w:t>Housing Studies</w:t>
      </w:r>
      <w:r>
        <w:t>.</w:t>
      </w:r>
    </w:p>
    <w:p w14:paraId="43211CCF" w14:textId="77777777" w:rsidR="00D45816" w:rsidRDefault="00D45816" w:rsidP="005430F2">
      <w:pPr>
        <w:pStyle w:val="Reference"/>
      </w:pPr>
      <w:r>
        <w:t xml:space="preserve">Koster, H.R., Van Ommeren, J. and Volkhausen, N. 2021, ‘Short-term rentals and the housing market: Quasi-experimental evidence from Airbnb in Los Angeles’, Elsevier, </w:t>
      </w:r>
      <w:r>
        <w:rPr>
          <w:i/>
          <w:iCs/>
        </w:rPr>
        <w:t>Journal of Urban Economics</w:t>
      </w:r>
      <w:r>
        <w:t>, vol. 124, p. 103356.</w:t>
      </w:r>
    </w:p>
    <w:p w14:paraId="685B0471" w14:textId="77777777" w:rsidR="00D45816" w:rsidRDefault="00D45816" w:rsidP="005430F2">
      <w:pPr>
        <w:pStyle w:val="Reference"/>
      </w:pPr>
      <w:r>
        <w:t xml:space="preserve">Liu, Y., Cheshire, L. and Wadley, D. 2016, ‘Mapping mis-location and housing stress in the private rental sector: A case study of Brisbane, Australia’, Elsevier, </w:t>
      </w:r>
      <w:r>
        <w:rPr>
          <w:i/>
          <w:iCs/>
        </w:rPr>
        <w:t>Applied Geography</w:t>
      </w:r>
      <w:r>
        <w:t>, vol. 76, pp. 207–216.</w:t>
      </w:r>
    </w:p>
    <w:p w14:paraId="06C65BB0" w14:textId="77777777" w:rsidR="00D45816" w:rsidRDefault="00D45816" w:rsidP="005430F2">
      <w:pPr>
        <w:pStyle w:val="Reference"/>
      </w:pPr>
      <w:r>
        <w:t xml:space="preserve">Maalsen, S., Wolifson, P., Rogers, D., Nelson, J. and Buckle, C. 2021, </w:t>
      </w:r>
      <w:r>
        <w:rPr>
          <w:i/>
          <w:iCs/>
        </w:rPr>
        <w:t>Understanding discrimination effects in private rental housing</w:t>
      </w:r>
      <w:r>
        <w:t>, Final Report No. 363, AHURI.</w:t>
      </w:r>
    </w:p>
    <w:p w14:paraId="02B8335A" w14:textId="77777777" w:rsidR="00D45816" w:rsidRDefault="00D45816" w:rsidP="005430F2">
      <w:pPr>
        <w:pStyle w:val="Reference"/>
      </w:pPr>
      <w:r>
        <w:t xml:space="preserve">Martin, C. 2020, ‘A brief history of Australian residential tenancies law reform: From the nineteenth century to COVID-19’, </w:t>
      </w:r>
      <w:r>
        <w:rPr>
          <w:i/>
          <w:iCs/>
        </w:rPr>
        <w:t>Parity</w:t>
      </w:r>
      <w:r>
        <w:t>, vol. 33, no. 5, pp. 4–6.</w:t>
      </w:r>
    </w:p>
    <w:p w14:paraId="6F96B0F3" w14:textId="77777777" w:rsidR="00D45816" w:rsidRPr="00721C11" w:rsidRDefault="00D45816" w:rsidP="005430F2">
      <w:pPr>
        <w:pStyle w:val="Reference"/>
        <w:rPr>
          <w:spacing w:val="-2"/>
        </w:rPr>
      </w:pPr>
      <w:r w:rsidRPr="00721C11">
        <w:rPr>
          <w:spacing w:val="-2"/>
        </w:rPr>
        <w:t xml:space="preserve">Moskos, M., Isherwood, L., Dockery, M., Baker, E. and Pham, A. 2022, </w:t>
      </w:r>
      <w:r w:rsidRPr="00721C11">
        <w:rPr>
          <w:i/>
          <w:iCs/>
          <w:spacing w:val="-2"/>
        </w:rPr>
        <w:t>What works to sustain Indigenous tenancies in Australia</w:t>
      </w:r>
      <w:r w:rsidRPr="00721C11">
        <w:rPr>
          <w:spacing w:val="-2"/>
        </w:rPr>
        <w:t>, AHURI Final Report No. 374, March, AHURI, Melbourne.</w:t>
      </w:r>
    </w:p>
    <w:p w14:paraId="030F4F66" w14:textId="77777777" w:rsidR="00D45816" w:rsidRDefault="00D45816" w:rsidP="005430F2">
      <w:pPr>
        <w:pStyle w:val="Reference"/>
      </w:pPr>
      <w:r>
        <w:t xml:space="preserve">Nally, A. 2022, ‘How Australia is dealing with Airbnb, Stayz in a housing crisis’, </w:t>
      </w:r>
      <w:r>
        <w:rPr>
          <w:i/>
          <w:iCs/>
        </w:rPr>
        <w:t>ABC News</w:t>
      </w:r>
      <w:r>
        <w:t>, 27 June, https://www.abc.net.au/news/2022-06-24/airbnb-stayz-short-term-accommodation-housing-crisis-australia/101170390 (accessed 8 August 2022).</w:t>
      </w:r>
    </w:p>
    <w:p w14:paraId="7D659C7F" w14:textId="77777777" w:rsidR="00D45816" w:rsidRPr="00721C11" w:rsidRDefault="00D45816" w:rsidP="005430F2">
      <w:pPr>
        <w:pStyle w:val="Reference"/>
        <w:rPr>
          <w:spacing w:val="-2"/>
        </w:rPr>
      </w:pPr>
      <w:r w:rsidRPr="00721C11">
        <w:rPr>
          <w:spacing w:val="-2"/>
        </w:rPr>
        <w:t xml:space="preserve">NHFIC (National Housing Finance and Investment Corporation) 2022, </w:t>
      </w:r>
      <w:r w:rsidRPr="00721C11">
        <w:rPr>
          <w:i/>
          <w:iCs/>
          <w:spacing w:val="-2"/>
        </w:rPr>
        <w:t>State of the Nation’s Housing 2021-22</w:t>
      </w:r>
      <w:r w:rsidRPr="00721C11">
        <w:rPr>
          <w:spacing w:val="-2"/>
        </w:rPr>
        <w:t>, Sydney.</w:t>
      </w:r>
    </w:p>
    <w:p w14:paraId="3E31A6EE" w14:textId="77777777" w:rsidR="00D45816" w:rsidRDefault="00D45816" w:rsidP="005430F2">
      <w:pPr>
        <w:pStyle w:val="Reference"/>
      </w:pPr>
      <w:r>
        <w:t xml:space="preserve">NSW Government 2016, </w:t>
      </w:r>
      <w:r>
        <w:rPr>
          <w:i/>
          <w:iCs/>
        </w:rPr>
        <w:t>Future Directions for Social Housing in NSW</w:t>
      </w:r>
      <w:r>
        <w:t>, Sydney.</w:t>
      </w:r>
    </w:p>
    <w:p w14:paraId="11DDCD82" w14:textId="77777777" w:rsidR="00D45816" w:rsidRDefault="00D45816" w:rsidP="005430F2">
      <w:pPr>
        <w:pStyle w:val="Reference"/>
      </w:pPr>
      <w:r>
        <w:t xml:space="preserve">O’Flaherty, A. 2022, ‘Single mother facing homelessness implores government to address housing crisis’, </w:t>
      </w:r>
      <w:r>
        <w:rPr>
          <w:i/>
          <w:iCs/>
        </w:rPr>
        <w:t>ABC News</w:t>
      </w:r>
      <w:r>
        <w:t>, 13 July, https://www.abc.net.au/news/2022-07-13/mother-facing-homelessness-wants-housing-crisis-addressed/101233510 (accessed 16 August 2022).</w:t>
      </w:r>
    </w:p>
    <w:p w14:paraId="0521ADED" w14:textId="77777777" w:rsidR="00D45816" w:rsidRPr="00721C11" w:rsidRDefault="00D45816" w:rsidP="005430F2">
      <w:pPr>
        <w:pStyle w:val="Reference"/>
        <w:rPr>
          <w:spacing w:val="-4"/>
        </w:rPr>
      </w:pPr>
      <w:r w:rsidRPr="00721C11">
        <w:rPr>
          <w:spacing w:val="-4"/>
        </w:rPr>
        <w:t xml:space="preserve">PC (Productivity Commission) 2015, </w:t>
      </w:r>
      <w:r w:rsidRPr="00721C11">
        <w:rPr>
          <w:i/>
          <w:iCs/>
          <w:spacing w:val="-4"/>
        </w:rPr>
        <w:t>Housing Assistance and Employment in Australia</w:t>
      </w:r>
      <w:r w:rsidRPr="00721C11">
        <w:rPr>
          <w:spacing w:val="-4"/>
        </w:rPr>
        <w:t>, Commission Research Paper, Canberra.</w:t>
      </w:r>
    </w:p>
    <w:p w14:paraId="781A0B53" w14:textId="7967EA66" w:rsidR="00D45816" w:rsidRDefault="00D45816" w:rsidP="005430F2">
      <w:pPr>
        <w:pStyle w:val="Reference"/>
      </w:pPr>
      <w:r>
        <w:t>——</w:t>
      </w:r>
      <w:r w:rsidR="00B47419">
        <w:t> </w:t>
      </w:r>
      <w:r>
        <w:t xml:space="preserve">2017, </w:t>
      </w:r>
      <w:r>
        <w:rPr>
          <w:i/>
          <w:iCs/>
        </w:rPr>
        <w:t>Introducing Competition and Informed User Choice into Human Services: Reforms to Human Services</w:t>
      </w:r>
      <w:r>
        <w:t>, Report no. 85, Canberra.</w:t>
      </w:r>
    </w:p>
    <w:p w14:paraId="1A317221" w14:textId="4555AE47" w:rsidR="00D45816" w:rsidRPr="00721C11" w:rsidRDefault="00D45816" w:rsidP="005430F2">
      <w:pPr>
        <w:pStyle w:val="Reference"/>
        <w:rPr>
          <w:spacing w:val="-4"/>
        </w:rPr>
      </w:pPr>
      <w:r w:rsidRPr="00721C11">
        <w:rPr>
          <w:spacing w:val="-4"/>
        </w:rPr>
        <w:t>——</w:t>
      </w:r>
      <w:r w:rsidR="00B47419">
        <w:rPr>
          <w:spacing w:val="-4"/>
        </w:rPr>
        <w:t> </w:t>
      </w:r>
      <w:r w:rsidRPr="00721C11">
        <w:rPr>
          <w:spacing w:val="-4"/>
        </w:rPr>
        <w:t xml:space="preserve">2019, </w:t>
      </w:r>
      <w:r w:rsidRPr="00721C11">
        <w:rPr>
          <w:i/>
          <w:iCs/>
          <w:spacing w:val="-4"/>
        </w:rPr>
        <w:t>Vulnerable Private Renters: Evidence and Options</w:t>
      </w:r>
      <w:r w:rsidRPr="00721C11">
        <w:rPr>
          <w:spacing w:val="-4"/>
        </w:rPr>
        <w:t>, Commission Research Paper, Canberra.</w:t>
      </w:r>
    </w:p>
    <w:p w14:paraId="75F422F1" w14:textId="702B5FB9" w:rsidR="00D45816" w:rsidRDefault="00D45816" w:rsidP="005430F2">
      <w:pPr>
        <w:pStyle w:val="Reference"/>
      </w:pPr>
      <w:r>
        <w:t>——</w:t>
      </w:r>
      <w:r w:rsidR="00B47419">
        <w:t> </w:t>
      </w:r>
      <w:r>
        <w:t xml:space="preserve">2020, </w:t>
      </w:r>
      <w:r>
        <w:rPr>
          <w:i/>
          <w:iCs/>
        </w:rPr>
        <w:t>Mental Health</w:t>
      </w:r>
      <w:r>
        <w:t>, Report no. 95, Canberra.</w:t>
      </w:r>
    </w:p>
    <w:p w14:paraId="31ED7847" w14:textId="7B0A625A" w:rsidR="00D45816" w:rsidRDefault="00D45816" w:rsidP="005430F2">
      <w:pPr>
        <w:pStyle w:val="Reference"/>
      </w:pPr>
      <w:r>
        <w:t>——</w:t>
      </w:r>
      <w:r w:rsidR="00B47419">
        <w:t> </w:t>
      </w:r>
      <w:r>
        <w:t xml:space="preserve">2022, </w:t>
      </w:r>
      <w:r>
        <w:rPr>
          <w:i/>
          <w:iCs/>
        </w:rPr>
        <w:t>In need of repair: The National Housing and Homelessness Agreement</w:t>
      </w:r>
      <w:r>
        <w:t>, Study Report, Canberra.</w:t>
      </w:r>
    </w:p>
    <w:p w14:paraId="7E2C1807" w14:textId="77777777" w:rsidR="00D45816" w:rsidRDefault="00D45816" w:rsidP="005430F2">
      <w:pPr>
        <w:pStyle w:val="Reference"/>
      </w:pPr>
      <w:r>
        <w:t xml:space="preserve">Phibbs, P. and Ely, J. 2022, </w:t>
      </w:r>
      <w:r>
        <w:rPr>
          <w:i/>
          <w:iCs/>
        </w:rPr>
        <w:t>Monitoring the Impact of Short-Term Rentals on Tasmanian Housing Markets</w:t>
      </w:r>
      <w:r>
        <w:t>, Shelter Tasmania, Hobart.</w:t>
      </w:r>
    </w:p>
    <w:p w14:paraId="7CA2B562" w14:textId="77777777" w:rsidR="00D45816" w:rsidRDefault="00D45816" w:rsidP="005430F2">
      <w:pPr>
        <w:pStyle w:val="Reference"/>
      </w:pPr>
      <w:r>
        <w:t xml:space="preserve">Raymond, E., Duckworth, R., Miller, B., Lucas, M. and Pokharel, S. 2016, </w:t>
      </w:r>
      <w:r>
        <w:rPr>
          <w:i/>
          <w:iCs/>
        </w:rPr>
        <w:t>Corporate Landlords, Institutional Investors, and Displacement: Eviction Rates in Single-Family Rentals</w:t>
      </w:r>
      <w:r>
        <w:t>, Community &amp; Economic Development Discussion Paper 04/16, Federal Reserve Bank of Atlanta, Georgia.</w:t>
      </w:r>
    </w:p>
    <w:p w14:paraId="09155FB9" w14:textId="77777777" w:rsidR="00D45816" w:rsidRPr="00721C11" w:rsidRDefault="00D45816" w:rsidP="005430F2">
      <w:pPr>
        <w:pStyle w:val="Reference"/>
        <w:rPr>
          <w:spacing w:val="-4"/>
        </w:rPr>
      </w:pPr>
      <w:r w:rsidRPr="00721C11">
        <w:rPr>
          <w:spacing w:val="-4"/>
        </w:rPr>
        <w:t xml:space="preserve">REIWA (Real Estate Institute of Western Australia) 2022, </w:t>
      </w:r>
      <w:r w:rsidRPr="00721C11">
        <w:rPr>
          <w:i/>
          <w:iCs/>
          <w:spacing w:val="-4"/>
        </w:rPr>
        <w:t>Rent crisis - 61 per cent of investors say they’ll sell if changes are made to WA tenancy laws</w:t>
      </w:r>
      <w:r w:rsidRPr="00721C11">
        <w:rPr>
          <w:spacing w:val="-4"/>
        </w:rPr>
        <w:t>, https://reiwa.com.au/about-us/news/rent-crisis---61-per-cent-of-investors-say-they-ll-sell-if-changes-are-made-to-wa-tenancy-laws/ (accessed 19 August 2022).</w:t>
      </w:r>
    </w:p>
    <w:p w14:paraId="1405FE12" w14:textId="77777777" w:rsidR="00D45816" w:rsidRDefault="00D45816" w:rsidP="005430F2">
      <w:pPr>
        <w:pStyle w:val="Reference"/>
      </w:pPr>
      <w:r>
        <w:t xml:space="preserve">Reosti, A. 2020, ‘“We Go Totally Subjective”: Discretion, Discrimination, and Tenant Screening in a Landlord’s Market’, Cambridge University Press, </w:t>
      </w:r>
      <w:r>
        <w:rPr>
          <w:i/>
          <w:iCs/>
        </w:rPr>
        <w:t>Law &amp; Social Inquiry</w:t>
      </w:r>
      <w:r>
        <w:t>, vol. 45, no. 3, pp. 618–657.</w:t>
      </w:r>
    </w:p>
    <w:p w14:paraId="44F0C56A" w14:textId="77777777" w:rsidR="00D45816" w:rsidRDefault="00D45816" w:rsidP="005430F2">
      <w:pPr>
        <w:pStyle w:val="Reference"/>
      </w:pPr>
      <w:r>
        <w:t xml:space="preserve">Robyn Kennedy Consultants 2013, </w:t>
      </w:r>
      <w:r>
        <w:rPr>
          <w:i/>
          <w:iCs/>
        </w:rPr>
        <w:t>Evaluation of Rapid Rehousing Project</w:t>
      </w:r>
      <w:r>
        <w:t>, Sydney.</w:t>
      </w:r>
    </w:p>
    <w:p w14:paraId="63D25B48" w14:textId="77777777" w:rsidR="00D45816" w:rsidRDefault="00D45816" w:rsidP="005430F2">
      <w:pPr>
        <w:pStyle w:val="Reference"/>
      </w:pPr>
      <w:r>
        <w:t xml:space="preserve">Rowley, S. and James, A. 2018, </w:t>
      </w:r>
      <w:r>
        <w:rPr>
          <w:i/>
          <w:iCs/>
        </w:rPr>
        <w:t>The Private Rental Sector in Australia</w:t>
      </w:r>
      <w:r>
        <w:t>, Bankwest Curtin Economics Centre, Perth.</w:t>
      </w:r>
    </w:p>
    <w:p w14:paraId="1804C8F4" w14:textId="77777777" w:rsidR="00D45816" w:rsidRDefault="00D45816" w:rsidP="005430F2">
      <w:pPr>
        <w:pStyle w:val="Reference"/>
      </w:pPr>
      <w:r>
        <w:t xml:space="preserve">—— and Ong, R. 2012, </w:t>
      </w:r>
      <w:r>
        <w:rPr>
          <w:i/>
          <w:iCs/>
        </w:rPr>
        <w:t>Housing affordability, housing stress and household wellbeing in Australia</w:t>
      </w:r>
      <w:r>
        <w:t>, AHURI Final Report No. 192, Australian Housing and Urban Research Institute, Perth.</w:t>
      </w:r>
    </w:p>
    <w:p w14:paraId="0A9DEC6B" w14:textId="77777777" w:rsidR="00D45816" w:rsidRDefault="00D45816" w:rsidP="005430F2">
      <w:pPr>
        <w:pStyle w:val="Reference"/>
      </w:pPr>
      <w:r>
        <w:t xml:space="preserve">Saberi, M., Wu, H., Amoh-Gyimah, R., Smith, J. and Arunachalam, D. 2017, ‘Measuring housing and transportation affordability: A case study of Melbourne, Australia’, </w:t>
      </w:r>
      <w:r>
        <w:rPr>
          <w:i/>
          <w:iCs/>
        </w:rPr>
        <w:t>Journal of Transport Geography</w:t>
      </w:r>
      <w:r>
        <w:t>, vol. 65, pp. 134–146.</w:t>
      </w:r>
    </w:p>
    <w:p w14:paraId="67838C0D" w14:textId="77777777" w:rsidR="00D45816" w:rsidRDefault="00D45816" w:rsidP="005430F2">
      <w:pPr>
        <w:pStyle w:val="Reference"/>
      </w:pPr>
      <w:r>
        <w:t xml:space="preserve">Shelter WA and Circle Green Community Legal 2022, </w:t>
      </w:r>
      <w:r>
        <w:rPr>
          <w:i/>
          <w:iCs/>
        </w:rPr>
        <w:t>Response to the REIWA ‘Synergies’ report</w:t>
      </w:r>
      <w:r>
        <w:t>, Perth.</w:t>
      </w:r>
    </w:p>
    <w:p w14:paraId="3CA0BDFE" w14:textId="77777777" w:rsidR="00D45816" w:rsidRPr="00721C11" w:rsidRDefault="00D45816" w:rsidP="005430F2">
      <w:pPr>
        <w:pStyle w:val="Reference"/>
        <w:rPr>
          <w:spacing w:val="-4"/>
        </w:rPr>
      </w:pPr>
      <w:r w:rsidRPr="00721C11">
        <w:rPr>
          <w:spacing w:val="-4"/>
        </w:rPr>
        <w:t xml:space="preserve">Short, P., Seelig, T., Warren, C., Susilawati, C. and Thompson, A. 2008, </w:t>
      </w:r>
      <w:r w:rsidRPr="00721C11">
        <w:rPr>
          <w:i/>
          <w:iCs/>
          <w:spacing w:val="-4"/>
        </w:rPr>
        <w:t>Risk-assessment practices in the private rental sector: Implications for low-income renters</w:t>
      </w:r>
      <w:r w:rsidRPr="00721C11">
        <w:rPr>
          <w:spacing w:val="-4"/>
        </w:rPr>
        <w:t>, 117, AHURI Final Report, Australian Housing and Urban Research Institute, Melbourne.</w:t>
      </w:r>
    </w:p>
    <w:p w14:paraId="7DA588FE" w14:textId="77777777" w:rsidR="00D45816" w:rsidRDefault="00D45816" w:rsidP="005430F2">
      <w:pPr>
        <w:pStyle w:val="Reference"/>
      </w:pPr>
      <w:r>
        <w:t xml:space="preserve">Stone, W., Sharam, A., Wiesel, I., Ralston, L., Markkanen, S. and James, A. 2015, </w:t>
      </w:r>
      <w:r>
        <w:rPr>
          <w:i/>
          <w:iCs/>
        </w:rPr>
        <w:t>Accessing and sustaining private rental tenancies: critical life events, housing shocks and insurances</w:t>
      </w:r>
      <w:r>
        <w:t>, No. 259, AHURI Final Report, Australian Housing and Urban Research Institute, Melbourne.</w:t>
      </w:r>
    </w:p>
    <w:p w14:paraId="528582AA" w14:textId="77777777" w:rsidR="00D45816" w:rsidRDefault="00D45816" w:rsidP="005430F2">
      <w:pPr>
        <w:pStyle w:val="Reference"/>
      </w:pPr>
      <w:r>
        <w:t xml:space="preserve">Tasmanian Government 2015, </w:t>
      </w:r>
      <w:r>
        <w:rPr>
          <w:i/>
          <w:iCs/>
        </w:rPr>
        <w:t>Tasmania’s Affordable Housing Strategy 2015–2025</w:t>
      </w:r>
      <w:r>
        <w:t>, Hobart.</w:t>
      </w:r>
    </w:p>
    <w:p w14:paraId="66F2A07A" w14:textId="77777777" w:rsidR="00D45816" w:rsidRDefault="00D45816" w:rsidP="005430F2">
      <w:pPr>
        <w:pStyle w:val="Reference"/>
      </w:pPr>
      <w:r>
        <w:t xml:space="preserve">The Hon Dr Jim Chalmers MP and the Hon Amanda Rishworth MP 2023, </w:t>
      </w:r>
      <w:r>
        <w:rPr>
          <w:i/>
          <w:iCs/>
        </w:rPr>
        <w:t>Boosting support payments to help with cost-­of-­living pressures</w:t>
      </w:r>
      <w:r>
        <w:t>, Treasury Media Releases, https://ministers.treasury.gov.au/ministers/jim-chalmers-2022/media-releases/boosting-support-payments-help-cost-living-pressures (accessed 19 July 2023).</w:t>
      </w:r>
    </w:p>
    <w:p w14:paraId="050357AB" w14:textId="2201A914" w:rsidR="00D45816" w:rsidRPr="00721C11" w:rsidRDefault="00D45816" w:rsidP="005430F2">
      <w:pPr>
        <w:pStyle w:val="Reference"/>
        <w:rPr>
          <w:spacing w:val="-2"/>
        </w:rPr>
      </w:pPr>
      <w:r w:rsidRPr="00721C11">
        <w:rPr>
          <w:spacing w:val="-2"/>
        </w:rPr>
        <w:t xml:space="preserve">Tually, S., Slatter, M., Faulkner, D. and Oakley, S. 2016, </w:t>
      </w:r>
      <w:r w:rsidRPr="00721C11">
        <w:rPr>
          <w:i/>
          <w:iCs/>
          <w:spacing w:val="-2"/>
        </w:rPr>
        <w:t>The Role of Private Rental Brokerage in Housing Outcomes for Vulnerable Australians</w:t>
      </w:r>
      <w:r w:rsidRPr="00721C11">
        <w:rPr>
          <w:spacing w:val="-2"/>
        </w:rPr>
        <w:t>, AHURI Final Report No. 263, Australian Housing and Urban Research Institute Limited, Melbourne.</w:t>
      </w:r>
    </w:p>
    <w:p w14:paraId="77C37AAF" w14:textId="77777777" w:rsidR="00D45816" w:rsidRDefault="00D45816" w:rsidP="005430F2">
      <w:pPr>
        <w:pStyle w:val="Reference"/>
      </w:pPr>
      <w:r>
        <w:lastRenderedPageBreak/>
        <w:t xml:space="preserve">Victorian Government 2011, </w:t>
      </w:r>
      <w:r>
        <w:rPr>
          <w:i/>
          <w:iCs/>
        </w:rPr>
        <w:t>Homes for Victorians: Affordability, Access and Choice</w:t>
      </w:r>
      <w:r>
        <w:t>, March.</w:t>
      </w:r>
    </w:p>
    <w:p w14:paraId="21467899" w14:textId="77777777" w:rsidR="00D45816" w:rsidRDefault="00D45816" w:rsidP="005430F2">
      <w:pPr>
        <w:pStyle w:val="Reference"/>
      </w:pPr>
      <w:r>
        <w:t xml:space="preserve">Watson, J., Johnson, G. and Taylor, S. 2020, </w:t>
      </w:r>
      <w:r>
        <w:rPr>
          <w:i/>
          <w:iCs/>
        </w:rPr>
        <w:t>Staying Home? Examining longer-term housing outcomes of the Private Rental Access Program (PRAP)</w:t>
      </w:r>
      <w:r>
        <w:t>, Unison Housing, Melbourne.</w:t>
      </w:r>
    </w:p>
    <w:p w14:paraId="278D4426" w14:textId="77777777" w:rsidR="00D45816" w:rsidRDefault="00D45816" w:rsidP="005430F2">
      <w:pPr>
        <w:pStyle w:val="Reference"/>
      </w:pPr>
      <w:r>
        <w:t xml:space="preserve">Weller, S. and Van Hulten, A. 2012, ‘Gentrification and displacement: The effects of a housing crisis on Melbourne’s low-income residents’, Taylor &amp; Francis, </w:t>
      </w:r>
      <w:r>
        <w:rPr>
          <w:i/>
          <w:iCs/>
        </w:rPr>
        <w:t>Urban Policy and Research</w:t>
      </w:r>
      <w:r>
        <w:t>, vol. 30, no. 1, pp. 25–42.</w:t>
      </w:r>
    </w:p>
    <w:p w14:paraId="717C32FA" w14:textId="77777777" w:rsidR="00D45816" w:rsidRPr="00721C11" w:rsidRDefault="00D45816" w:rsidP="005430F2">
      <w:pPr>
        <w:pStyle w:val="Reference"/>
        <w:rPr>
          <w:spacing w:val="-2"/>
        </w:rPr>
      </w:pPr>
      <w:r w:rsidRPr="00721C11">
        <w:rPr>
          <w:spacing w:val="-2"/>
        </w:rPr>
        <w:t xml:space="preserve">Whitehead, C. and Scanlon, K. 2017, </w:t>
      </w:r>
      <w:r w:rsidRPr="00721C11">
        <w:rPr>
          <w:i/>
          <w:iCs/>
          <w:spacing w:val="-2"/>
        </w:rPr>
        <w:t>Unlocking the benefits and potential of build to rent</w:t>
      </w:r>
      <w:r w:rsidRPr="00721C11">
        <w:rPr>
          <w:spacing w:val="-2"/>
        </w:rPr>
        <w:t>, British Property Federation, London.</w:t>
      </w:r>
    </w:p>
    <w:p w14:paraId="44BCA478" w14:textId="77777777" w:rsidR="00D45816" w:rsidRDefault="00D45816" w:rsidP="005430F2">
      <w:pPr>
        <w:pStyle w:val="Reference"/>
      </w:pPr>
      <w:r>
        <w:t xml:space="preserve">Whiting, M. 2022, ‘Doctors, medical staff, mothers among renters forced out of Smith Collective for complaining’, Gold Coast, </w:t>
      </w:r>
      <w:r>
        <w:rPr>
          <w:i/>
          <w:iCs/>
        </w:rPr>
        <w:t>Gold Coast Bulletin</w:t>
      </w:r>
      <w:r>
        <w:t>, 8 February.</w:t>
      </w:r>
    </w:p>
    <w:p w14:paraId="13FE6EFB" w14:textId="77777777" w:rsidR="00D45816" w:rsidRDefault="00D45816" w:rsidP="005430F2">
      <w:pPr>
        <w:pStyle w:val="Reference"/>
      </w:pPr>
      <w:r>
        <w:t xml:space="preserve">Wood, G., Ong, R. and Cigdem, M. 2014, </w:t>
      </w:r>
      <w:r>
        <w:rPr>
          <w:i/>
          <w:iCs/>
        </w:rPr>
        <w:t>Housing affordability dynamics: new insights from the last decade</w:t>
      </w:r>
      <w:r>
        <w:t>, AHURI Final Report No. 233, Australian Housing and Urban Research Institute, Melbourne.</w:t>
      </w:r>
    </w:p>
    <w:p w14:paraId="22F44F6E" w14:textId="77777777" w:rsidR="00D45816" w:rsidRDefault="00D45816" w:rsidP="005430F2">
      <w:pPr>
        <w:pStyle w:val="Reference"/>
      </w:pPr>
      <w:r>
        <w:t xml:space="preserve">Yanotti, M. 2017, ‘Three charts on: who is the typical investor in the Australian property market?’, </w:t>
      </w:r>
      <w:r>
        <w:rPr>
          <w:i/>
          <w:iCs/>
        </w:rPr>
        <w:t>The Conversation</w:t>
      </w:r>
      <w:r>
        <w:t>.</w:t>
      </w:r>
    </w:p>
    <w:p w14:paraId="1197E3F0" w14:textId="77777777" w:rsidR="00D45816" w:rsidRDefault="00D45816" w:rsidP="005430F2">
      <w:pPr>
        <w:pStyle w:val="Reference"/>
      </w:pPr>
      <w:r>
        <w:t xml:space="preserve">Yanotti, M., Banks, M., de Silva, A., Anantharama, N., Whiteford, P., Bowman, D. and Csereklyei, Z. 2021, </w:t>
      </w:r>
      <w:r>
        <w:rPr>
          <w:i/>
          <w:iCs/>
        </w:rPr>
        <w:t>The Utility of New Data in Understanding Housing Insecurity</w:t>
      </w:r>
      <w:r>
        <w:t>, AHURI Final Report No. 351, Australian Housing and Urban Research Institute, Melbourne.</w:t>
      </w:r>
    </w:p>
    <w:p w14:paraId="4DBAFDC7" w14:textId="77777777" w:rsidR="001F1121" w:rsidRDefault="00D45816" w:rsidP="005430F2">
      <w:pPr>
        <w:pStyle w:val="Reference"/>
        <w:rPr>
          <w:spacing w:val="-6"/>
        </w:rPr>
        <w:sectPr w:rsidR="001F1121" w:rsidSect="005430F2">
          <w:type w:val="continuous"/>
          <w:pgSz w:w="11906" w:h="16838" w:code="9"/>
          <w:pgMar w:top="1134" w:right="1134" w:bottom="1134" w:left="1134" w:header="794" w:footer="510" w:gutter="0"/>
          <w:cols w:num="2" w:space="708"/>
          <w:docGrid w:linePitch="360"/>
        </w:sectPr>
      </w:pPr>
      <w:r w:rsidRPr="00721C11">
        <w:rPr>
          <w:spacing w:val="-6"/>
        </w:rPr>
        <w:t xml:space="preserve">Zaretzky, K. and Flatau, P. 2015, </w:t>
      </w:r>
      <w:r w:rsidRPr="00721C11">
        <w:rPr>
          <w:i/>
          <w:iCs/>
          <w:spacing w:val="-6"/>
        </w:rPr>
        <w:t>The cost effectiveness of Australian tenancy support programs for formerly homeless people</w:t>
      </w:r>
      <w:r w:rsidRPr="00721C11">
        <w:rPr>
          <w:spacing w:val="-6"/>
        </w:rPr>
        <w:t>, 252, Australian Housing and Urban Research Institute, p. 114.</w:t>
      </w:r>
    </w:p>
    <w:p w14:paraId="1BE7FFFD" w14:textId="64D3B960" w:rsidR="007255E8" w:rsidRPr="007822B3" w:rsidRDefault="007255E8" w:rsidP="005430F2">
      <w:pPr>
        <w:pStyle w:val="Reference"/>
        <w:rPr>
          <w:spacing w:val="-6"/>
        </w:rPr>
      </w:pPr>
    </w:p>
    <w:sectPr w:rsidR="007255E8" w:rsidRPr="007822B3" w:rsidSect="005430F2">
      <w:type w:val="continuous"/>
      <w:pgSz w:w="11906" w:h="16838" w:code="9"/>
      <w:pgMar w:top="1134" w:right="1134" w:bottom="1134" w:left="1134" w:header="794" w:footer="510"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B56AAD" w14:textId="77777777" w:rsidR="00AF0E85" w:rsidRDefault="00AF0E85" w:rsidP="008017BC">
      <w:r>
        <w:separator/>
      </w:r>
    </w:p>
    <w:p w14:paraId="31CA33EF" w14:textId="77777777" w:rsidR="00AF0E85" w:rsidRDefault="00AF0E85"/>
  </w:endnote>
  <w:endnote w:type="continuationSeparator" w:id="0">
    <w:p w14:paraId="1E70FB5A" w14:textId="77777777" w:rsidR="00AF0E85" w:rsidRDefault="00AF0E85" w:rsidP="008017BC">
      <w:r>
        <w:continuationSeparator/>
      </w:r>
    </w:p>
    <w:p w14:paraId="6F675EDE" w14:textId="77777777" w:rsidR="00AF0E85" w:rsidRDefault="00AF0E85"/>
  </w:endnote>
  <w:endnote w:type="continuationNotice" w:id="1">
    <w:p w14:paraId="43FC1B02" w14:textId="77777777" w:rsidR="00AF0E85" w:rsidRDefault="00AF0E85">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T Extra">
    <w:panose1 w:val="05050102010205020202"/>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Body)">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31675" w14:textId="77777777" w:rsidR="00FC3DE2" w:rsidRPr="00187F05" w:rsidRDefault="00FC3DE2" w:rsidP="00A471AE">
    <w:pPr>
      <w:pStyle w:val="Footer"/>
      <w:jc w:val="right"/>
    </w:pPr>
    <w:r w:rsidRPr="00187F05">
      <w:fldChar w:fldCharType="begin"/>
    </w:r>
    <w:r w:rsidRPr="00187F05">
      <w:instrText xml:space="preserve"> PAGE   \* MERGEFORMAT </w:instrText>
    </w:r>
    <w:r w:rsidRPr="00187F05">
      <w:fldChar w:fldCharType="separate"/>
    </w:r>
    <w:r w:rsidRPr="00187F05">
      <w:t>1</w:t>
    </w:r>
    <w:r w:rsidRPr="00187F05">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E27FE" w14:textId="77777777" w:rsidR="00FC3DE2" w:rsidRDefault="00FC3DE2">
    <w:pPr>
      <w:pStyle w:val="Footer"/>
    </w:pPr>
    <w:r>
      <w:fldChar w:fldCharType="begin"/>
    </w:r>
    <w:r>
      <w:instrText xml:space="preserve"> PAGE   \* MERGEFORMAT </w:instrText>
    </w:r>
    <w:r>
      <w:fldChar w:fldCharType="separate"/>
    </w:r>
    <w:r>
      <w:rPr>
        <w:noProof/>
      </w:rPr>
      <w:t>1</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C9CF7" w14:textId="77777777" w:rsidR="00FC3DE2" w:rsidRDefault="00FC3DE2">
    <w:pPr>
      <w:pStyle w:val="Footer"/>
    </w:pPr>
    <w:r>
      <w:fldChar w:fldCharType="begin"/>
    </w:r>
    <w:r>
      <w:instrText xml:space="preserve"> PAGE   \* MERGEFORMAT </w:instrText>
    </w:r>
    <w:r>
      <w:fldChar w:fldCharType="separate"/>
    </w:r>
    <w:r>
      <w:rPr>
        <w:noProof/>
      </w:rPr>
      <w:t>1</w:t>
    </w:r>
    <w:r>
      <w:rPr>
        <w:noProof/>
      </w:rPr>
      <w:fldChar w:fldCharType="end"/>
    </w:r>
    <w:r>
      <w:rPr>
        <w:noProof/>
      </w:rPr>
      <mc:AlternateContent>
        <mc:Choice Requires="wps">
          <w:drawing>
            <wp:anchor distT="0" distB="0" distL="114300" distR="114300" simplePos="0" relativeHeight="251658241" behindDoc="0" locked="1" layoutInCell="1" allowOverlap="1" wp14:anchorId="50566520" wp14:editId="4B5C805E">
              <wp:simplePos x="0" y="0"/>
              <wp:positionH relativeFrom="page">
                <wp:align>left</wp:align>
              </wp:positionH>
              <wp:positionV relativeFrom="page">
                <wp:align>bottom</wp:align>
              </wp:positionV>
              <wp:extent cx="7560000" cy="7200000"/>
              <wp:effectExtent l="0" t="0" r="3175" b="1270"/>
              <wp:wrapNone/>
              <wp:docPr id="11" name="Rectangle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7200000"/>
                      </a:xfrm>
                      <a:prstGeom prst="rect">
                        <a:avLst/>
                      </a:prstGeom>
                      <a:solidFill>
                        <a:srgbClr val="265A9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D03931" id="Rectangle 11" o:spid="_x0000_s1026" alt="&quot;&quot;" style="position:absolute;margin-left:0;margin-top:0;width:595.3pt;height:566.95pt;z-index:251658241;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" fillcolor="#265a99" stroked="f" strokeweight="1pt">
              <w10:wrap anchorx="page" anchory="page"/>
              <w10:anchorlock/>
            </v:rect>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AF582" w14:textId="77777777" w:rsidR="00D15113" w:rsidRDefault="00F04EA7" w:rsidP="002E3F19">
    <w:pPr>
      <w:pStyle w:val="Footer"/>
    </w:pPr>
    <w:r w:rsidRPr="00187F05">
      <w:fldChar w:fldCharType="begin"/>
    </w:r>
    <w:r w:rsidRPr="00187F05">
      <w:instrText xml:space="preserve"> PAGE   \* MERGEFORMAT </w:instrText>
    </w:r>
    <w:r w:rsidRPr="00187F05">
      <w:fldChar w:fldCharType="separate"/>
    </w:r>
    <w:r w:rsidRPr="00187F05">
      <w:t>1</w:t>
    </w:r>
    <w:r w:rsidRPr="00187F05">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0765408"/>
      <w:docPartObj>
        <w:docPartGallery w:val="Page Numbers (Bottom of Page)"/>
        <w:docPartUnique/>
      </w:docPartObj>
    </w:sdtPr>
    <w:sdtEndPr/>
    <w:sdtContent>
      <w:sdt>
        <w:sdtPr>
          <w:id w:val="783309045"/>
          <w:docPartObj>
            <w:docPartGallery w:val="Page Numbers (Top of Page)"/>
            <w:docPartUnique/>
          </w:docPartObj>
        </w:sdtPr>
        <w:sdtEndPr/>
        <w:sdtContent>
          <w:p w14:paraId="2D957ED3" w14:textId="77777777" w:rsidR="00D15113" w:rsidRDefault="00F04EA7" w:rsidP="002E3F19">
            <w:pPr>
              <w:pStyle w:val="Footer-right"/>
            </w:pPr>
            <w:r w:rsidRPr="0042508F">
              <w:rPr>
                <w:sz w:val="24"/>
              </w:rPr>
              <w:fldChar w:fldCharType="begin"/>
            </w:r>
            <w:r w:rsidRPr="0042508F">
              <w:instrText xml:space="preserve"> PAGE </w:instrText>
            </w:r>
            <w:r w:rsidRPr="0042508F">
              <w:rPr>
                <w:sz w:val="24"/>
              </w:rPr>
              <w:fldChar w:fldCharType="separate"/>
            </w:r>
            <w:r>
              <w:rPr>
                <w:noProof/>
              </w:rPr>
              <w:t>1</w:t>
            </w:r>
            <w:r w:rsidRPr="0042508F">
              <w:rPr>
                <w:sz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2C7739" w14:textId="77777777" w:rsidR="00AF0E85" w:rsidRPr="00C238D1" w:rsidRDefault="00AF0E85" w:rsidP="00273E86">
      <w:pPr>
        <w:spacing w:after="0" w:line="240" w:lineRule="auto"/>
        <w:rPr>
          <w:rStyle w:val="ColourDarkBlue"/>
        </w:rPr>
      </w:pPr>
      <w:r w:rsidRPr="00C238D1">
        <w:rPr>
          <w:rStyle w:val="ColourDarkBlue"/>
        </w:rPr>
        <w:continuationSeparator/>
      </w:r>
    </w:p>
  </w:footnote>
  <w:footnote w:type="continuationSeparator" w:id="0">
    <w:p w14:paraId="1F2FDC44" w14:textId="77777777" w:rsidR="00AF0E85" w:rsidRPr="001D7D9B" w:rsidRDefault="00AF0E85" w:rsidP="001D7D9B">
      <w:pPr>
        <w:spacing w:after="0" w:line="240" w:lineRule="auto"/>
        <w:rPr>
          <w:color w:val="265A9A" w:themeColor="background2"/>
        </w:rPr>
      </w:pPr>
      <w:r w:rsidRPr="00C238D1">
        <w:rPr>
          <w:rStyle w:val="ColourDarkBlue"/>
        </w:rPr>
        <w:continuationSeparator/>
      </w:r>
    </w:p>
  </w:footnote>
  <w:footnote w:type="continuationNotice" w:id="1">
    <w:p w14:paraId="4E22678C" w14:textId="77777777" w:rsidR="00AF0E85" w:rsidRDefault="00AF0E85"/>
  </w:footnote>
  <w:footnote w:id="2">
    <w:p w14:paraId="3324D667" w14:textId="4395F5B1" w:rsidR="00AA506F" w:rsidRDefault="00AA506F" w:rsidP="00770714">
      <w:pPr>
        <w:pStyle w:val="FootnoteText"/>
        <w:spacing w:after="60"/>
        <w:contextualSpacing w:val="0"/>
      </w:pPr>
      <w:r w:rsidRPr="00B45CCE">
        <w:rPr>
          <w:rStyle w:val="FootnoteReference"/>
        </w:rPr>
        <w:footnoteRef/>
      </w:r>
      <w:r>
        <w:t xml:space="preserve"> In 1999–2000, 21</w:t>
      </w:r>
      <w:r w:rsidR="001B3884">
        <w:t>%</w:t>
      </w:r>
      <w:r>
        <w:t xml:space="preserve"> of households in the top two quintiles of equivalised disposable household income rented in the private market. In 2019-20, that figure was 25</w:t>
      </w:r>
      <w:r w:rsidR="00DD1014">
        <w:t>%</w:t>
      </w:r>
      <w:r>
        <w:t xml:space="preserve"> (Commission estimates using ABS (</w:t>
      </w:r>
      <w:r w:rsidRPr="00B10910">
        <w:rPr>
          <w:i/>
          <w:iCs/>
        </w:rPr>
        <w:t xml:space="preserve">Microdata: Income and Housing, Australia, </w:t>
      </w:r>
      <w:r>
        <w:rPr>
          <w:i/>
          <w:iCs/>
        </w:rPr>
        <w:t>1999</w:t>
      </w:r>
      <w:r>
        <w:rPr>
          <w:i/>
          <w:iCs/>
        </w:rPr>
        <w:noBreakHyphen/>
        <w:t xml:space="preserve">00 and </w:t>
      </w:r>
      <w:r w:rsidRPr="00B10910">
        <w:rPr>
          <w:i/>
          <w:iCs/>
        </w:rPr>
        <w:t>2019</w:t>
      </w:r>
      <w:r w:rsidRPr="00B10910">
        <w:rPr>
          <w:i/>
          <w:iCs/>
        </w:rPr>
        <w:noBreakHyphen/>
        <w:t>20</w:t>
      </w:r>
      <w:r>
        <w:t xml:space="preserve">, </w:t>
      </w:r>
      <w:r w:rsidRPr="00DB6C8C">
        <w:t>Cat. no.</w:t>
      </w:r>
      <w:r>
        <w:t> </w:t>
      </w:r>
      <w:r w:rsidRPr="00DB6C8C">
        <w:t>6541.0.30.001</w:t>
      </w:r>
      <w:r>
        <w:t>)).</w:t>
      </w:r>
    </w:p>
  </w:footnote>
  <w:footnote w:id="3">
    <w:p w14:paraId="2741EE88" w14:textId="77777777" w:rsidR="00AA506F" w:rsidRDefault="00AA506F" w:rsidP="00770714">
      <w:pPr>
        <w:pStyle w:val="FootnoteText"/>
        <w:spacing w:after="60"/>
        <w:contextualSpacing w:val="0"/>
      </w:pPr>
      <w:r w:rsidRPr="00B45CCE">
        <w:rPr>
          <w:rStyle w:val="FootnoteReference"/>
        </w:rPr>
        <w:footnoteRef/>
      </w:r>
      <w:r>
        <w:t xml:space="preserve"> Commission estimates using ABS (</w:t>
      </w:r>
      <w:r w:rsidRPr="00B10910">
        <w:rPr>
          <w:i/>
          <w:iCs/>
        </w:rPr>
        <w:t>Microdata: Income and Housing, Australia, 2019</w:t>
      </w:r>
      <w:r w:rsidRPr="00B10910">
        <w:rPr>
          <w:i/>
          <w:iCs/>
        </w:rPr>
        <w:noBreakHyphen/>
        <w:t>20</w:t>
      </w:r>
      <w:r>
        <w:t xml:space="preserve">, </w:t>
      </w:r>
      <w:r w:rsidRPr="00DB6C8C">
        <w:t>Cat. no.</w:t>
      </w:r>
      <w:r>
        <w:t> </w:t>
      </w:r>
      <w:r w:rsidRPr="00DB6C8C">
        <w:t>6541.0.30.001</w:t>
      </w:r>
      <w:r>
        <w:t>).</w:t>
      </w:r>
    </w:p>
  </w:footnote>
  <w:footnote w:id="4">
    <w:p w14:paraId="5A3D9F79" w14:textId="77777777" w:rsidR="001E64CA" w:rsidRPr="00072C92" w:rsidRDefault="001E64CA" w:rsidP="001E64CA">
      <w:pPr>
        <w:pStyle w:val="FootnoteText"/>
        <w:rPr>
          <w:spacing w:val="-4"/>
        </w:rPr>
      </w:pPr>
      <w:r w:rsidRPr="00B45CCE">
        <w:rPr>
          <w:rStyle w:val="FootnoteReference"/>
        </w:rPr>
        <w:footnoteRef/>
      </w:r>
      <w:r w:rsidRPr="00072C92">
        <w:rPr>
          <w:spacing w:val="-4"/>
        </w:rPr>
        <w:t xml:space="preserve"> Vacancy rates measure the share of rental properties in a given area that are listed as available to rent at a particular time.</w:t>
      </w:r>
    </w:p>
  </w:footnote>
  <w:footnote w:id="5">
    <w:p w14:paraId="43B43AAC" w14:textId="77E9CC55" w:rsidR="00DC78E8" w:rsidRDefault="00DC78E8" w:rsidP="00DC78E8">
      <w:pPr>
        <w:pStyle w:val="FootnoteText"/>
      </w:pPr>
      <w:r w:rsidRPr="00B45CCE">
        <w:rPr>
          <w:rStyle w:val="FootnoteReference"/>
        </w:rPr>
        <w:footnoteRef/>
      </w:r>
      <w:r>
        <w:t xml:space="preserve"> About 10</w:t>
      </w:r>
      <w:r w:rsidR="00DD1014">
        <w:t>%</w:t>
      </w:r>
      <w:r>
        <w:t xml:space="preserve"> of dwellings were unoccupied on Census night in 2021 </w:t>
      </w:r>
      <w:r w:rsidR="004F3CD9" w:rsidRPr="004F3CD9">
        <w:rPr>
          <w:rFonts w:ascii="Arial" w:hAnsi="Arial" w:cs="Arial"/>
          <w:szCs w:val="24"/>
        </w:rPr>
        <w:t>(ABS 2022)</w:t>
      </w:r>
      <w:r>
        <w:t>. But not all vacant properties are available for occupation. Some dwellings may be vacant because of temporary resident absence; others because they are listed for sale or rent, recently built or undergoing renovation.</w:t>
      </w:r>
    </w:p>
  </w:footnote>
  <w:footnote w:id="6">
    <w:p w14:paraId="0D36DCB5" w14:textId="77777777" w:rsidR="00F01665" w:rsidRPr="004E655B" w:rsidRDefault="00F01665" w:rsidP="00F01665">
      <w:pPr>
        <w:pStyle w:val="FootnoteText"/>
      </w:pPr>
      <w:r w:rsidRPr="00B45CCE">
        <w:rPr>
          <w:rStyle w:val="FootnoteReference"/>
        </w:rPr>
        <w:footnoteRef/>
      </w:r>
      <w:r>
        <w:t xml:space="preserve"> Commission estimates using ABS (</w:t>
      </w:r>
      <w:r>
        <w:rPr>
          <w:i/>
          <w:iCs/>
        </w:rPr>
        <w:t xml:space="preserve">Lending indicators, June 2022, </w:t>
      </w:r>
      <w:r>
        <w:t>Cat. no. 5601.0). Loans for ‘construction of new dwellings’ or ‘purchase of newly erected dwellings’.</w:t>
      </w:r>
    </w:p>
  </w:footnote>
  <w:footnote w:id="7">
    <w:p w14:paraId="0CBDD530" w14:textId="77777777" w:rsidR="00F01665" w:rsidRPr="00F12115" w:rsidRDefault="00F01665" w:rsidP="00F01665">
      <w:pPr>
        <w:pStyle w:val="FootnoteText"/>
      </w:pPr>
      <w:r w:rsidRPr="00B45CCE">
        <w:rPr>
          <w:rStyle w:val="FootnoteReference"/>
        </w:rPr>
        <w:footnoteRef/>
      </w:r>
      <w:r>
        <w:t xml:space="preserve"> Commission estimates using ABS (</w:t>
      </w:r>
      <w:r>
        <w:rPr>
          <w:i/>
          <w:iCs/>
        </w:rPr>
        <w:t>Housing Occupancy and Costs, 2019</w:t>
      </w:r>
      <w:r>
        <w:rPr>
          <w:i/>
          <w:iCs/>
        </w:rPr>
        <w:noBreakHyphen/>
        <w:t>20</w:t>
      </w:r>
      <w:r>
        <w:t>, Cat. no. </w:t>
      </w:r>
      <w:r w:rsidRPr="00481F6D">
        <w:t>4130.0</w:t>
      </w:r>
      <w:r>
        <w:t>, table 9.1).</w:t>
      </w:r>
    </w:p>
  </w:footnote>
  <w:footnote w:id="8">
    <w:p w14:paraId="2B5FD1EC" w14:textId="77777777" w:rsidR="00B2469C" w:rsidRDefault="00B2469C" w:rsidP="002F014B">
      <w:pPr>
        <w:pStyle w:val="FootnoteText"/>
        <w:spacing w:after="60"/>
        <w:contextualSpacing w:val="0"/>
      </w:pPr>
      <w:r w:rsidRPr="00B45CCE">
        <w:rPr>
          <w:rStyle w:val="FootnoteReference"/>
        </w:rPr>
        <w:footnoteRef/>
      </w:r>
      <w:r>
        <w:t xml:space="preserve"> </w:t>
      </w:r>
      <w:r w:rsidRPr="000C542C">
        <w:t xml:space="preserve">In some circumstances, </w:t>
      </w:r>
      <w:r>
        <w:t xml:space="preserve">renters </w:t>
      </w:r>
      <w:r w:rsidRPr="000C542C">
        <w:t>who live in defence housing, a retirement village, a caravan, a relocatable home or a boat are also eligible.</w:t>
      </w:r>
    </w:p>
  </w:footnote>
  <w:footnote w:id="9">
    <w:p w14:paraId="755EF258" w14:textId="77777777" w:rsidR="006359BD" w:rsidRDefault="006359BD" w:rsidP="002F014B">
      <w:pPr>
        <w:pStyle w:val="FootnoteText"/>
        <w:spacing w:after="60"/>
        <w:contextualSpacing w:val="0"/>
      </w:pPr>
      <w:r w:rsidRPr="00B45CCE">
        <w:rPr>
          <w:rStyle w:val="FootnoteReference"/>
        </w:rPr>
        <w:footnoteRef/>
      </w:r>
      <w:r w:rsidRPr="00696447">
        <w:t xml:space="preserve"> </w:t>
      </w:r>
      <w:r>
        <w:t>Commission estimates using ABS (</w:t>
      </w:r>
      <w:r w:rsidRPr="006719C4">
        <w:rPr>
          <w:i/>
          <w:iCs/>
        </w:rPr>
        <w:t>Microdata: Income and Housing, Australia, 2019</w:t>
      </w:r>
      <w:r w:rsidRPr="006719C4">
        <w:rPr>
          <w:i/>
          <w:iCs/>
        </w:rPr>
        <w:noBreakHyphen/>
        <w:t>20</w:t>
      </w:r>
      <w:r w:rsidRPr="00DB6C8C">
        <w:t>, Cat. no.</w:t>
      </w:r>
      <w:r>
        <w:t> </w:t>
      </w:r>
      <w:r w:rsidRPr="00DB6C8C">
        <w:t>6541.0.30.001</w:t>
      </w:r>
      <w:r>
        <w:t>).</w:t>
      </w:r>
    </w:p>
  </w:footnote>
  <w:footnote w:id="10">
    <w:p w14:paraId="1FF3AE16" w14:textId="77777777" w:rsidR="00C47E6A" w:rsidRDefault="00C47E6A" w:rsidP="002F014B">
      <w:pPr>
        <w:pStyle w:val="FootnoteText"/>
        <w:spacing w:after="60"/>
        <w:contextualSpacing w:val="0"/>
      </w:pPr>
      <w:r w:rsidRPr="00B45CCE">
        <w:rPr>
          <w:rStyle w:val="FootnoteReference"/>
        </w:rPr>
        <w:footnoteRef/>
      </w:r>
      <w:r w:rsidRPr="00696447">
        <w:t xml:space="preserve"> </w:t>
      </w:r>
      <w:r>
        <w:t>Commission estimates using ABS (</w:t>
      </w:r>
      <w:r w:rsidRPr="006719C4">
        <w:rPr>
          <w:i/>
          <w:iCs/>
        </w:rPr>
        <w:t>Microdata: Income and Housing, Australia, 2019</w:t>
      </w:r>
      <w:r w:rsidRPr="006719C4">
        <w:rPr>
          <w:i/>
          <w:iCs/>
        </w:rPr>
        <w:noBreakHyphen/>
        <w:t>20</w:t>
      </w:r>
      <w:r w:rsidRPr="00DB6C8C">
        <w:t>, Cat. no.</w:t>
      </w:r>
      <w:r>
        <w:t> </w:t>
      </w:r>
      <w:r w:rsidRPr="00DB6C8C">
        <w:t>6541.0.30.001</w:t>
      </w:r>
      <w:r>
        <w:t>).</w:t>
      </w:r>
    </w:p>
  </w:footnote>
  <w:footnote w:id="11">
    <w:p w14:paraId="5E59803C" w14:textId="3A07BFEE" w:rsidR="006D376B" w:rsidRPr="00A4608E" w:rsidRDefault="006D376B" w:rsidP="00241424">
      <w:pPr>
        <w:pStyle w:val="FootnoteText"/>
        <w:contextualSpacing w:val="0"/>
        <w:rPr>
          <w:lang w:val="en-US"/>
        </w:rPr>
      </w:pPr>
      <w:r>
        <w:rPr>
          <w:rStyle w:val="FootnoteReference"/>
        </w:rPr>
        <w:footnoteRef/>
      </w:r>
      <w:r>
        <w:t xml:space="preserve"> </w:t>
      </w:r>
      <w:r w:rsidR="00997632" w:rsidRPr="002D0296">
        <w:rPr>
          <w:rStyle w:val="FootnoteTextChar"/>
        </w:rPr>
        <w:t xml:space="preserve">On </w:t>
      </w:r>
      <w:r w:rsidR="006E716E" w:rsidRPr="002D0296">
        <w:rPr>
          <w:rStyle w:val="FootnoteTextChar"/>
        </w:rPr>
        <w:t>9 May 2023 the Australian Government announced an increase to the maximum rates of CRA by 15</w:t>
      </w:r>
      <w:r w:rsidR="001B3884" w:rsidRPr="002D0296">
        <w:rPr>
          <w:rStyle w:val="FootnoteTextChar"/>
        </w:rPr>
        <w:t>%</w:t>
      </w:r>
      <w:r w:rsidR="005A4F53" w:rsidRPr="002D0296">
        <w:rPr>
          <w:rStyle w:val="FootnoteTextChar"/>
        </w:rPr>
        <w:t>, to commence from 20 September 2023 subject to the passage of legislation</w:t>
      </w:r>
      <w:r w:rsidR="00F24DF4" w:rsidRPr="002D0296">
        <w:rPr>
          <w:rStyle w:val="FootnoteTextChar"/>
        </w:rPr>
        <w:t xml:space="preserve"> </w:t>
      </w:r>
      <w:r w:rsidR="00242CB3" w:rsidRPr="002D0296">
        <w:rPr>
          <w:rStyle w:val="FootnoteTextChar"/>
        </w:rPr>
        <w:t>(The Hon Dr Jim Chalmers MP and the Hon Amanda Rishworth MP 2023)</w:t>
      </w:r>
      <w:r w:rsidR="005A4F53" w:rsidRPr="002D0296">
        <w:rPr>
          <w:rStyle w:val="FootnoteTextChar"/>
        </w:rPr>
        <w:t>.</w:t>
      </w:r>
    </w:p>
  </w:footnote>
  <w:footnote w:id="12">
    <w:p w14:paraId="4BB3CE83" w14:textId="4DB17084" w:rsidR="00E80532" w:rsidRDefault="00E80532" w:rsidP="00241424">
      <w:pPr>
        <w:pStyle w:val="FootnoteText"/>
        <w:spacing w:after="60"/>
        <w:contextualSpacing w:val="0"/>
      </w:pPr>
      <w:r>
        <w:rPr>
          <w:rStyle w:val="FootnoteReference"/>
        </w:rPr>
        <w:footnoteRef/>
      </w:r>
      <w:r>
        <w:t xml:space="preserve"> </w:t>
      </w:r>
      <w:r w:rsidR="00C724D6" w:rsidRPr="00E00995">
        <w:rPr>
          <w:rStyle w:val="FootnoteTextChar"/>
        </w:rPr>
        <w:t>Some renters</w:t>
      </w:r>
      <w:r w:rsidR="009E33D4" w:rsidRPr="00E00995">
        <w:rPr>
          <w:rStyle w:val="FootnoteTextChar"/>
        </w:rPr>
        <w:t>, including Aboriginal and Torres Strait Islander people, people from culturally and linguistically diverse backgrounds</w:t>
      </w:r>
      <w:r w:rsidR="00F1534E" w:rsidRPr="00E00995">
        <w:rPr>
          <w:rStyle w:val="FootnoteTextChar"/>
        </w:rPr>
        <w:t xml:space="preserve">, and people with disability, </w:t>
      </w:r>
      <w:r w:rsidR="00C724D6" w:rsidRPr="00E00995">
        <w:rPr>
          <w:rStyle w:val="FootnoteTextChar"/>
        </w:rPr>
        <w:t>face discrimination in the private rental market</w:t>
      </w:r>
      <w:r w:rsidR="005763DC" w:rsidRPr="00E00995">
        <w:rPr>
          <w:rStyle w:val="FootnoteTextChar"/>
        </w:rPr>
        <w:t xml:space="preserve"> </w:t>
      </w:r>
      <w:r w:rsidR="00197317" w:rsidRPr="00197317">
        <w:rPr>
          <w:rFonts w:ascii="Arial" w:hAnsi="Arial" w:cs="Arial"/>
          <w:szCs w:val="24"/>
        </w:rPr>
        <w:t>(PC 2022)</w:t>
      </w:r>
      <w:r w:rsidR="00F1534E" w:rsidRPr="00E00995">
        <w:rPr>
          <w:rStyle w:val="FootnoteTextChar"/>
        </w:rPr>
        <w:t xml:space="preserve">. </w:t>
      </w:r>
      <w:r w:rsidR="00E04ADC">
        <w:rPr>
          <w:rStyle w:val="FootnoteTextChar"/>
        </w:rPr>
        <w:t>R</w:t>
      </w:r>
      <w:r w:rsidR="00F1534E" w:rsidRPr="00E00995">
        <w:rPr>
          <w:rStyle w:val="FootnoteTextChar"/>
        </w:rPr>
        <w:t xml:space="preserve">enters can </w:t>
      </w:r>
      <w:r w:rsidR="00E04ADC">
        <w:rPr>
          <w:rStyle w:val="FootnoteTextChar"/>
        </w:rPr>
        <w:t>also</w:t>
      </w:r>
      <w:r w:rsidR="00F1534E">
        <w:rPr>
          <w:rStyle w:val="FootnoteTextChar"/>
        </w:rPr>
        <w:t xml:space="preserve"> </w:t>
      </w:r>
      <w:r w:rsidR="00F1534E" w:rsidRPr="00E00995">
        <w:rPr>
          <w:rStyle w:val="FootnoteTextChar"/>
        </w:rPr>
        <w:t>experience discrimination even once they have found a property, for example, in the treatment of property maintenance or evictions (Greenberg, Gershenson and Desmond 2016; Maalsen et al. 2021, pp. 52–53).</w:t>
      </w:r>
    </w:p>
  </w:footnote>
  <w:footnote w:id="13">
    <w:p w14:paraId="31853FD5" w14:textId="3088EC6B" w:rsidR="00824DE8" w:rsidRDefault="00824DE8" w:rsidP="00241424">
      <w:pPr>
        <w:pStyle w:val="FootnoteText"/>
        <w:spacing w:after="60"/>
        <w:contextualSpacing w:val="0"/>
      </w:pPr>
      <w:r w:rsidRPr="00B45CCE">
        <w:rPr>
          <w:rStyle w:val="FootnoteReference"/>
        </w:rPr>
        <w:footnoteRef/>
      </w:r>
      <w:r>
        <w:t xml:space="preserve"> For example, the effect of proposed reforms to Western Australia’s residential tenancy legislation have been contested </w:t>
      </w:r>
      <w:r w:rsidR="0069126D" w:rsidRPr="0069126D">
        <w:rPr>
          <w:rFonts w:ascii="Arial" w:hAnsi="Arial" w:cs="Arial"/>
          <w:szCs w:val="24"/>
        </w:rPr>
        <w:t>(REIWA 2022; Shelter WA and Circle Green Community Legal 2022)</w:t>
      </w:r>
      <w:r w:rsidRPr="00DD3E62">
        <w:rPr>
          <w:szCs w:val="18"/>
        </w:rPr>
        <w:t>. Without</w:t>
      </w:r>
      <w:r>
        <w:t xml:space="preserve"> a solid evidence base to draw on, it is more difficult for governments to assess the respective claims.</w:t>
      </w:r>
    </w:p>
  </w:footnote>
  <w:footnote w:id="14">
    <w:p w14:paraId="6C1ABA0A" w14:textId="77777777" w:rsidR="007C395B" w:rsidRDefault="007C395B" w:rsidP="007C395B">
      <w:pPr>
        <w:pStyle w:val="FootnoteText"/>
      </w:pPr>
      <w:r w:rsidRPr="00B45CCE">
        <w:rPr>
          <w:rStyle w:val="FootnoteReference"/>
        </w:rPr>
        <w:footnoteRef/>
      </w:r>
      <w:r>
        <w:t xml:space="preserve"> This is not the only barrier to compliance. We heard that ‘intimidating, inaccessible’ dispute resolution processes, lengthy delays at tribunals and lack of funding for tenants’ advice and legal services were barriers to compliance in many jurisdictions (DCLS and NAAFLS, sub. 89, p. 11; Mills 2021; Tenants’ Union of NSW, sub. 81, p.13).</w:t>
      </w:r>
    </w:p>
  </w:footnote>
  <w:footnote w:id="15">
    <w:p w14:paraId="0E746AFA" w14:textId="4DE725B3" w:rsidR="005D32FC" w:rsidRDefault="005D32FC" w:rsidP="005D32FC">
      <w:pPr>
        <w:pStyle w:val="BodyText"/>
      </w:pPr>
      <w:r w:rsidRPr="00B45CCE">
        <w:rPr>
          <w:rStyle w:val="FootnoteReference"/>
        </w:rPr>
        <w:footnoteRef/>
      </w:r>
      <w:r>
        <w:t xml:space="preserve"> </w:t>
      </w:r>
      <w:r>
        <w:rPr>
          <w:rStyle w:val="FootnoteTextChar"/>
        </w:rPr>
        <w:t>Though e</w:t>
      </w:r>
      <w:r w:rsidRPr="00286B09">
        <w:rPr>
          <w:rStyle w:val="FootnoteTextChar"/>
        </w:rPr>
        <w:t xml:space="preserve">valuations of similar programs in social housing </w:t>
      </w:r>
      <w:r>
        <w:rPr>
          <w:rStyle w:val="FootnoteTextChar"/>
        </w:rPr>
        <w:t>have found that they are cost-effective</w:t>
      </w:r>
      <w:r w:rsidDel="008F6F60">
        <w:rPr>
          <w:rStyle w:val="FootnoteTextChar"/>
        </w:rPr>
        <w:t xml:space="preserve"> </w:t>
      </w:r>
      <w:r w:rsidR="00CC512E" w:rsidRPr="00CC512E">
        <w:rPr>
          <w:rFonts w:ascii="Arial" w:hAnsi="Arial" w:cs="Arial"/>
          <w:sz w:val="18"/>
          <w:szCs w:val="24"/>
        </w:rPr>
        <w:t>(PC 2017, p. 182; Zaretzky and Flatau 2015)</w:t>
      </w:r>
      <w:r w:rsidRPr="00286B09">
        <w:rPr>
          <w:rStyle w:val="FootnoteTextChar"/>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8CAB3" w14:textId="77777777" w:rsidR="00FC3DE2" w:rsidRDefault="00FC3DE2">
    <w:pPr>
      <w:pStyle w:val="Header-Keyline"/>
    </w:pPr>
    <w:r>
      <w:t>Productivity Commission submission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06EC3" w14:textId="7F378754" w:rsidR="00FC3DE2" w:rsidRDefault="00FC3DE2">
    <w:pPr>
      <w:pStyle w:val="Header-KeylineRight"/>
    </w:pPr>
    <w:r>
      <w:fldChar w:fldCharType="begin"/>
    </w:r>
    <w:r>
      <w:instrText xml:space="preserve"> STYLEREF  "Heading 1"  \* MERGEFORMAT </w:instrText>
    </w:r>
    <w:r>
      <w:fldChar w:fldCharType="separate"/>
    </w:r>
    <w:r w:rsidR="007A69D3">
      <w:rPr>
        <w:b/>
        <w:bCs/>
        <w:noProof/>
        <w:lang w:val="en-US"/>
      </w:rPr>
      <w:t>Error! No text of specified style in document.</w:t>
    </w:r>
    <w:r>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66F04" w14:textId="77777777" w:rsidR="00FC3DE2" w:rsidRPr="007215EF" w:rsidRDefault="00FC3DE2" w:rsidP="007215EF">
    <w:r w:rsidRPr="007215EF">
      <w:rPr>
        <w:noProof/>
      </w:rPr>
      <w:drawing>
        <wp:anchor distT="0" distB="0" distL="114300" distR="114300" simplePos="0" relativeHeight="251658240" behindDoc="0" locked="1" layoutInCell="1" allowOverlap="1" wp14:anchorId="272BC2D0" wp14:editId="2D16E34A">
          <wp:simplePos x="0" y="0"/>
          <wp:positionH relativeFrom="margin">
            <wp:align>left</wp:align>
          </wp:positionH>
          <wp:positionV relativeFrom="page">
            <wp:align>top</wp:align>
          </wp:positionV>
          <wp:extent cx="2235600" cy="1058400"/>
          <wp:effectExtent l="0" t="0" r="0" b="8890"/>
          <wp:wrapNone/>
          <wp:docPr id="1" name="Graphic 1" descr="Productivity Commission | Australian Government logo">
            <a:extLst xmlns:a="http://schemas.openxmlformats.org/drawingml/2006/main">
              <a:ext uri="{FF2B5EF4-FFF2-40B4-BE49-F238E27FC236}">
                <a16:creationId xmlns:a16="http://schemas.microsoft.com/office/drawing/2014/main" id="{540D5EEA-84FD-4794-A974-3D74A07F2D8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Logo" descr="Productivity Commission | Australian Government logo">
                    <a:extLst>
                      <a:ext uri="{FF2B5EF4-FFF2-40B4-BE49-F238E27FC236}">
                        <a16:creationId xmlns:a16="http://schemas.microsoft.com/office/drawing/2014/main" id="{540D5EEA-84FD-4794-A974-3D74A07F2D82}"/>
                      </a:ext>
                    </a:extLst>
                  </pic:cNvPr>
                  <pic:cNvPicPr>
                    <a:picLocks noChangeAspect="1"/>
                  </pic:cNvPicPr>
                </pic:nvPicPr>
                <pic:blipFill rotWithShape="1">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rcRect t="-95925"/>
                  <a:stretch/>
                </pic:blipFill>
                <pic:spPr bwMode="auto">
                  <a:xfrm>
                    <a:off x="0" y="0"/>
                    <a:ext cx="2235600" cy="10584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55DB5CE" w14:textId="77777777" w:rsidR="00FC3DE2" w:rsidRPr="005965BC" w:rsidRDefault="00FC3DE2" w:rsidP="005965B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17CE5" w14:textId="4D1EE700" w:rsidR="002A6442" w:rsidRPr="002A6442" w:rsidRDefault="006C43A8" w:rsidP="005844FF">
    <w:pPr>
      <w:pStyle w:val="Header-KeylineRight"/>
      <w:jc w:val="left"/>
    </w:pPr>
    <w:r>
      <w:rPr>
        <w:noProof/>
      </w:rPr>
      <w:t>Productivity Commission submission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5BD89" w14:textId="4E2EDBE1" w:rsidR="00F173EF" w:rsidRDefault="00CC1C4C" w:rsidP="00F173EF">
    <w:pPr>
      <w:pStyle w:val="Header-KeylineRight"/>
    </w:pPr>
    <w:r>
      <w:t>Inquiry into the worsening rental crisis in Australia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CF5454E4"/>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02D84BB9"/>
    <w:multiLevelType w:val="hybridMultilevel"/>
    <w:tmpl w:val="5F24570C"/>
    <w:lvl w:ilvl="0" w:tplc="6C209310">
      <w:start w:val="1"/>
      <w:numFmt w:val="bullet"/>
      <w:pStyle w:val="Jurisdictioncommentslistbullet"/>
      <w:lvlText w:val=""/>
      <w:lvlJc w:val="left"/>
      <w:pPr>
        <w:tabs>
          <w:tab w:val="num" w:pos="318"/>
        </w:tabs>
        <w:ind w:left="318" w:hanging="318"/>
      </w:pPr>
      <w:rPr>
        <w:rFonts w:ascii="Symbol" w:hAnsi="Symbol"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214B87"/>
    <w:multiLevelType w:val="singleLevel"/>
    <w:tmpl w:val="AB185BC4"/>
    <w:lvl w:ilvl="0">
      <w:numFmt w:val="bullet"/>
      <w:pStyle w:val="BoxListBullet2"/>
      <w:lvlText w:val="–"/>
      <w:lvlJc w:val="left"/>
      <w:pPr>
        <w:tabs>
          <w:tab w:val="num" w:pos="567"/>
        </w:tabs>
        <w:ind w:left="567" w:hanging="283"/>
      </w:pPr>
      <w:rPr>
        <w:rFonts w:ascii="Times New Roman" w:hAnsi="Times New Roman" w:cs="Times New Roman" w:hint="default"/>
      </w:rPr>
    </w:lvl>
  </w:abstractNum>
  <w:abstractNum w:abstractNumId="3" w15:restartNumberingAfterBreak="0">
    <w:nsid w:val="074A6380"/>
    <w:multiLevelType w:val="multilevel"/>
    <w:tmpl w:val="C47EA3E6"/>
    <w:styleLink w:val="TableList"/>
    <w:lvl w:ilvl="0">
      <w:start w:val="1"/>
      <w:numFmt w:val="decimal"/>
      <w:pStyle w:val="TableHeading-numbered"/>
      <w:suff w:val="space"/>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9C1734A"/>
    <w:multiLevelType w:val="multilevel"/>
    <w:tmpl w:val="72768BCE"/>
    <w:styleLink w:val="AppendixHeadingList"/>
    <w:lvl w:ilvl="0">
      <w:start w:val="1"/>
      <w:numFmt w:val="upperLetter"/>
      <w:pStyle w:val="Heading-Appendix"/>
      <w:lvlText w:val="%1."/>
      <w:lvlJc w:val="left"/>
      <w:pPr>
        <w:ind w:left="1418" w:hanging="851"/>
      </w:pPr>
      <w:rPr>
        <w:rFonts w:hint="default"/>
      </w:rPr>
    </w:lvl>
    <w:lvl w:ilvl="1">
      <w:start w:val="1"/>
      <w:numFmt w:val="decimal"/>
      <w:pStyle w:val="Heading2-Appendix"/>
      <w:lvlText w:val="%1.%2"/>
      <w:lvlJc w:val="left"/>
      <w:pPr>
        <w:ind w:left="851" w:hanging="851"/>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A963CA8"/>
    <w:multiLevelType w:val="hybridMultilevel"/>
    <w:tmpl w:val="C06C91F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AC2735F"/>
    <w:multiLevelType w:val="multilevel"/>
    <w:tmpl w:val="EE6A07A2"/>
    <w:styleLink w:val="ListHeadings"/>
    <w:lvl w:ilvl="0">
      <w:start w:val="1"/>
      <w:numFmt w:val="decimal"/>
      <w:isLgl/>
      <w:lvlText w:val="%1."/>
      <w:lvlJc w:val="left"/>
      <w:pPr>
        <w:ind w:left="1418" w:hanging="851"/>
      </w:pPr>
      <w:rPr>
        <w:rFonts w:hint="default"/>
      </w:rPr>
    </w:lvl>
    <w:lvl w:ilvl="1">
      <w:start w:val="1"/>
      <w:numFmt w:val="decimal"/>
      <w:suff w:val="space"/>
      <w:lvlText w:val="Box %1.%2"/>
      <w:lvlJc w:val="left"/>
      <w:pPr>
        <w:ind w:left="1134" w:hanging="1134"/>
      </w:pPr>
      <w:rPr>
        <w:rFonts w:hint="default"/>
      </w:rPr>
    </w:lvl>
    <w:lvl w:ilvl="2">
      <w:start w:val="1"/>
      <w:numFmt w:val="decimal"/>
      <w:lvlText w:val="%1.%3"/>
      <w:lvlJc w:val="left"/>
      <w:pPr>
        <w:ind w:left="851" w:hanging="851"/>
      </w:pPr>
      <w:rPr>
        <w:rFonts w:hint="default"/>
      </w:rPr>
    </w:lvl>
    <w:lvl w:ilvl="3">
      <w:start w:val="1"/>
      <w:numFmt w:val="decimal"/>
      <w:lvlText w:val="%1.%2.%3.%4."/>
      <w:lvlJc w:val="left"/>
      <w:pPr>
        <w:ind w:left="1361" w:hanging="1361"/>
      </w:pPr>
      <w:rPr>
        <w:rFonts w:hint="default"/>
      </w:rPr>
    </w:lvl>
    <w:lvl w:ilvl="4">
      <w:start w:val="1"/>
      <w:numFmt w:val="decimal"/>
      <w:lvlText w:val="%1.%2.%3.%4.%5"/>
      <w:lvlJc w:val="left"/>
      <w:pPr>
        <w:ind w:left="1701" w:hanging="1701"/>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0B2D75D1"/>
    <w:multiLevelType w:val="hybridMultilevel"/>
    <w:tmpl w:val="2F9A8A1E"/>
    <w:lvl w:ilvl="0" w:tplc="0DD044A8">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8" w15:restartNumberingAfterBreak="0">
    <w:nsid w:val="0BFE36E7"/>
    <w:multiLevelType w:val="multilevel"/>
    <w:tmpl w:val="3AAC322A"/>
    <w:lvl w:ilvl="0">
      <w:start w:val="9"/>
      <w:numFmt w:val="decimal"/>
      <w:lvlText w:val="%1."/>
      <w:lvlJc w:val="left"/>
      <w:pPr>
        <w:ind w:left="1287" w:hanging="720"/>
      </w:pPr>
      <w:rPr>
        <w:rFonts w:hint="default"/>
      </w:rPr>
    </w:lvl>
    <w:lvl w:ilvl="1">
      <w:start w:val="3"/>
      <w:numFmt w:val="decimal"/>
      <w:isLgl/>
      <w:lvlText w:val="%1.%2"/>
      <w:lvlJc w:val="left"/>
      <w:pPr>
        <w:ind w:left="1287" w:hanging="720"/>
      </w:pPr>
      <w:rPr>
        <w:rFonts w:hint="default"/>
      </w:rPr>
    </w:lvl>
    <w:lvl w:ilvl="2">
      <w:start w:val="1"/>
      <w:numFmt w:val="decimal"/>
      <w:isLgl/>
      <w:lvlText w:val="%1.%2.%3"/>
      <w:lvlJc w:val="left"/>
      <w:pPr>
        <w:ind w:left="1647" w:hanging="1080"/>
      </w:pPr>
      <w:rPr>
        <w:rFonts w:hint="default"/>
      </w:rPr>
    </w:lvl>
    <w:lvl w:ilvl="3">
      <w:start w:val="1"/>
      <w:numFmt w:val="decimal"/>
      <w:isLgl/>
      <w:lvlText w:val="%1.%2.%3.%4"/>
      <w:lvlJc w:val="left"/>
      <w:pPr>
        <w:ind w:left="2007" w:hanging="1440"/>
      </w:pPr>
      <w:rPr>
        <w:rFonts w:hint="default"/>
      </w:rPr>
    </w:lvl>
    <w:lvl w:ilvl="4">
      <w:start w:val="1"/>
      <w:numFmt w:val="decimal"/>
      <w:isLgl/>
      <w:lvlText w:val="%1.%2.%3.%4.%5"/>
      <w:lvlJc w:val="left"/>
      <w:pPr>
        <w:ind w:left="2007" w:hanging="1440"/>
      </w:pPr>
      <w:rPr>
        <w:rFonts w:hint="default"/>
      </w:rPr>
    </w:lvl>
    <w:lvl w:ilvl="5">
      <w:start w:val="1"/>
      <w:numFmt w:val="decimal"/>
      <w:isLgl/>
      <w:lvlText w:val="%1.%2.%3.%4.%5.%6"/>
      <w:lvlJc w:val="left"/>
      <w:pPr>
        <w:ind w:left="2367" w:hanging="1800"/>
      </w:pPr>
      <w:rPr>
        <w:rFonts w:hint="default"/>
      </w:rPr>
    </w:lvl>
    <w:lvl w:ilvl="6">
      <w:start w:val="1"/>
      <w:numFmt w:val="decimal"/>
      <w:isLgl/>
      <w:lvlText w:val="%1.%2.%3.%4.%5.%6.%7"/>
      <w:lvlJc w:val="left"/>
      <w:pPr>
        <w:ind w:left="2727" w:hanging="2160"/>
      </w:pPr>
      <w:rPr>
        <w:rFonts w:hint="default"/>
      </w:rPr>
    </w:lvl>
    <w:lvl w:ilvl="7">
      <w:start w:val="1"/>
      <w:numFmt w:val="decimal"/>
      <w:isLgl/>
      <w:lvlText w:val="%1.%2.%3.%4.%5.%6.%7.%8"/>
      <w:lvlJc w:val="left"/>
      <w:pPr>
        <w:ind w:left="3087" w:hanging="2520"/>
      </w:pPr>
      <w:rPr>
        <w:rFonts w:hint="default"/>
      </w:rPr>
    </w:lvl>
    <w:lvl w:ilvl="8">
      <w:start w:val="1"/>
      <w:numFmt w:val="decimal"/>
      <w:isLgl/>
      <w:lvlText w:val="%1.%2.%3.%4.%5.%6.%7.%8.%9"/>
      <w:lvlJc w:val="left"/>
      <w:pPr>
        <w:ind w:left="3447" w:hanging="2880"/>
      </w:pPr>
      <w:rPr>
        <w:rFonts w:hint="default"/>
      </w:rPr>
    </w:lvl>
  </w:abstractNum>
  <w:abstractNum w:abstractNumId="9" w15:restartNumberingAfterBreak="0">
    <w:nsid w:val="0E116344"/>
    <w:multiLevelType w:val="multilevel"/>
    <w:tmpl w:val="3B188B36"/>
    <w:lvl w:ilvl="0">
      <w:start w:val="1"/>
      <w:numFmt w:val="decimal"/>
      <w:pStyle w:val="BoxListNumber"/>
      <w:lvlText w:val="%1."/>
      <w:lvlJc w:val="left"/>
      <w:pPr>
        <w:tabs>
          <w:tab w:val="num" w:pos="284"/>
        </w:tabs>
        <w:ind w:left="284" w:hanging="284"/>
      </w:pPr>
      <w:rPr>
        <w:rFonts w:hint="default"/>
      </w:rPr>
    </w:lvl>
    <w:lvl w:ilvl="1">
      <w:start w:val="1"/>
      <w:numFmt w:val="lowerLetter"/>
      <w:pStyle w:val="BoxListNumber2"/>
      <w:lvlText w:val="(%2)"/>
      <w:lvlJc w:val="left"/>
      <w:pPr>
        <w:tabs>
          <w:tab w:val="num" w:pos="680"/>
        </w:tabs>
        <w:ind w:left="680" w:hanging="396"/>
      </w:pPr>
      <w:rPr>
        <w:rFonts w:hint="default"/>
      </w:rPr>
    </w:lvl>
    <w:lvl w:ilvl="2">
      <w:start w:val="1"/>
      <w:numFmt w:val="lowerRoman"/>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0F3E6C9D"/>
    <w:multiLevelType w:val="multilevel"/>
    <w:tmpl w:val="FF8069A4"/>
    <w:numStyleLink w:val="Bullets"/>
  </w:abstractNum>
  <w:abstractNum w:abstractNumId="11" w15:restartNumberingAfterBreak="0">
    <w:nsid w:val="0F6F37EA"/>
    <w:multiLevelType w:val="multilevel"/>
    <w:tmpl w:val="1FA8DC2A"/>
    <w:styleLink w:val="Numbering"/>
    <w:lvl w:ilvl="0">
      <w:start w:val="1"/>
      <w:numFmt w:val="decimal"/>
      <w:pStyle w:val="ListNumber"/>
      <w:lvlText w:val="%1."/>
      <w:lvlJc w:val="left"/>
      <w:pPr>
        <w:ind w:left="454" w:hanging="454"/>
      </w:pPr>
      <w:rPr>
        <w:rFonts w:hint="default"/>
      </w:rPr>
    </w:lvl>
    <w:lvl w:ilvl="1">
      <w:start w:val="1"/>
      <w:numFmt w:val="decimal"/>
      <w:pStyle w:val="ListNumber2"/>
      <w:lvlText w:val="%1.%2."/>
      <w:lvlJc w:val="left"/>
      <w:pPr>
        <w:ind w:left="680" w:hanging="680"/>
      </w:pPr>
      <w:rPr>
        <w:rFonts w:hint="default"/>
      </w:rPr>
    </w:lvl>
    <w:lvl w:ilvl="2">
      <w:start w:val="1"/>
      <w:numFmt w:val="decimal"/>
      <w:pStyle w:val="ListNumber3"/>
      <w:lvlText w:val="%1.%2.%3."/>
      <w:lvlJc w:val="left"/>
      <w:pPr>
        <w:ind w:left="907" w:hanging="907"/>
      </w:pPr>
      <w:rPr>
        <w:rFonts w:hint="default"/>
      </w:rPr>
    </w:lvl>
    <w:lvl w:ilvl="3">
      <w:start w:val="1"/>
      <w:numFmt w:val="decimal"/>
      <w:pStyle w:val="ListNumber4"/>
      <w:lvlText w:val="%1.%2.%3.%4."/>
      <w:lvlJc w:val="left"/>
      <w:pPr>
        <w:ind w:left="1134" w:hanging="1134"/>
      </w:pPr>
      <w:rPr>
        <w:rFonts w:hint="default"/>
      </w:rPr>
    </w:lvl>
    <w:lvl w:ilvl="4">
      <w:start w:val="1"/>
      <w:numFmt w:val="decimal"/>
      <w:pStyle w:val="ListNumber5"/>
      <w:lvlText w:val="%1.%2.%3.%4.%5"/>
      <w:lvlJc w:val="left"/>
      <w:pPr>
        <w:ind w:left="1361" w:hanging="1361"/>
      </w:pPr>
      <w:rPr>
        <w:rFonts w:hint="default"/>
      </w:rPr>
    </w:lvl>
    <w:lvl w:ilvl="5">
      <w:start w:val="1"/>
      <w:numFmt w:val="decimal"/>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decimal"/>
      <w:lvlText w:val="%8."/>
      <w:lvlJc w:val="left"/>
      <w:pPr>
        <w:ind w:left="567" w:hanging="567"/>
      </w:pPr>
      <w:rPr>
        <w:rFonts w:hint="default"/>
      </w:rPr>
    </w:lvl>
    <w:lvl w:ilvl="8">
      <w:start w:val="1"/>
      <w:numFmt w:val="none"/>
      <w:lvlText w:val=""/>
      <w:lvlJc w:val="right"/>
      <w:pPr>
        <w:ind w:left="567" w:hanging="567"/>
      </w:pPr>
      <w:rPr>
        <w:rFonts w:hint="default"/>
      </w:rPr>
    </w:lvl>
  </w:abstractNum>
  <w:abstractNum w:abstractNumId="12" w15:restartNumberingAfterBreak="0">
    <w:nsid w:val="11CE45D8"/>
    <w:multiLevelType w:val="singleLevel"/>
    <w:tmpl w:val="650622E4"/>
    <w:lvl w:ilvl="0">
      <w:numFmt w:val="bullet"/>
      <w:pStyle w:val="SideNoteBullet"/>
      <w:lvlText w:val="–"/>
      <w:lvlJc w:val="left"/>
      <w:pPr>
        <w:tabs>
          <w:tab w:val="num" w:pos="360"/>
        </w:tabs>
        <w:ind w:left="227" w:hanging="227"/>
      </w:pPr>
      <w:rPr>
        <w:rFonts w:ascii="Times New Roman" w:hAnsi="Times New Roman" w:hint="default"/>
      </w:rPr>
    </w:lvl>
  </w:abstractNum>
  <w:abstractNum w:abstractNumId="13" w15:restartNumberingAfterBreak="0">
    <w:nsid w:val="12377B66"/>
    <w:multiLevelType w:val="multilevel"/>
    <w:tmpl w:val="4F48000A"/>
    <w:styleLink w:val="Alphalist"/>
    <w:lvl w:ilvl="0">
      <w:start w:val="1"/>
      <w:numFmt w:val="lowerLetter"/>
      <w:pStyle w:val="ListAlpha1"/>
      <w:lvlText w:val="%1."/>
      <w:lvlJc w:val="left"/>
      <w:pPr>
        <w:ind w:left="227" w:hanging="227"/>
      </w:pPr>
      <w:rPr>
        <w:rFonts w:hint="default"/>
      </w:rPr>
    </w:lvl>
    <w:lvl w:ilvl="1">
      <w:start w:val="1"/>
      <w:numFmt w:val="lowerLetter"/>
      <w:pStyle w:val="ListAlpha2"/>
      <w:lvlText w:val="%2."/>
      <w:lvlJc w:val="left"/>
      <w:pPr>
        <w:ind w:left="454" w:hanging="227"/>
      </w:pPr>
      <w:rPr>
        <w:rFonts w:hint="default"/>
      </w:rPr>
    </w:lvl>
    <w:lvl w:ilvl="2">
      <w:start w:val="1"/>
      <w:numFmt w:val="lowerRoman"/>
      <w:pStyle w:val="ListAlpha3"/>
      <w:lvlText w:val="%3."/>
      <w:lvlJc w:val="left"/>
      <w:pPr>
        <w:ind w:left="454" w:hanging="227"/>
      </w:pPr>
      <w:rPr>
        <w:rFonts w:hint="default"/>
      </w:rPr>
    </w:lvl>
    <w:lvl w:ilvl="3">
      <w:start w:val="1"/>
      <w:numFmt w:val="lowerRoman"/>
      <w:pStyle w:val="ListAlpha4"/>
      <w:lvlText w:val="%4."/>
      <w:lvlJc w:val="left"/>
      <w:pPr>
        <w:ind w:left="680" w:hanging="226"/>
      </w:pPr>
      <w:rPr>
        <w:rFonts w:hint="default"/>
      </w:rPr>
    </w:lvl>
    <w:lvl w:ilvl="4">
      <w:start w:val="1"/>
      <w:numFmt w:val="lowerLetter"/>
      <w:lvlText w:val="(%5)"/>
      <w:lvlJc w:val="left"/>
      <w:pPr>
        <w:ind w:left="907" w:hanging="227"/>
      </w:pPr>
      <w:rPr>
        <w:rFonts w:hint="default"/>
      </w:rPr>
    </w:lvl>
    <w:lvl w:ilvl="5">
      <w:start w:val="1"/>
      <w:numFmt w:val="lowerRoman"/>
      <w:lvlText w:val="(%6)"/>
      <w:lvlJc w:val="left"/>
      <w:pPr>
        <w:ind w:left="1134" w:hanging="227"/>
      </w:pPr>
      <w:rPr>
        <w:rFonts w:hint="default"/>
      </w:rPr>
    </w:lvl>
    <w:lvl w:ilvl="6">
      <w:start w:val="1"/>
      <w:numFmt w:val="decimal"/>
      <w:lvlText w:val="%7."/>
      <w:lvlJc w:val="left"/>
      <w:pPr>
        <w:ind w:left="1361" w:hanging="227"/>
      </w:pPr>
      <w:rPr>
        <w:rFonts w:hint="default"/>
      </w:rPr>
    </w:lvl>
    <w:lvl w:ilvl="7">
      <w:start w:val="1"/>
      <w:numFmt w:val="lowerLetter"/>
      <w:lvlText w:val="%8."/>
      <w:lvlJc w:val="left"/>
      <w:pPr>
        <w:ind w:left="1588" w:hanging="227"/>
      </w:pPr>
      <w:rPr>
        <w:rFonts w:hint="default"/>
      </w:rPr>
    </w:lvl>
    <w:lvl w:ilvl="8">
      <w:start w:val="1"/>
      <w:numFmt w:val="lowerRoman"/>
      <w:lvlText w:val="%9."/>
      <w:lvlJc w:val="left"/>
      <w:pPr>
        <w:ind w:left="1814" w:hanging="226"/>
      </w:pPr>
      <w:rPr>
        <w:rFonts w:hint="default"/>
      </w:rPr>
    </w:lvl>
  </w:abstractNum>
  <w:abstractNum w:abstractNumId="14" w15:restartNumberingAfterBreak="0">
    <w:nsid w:val="1452415F"/>
    <w:multiLevelType w:val="hybridMultilevel"/>
    <w:tmpl w:val="11042038"/>
    <w:lvl w:ilvl="0" w:tplc="CC683DAA">
      <w:start w:val="1"/>
      <w:numFmt w:val="bullet"/>
      <w:pStyle w:val="KeyPointsListBullet2"/>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5" w15:restartNumberingAfterBreak="0">
    <w:nsid w:val="16155739"/>
    <w:multiLevelType w:val="multilevel"/>
    <w:tmpl w:val="55366B42"/>
    <w:styleLink w:val="LetteredList"/>
    <w:lvl w:ilvl="0">
      <w:start w:val="1"/>
      <w:numFmt w:val="lowerLetter"/>
      <w:pStyle w:val="List"/>
      <w:lvlText w:val="%1."/>
      <w:lvlJc w:val="left"/>
      <w:pPr>
        <w:ind w:left="227" w:hanging="227"/>
      </w:pPr>
      <w:rPr>
        <w:rFonts w:hint="default"/>
      </w:rPr>
    </w:lvl>
    <w:lvl w:ilvl="1">
      <w:start w:val="1"/>
      <w:numFmt w:val="lowerLetter"/>
      <w:pStyle w:val="List2"/>
      <w:lvlText w:val="%2."/>
      <w:lvlJc w:val="left"/>
      <w:pPr>
        <w:ind w:left="454" w:hanging="227"/>
      </w:pPr>
      <w:rPr>
        <w:rFonts w:hint="default"/>
      </w:rPr>
    </w:lvl>
    <w:lvl w:ilvl="2">
      <w:start w:val="1"/>
      <w:numFmt w:val="lowerRoman"/>
      <w:pStyle w:val="List3"/>
      <w:lvlText w:val="%3."/>
      <w:lvlJc w:val="left"/>
      <w:pPr>
        <w:ind w:left="454" w:hanging="227"/>
      </w:pPr>
      <w:rPr>
        <w:rFonts w:hint="default"/>
      </w:rPr>
    </w:lvl>
    <w:lvl w:ilvl="3">
      <w:start w:val="1"/>
      <w:numFmt w:val="lowerRoman"/>
      <w:pStyle w:val="List4"/>
      <w:lvlText w:val="%4."/>
      <w:lvlJc w:val="left"/>
      <w:pPr>
        <w:ind w:left="680" w:hanging="226"/>
      </w:pPr>
      <w:rPr>
        <w:rFonts w:hint="default"/>
      </w:rPr>
    </w:lvl>
    <w:lvl w:ilvl="4">
      <w:start w:val="1"/>
      <w:numFmt w:val="lowerRoman"/>
      <w:lvlText w:val="%5."/>
      <w:lvlJc w:val="left"/>
      <w:pPr>
        <w:ind w:left="907" w:hanging="227"/>
      </w:pPr>
      <w:rPr>
        <w:rFonts w:hint="default"/>
      </w:rPr>
    </w:lvl>
    <w:lvl w:ilvl="5">
      <w:start w:val="1"/>
      <w:numFmt w:val="lowerRoman"/>
      <w:lvlText w:val="%6."/>
      <w:lvlJc w:val="left"/>
      <w:pPr>
        <w:tabs>
          <w:tab w:val="num" w:pos="1644"/>
        </w:tabs>
        <w:ind w:left="1134" w:hanging="227"/>
      </w:pPr>
      <w:rPr>
        <w:rFonts w:hint="default"/>
      </w:rPr>
    </w:lvl>
    <w:lvl w:ilvl="6">
      <w:start w:val="1"/>
      <w:numFmt w:val="lowerLetter"/>
      <w:lvlText w:val="%7."/>
      <w:lvlJc w:val="left"/>
      <w:pPr>
        <w:ind w:left="1361" w:hanging="227"/>
      </w:pPr>
      <w:rPr>
        <w:rFonts w:hint="default"/>
      </w:rPr>
    </w:lvl>
    <w:lvl w:ilvl="7">
      <w:start w:val="1"/>
      <w:numFmt w:val="lowerLetter"/>
      <w:lvlText w:val="%8."/>
      <w:lvlJc w:val="left"/>
      <w:pPr>
        <w:ind w:left="1588" w:hanging="227"/>
      </w:pPr>
      <w:rPr>
        <w:rFonts w:hint="default"/>
      </w:rPr>
    </w:lvl>
    <w:lvl w:ilvl="8">
      <w:start w:val="1"/>
      <w:numFmt w:val="lowerLetter"/>
      <w:lvlText w:val="%9."/>
      <w:lvlJc w:val="left"/>
      <w:pPr>
        <w:ind w:left="1814" w:hanging="226"/>
      </w:pPr>
      <w:rPr>
        <w:rFonts w:hint="default"/>
      </w:rPr>
    </w:lvl>
  </w:abstractNum>
  <w:abstractNum w:abstractNumId="16" w15:restartNumberingAfterBreak="0">
    <w:nsid w:val="1A1A0E47"/>
    <w:multiLevelType w:val="multilevel"/>
    <w:tmpl w:val="BCC2EEC0"/>
    <w:lvl w:ilvl="0">
      <w:start w:val="1"/>
      <w:numFmt w:val="decimal"/>
      <w:pStyle w:val="Heading1"/>
      <w:isLgl/>
      <w:lvlText w:val="%1."/>
      <w:lvlJc w:val="left"/>
      <w:pPr>
        <w:ind w:left="1418" w:hanging="851"/>
      </w:pPr>
      <w:rPr>
        <w:rFonts w:hint="default"/>
      </w:rPr>
    </w:lvl>
    <w:lvl w:ilvl="1">
      <w:start w:val="1"/>
      <w:numFmt w:val="decimal"/>
      <w:suff w:val="space"/>
      <w:lvlText w:val="Box %1.%2"/>
      <w:lvlJc w:val="left"/>
      <w:pPr>
        <w:ind w:left="1134" w:hanging="1134"/>
      </w:pPr>
      <w:rPr>
        <w:rFonts w:hint="default"/>
      </w:rPr>
    </w:lvl>
    <w:lvl w:ilvl="2">
      <w:start w:val="1"/>
      <w:numFmt w:val="decimal"/>
      <w:pStyle w:val="Heading2"/>
      <w:lvlText w:val="%1.%3"/>
      <w:lvlJc w:val="left"/>
      <w:pPr>
        <w:ind w:left="1276" w:hanging="851"/>
      </w:pPr>
      <w:rPr>
        <w:rFonts w:hint="default"/>
      </w:rPr>
    </w:lvl>
    <w:lvl w:ilvl="3">
      <w:start w:val="1"/>
      <w:numFmt w:val="decimal"/>
      <w:lvlText w:val="%1.%2.%3.%4."/>
      <w:lvlJc w:val="left"/>
      <w:pPr>
        <w:ind w:left="1361" w:hanging="1361"/>
      </w:pPr>
      <w:rPr>
        <w:rFonts w:hint="default"/>
      </w:rPr>
    </w:lvl>
    <w:lvl w:ilvl="4">
      <w:start w:val="1"/>
      <w:numFmt w:val="decimal"/>
      <w:lvlText w:val="%1.%2.%3.%4.%5"/>
      <w:lvlJc w:val="left"/>
      <w:pPr>
        <w:ind w:left="1701" w:hanging="1701"/>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1E3E7AFF"/>
    <w:multiLevelType w:val="singleLevel"/>
    <w:tmpl w:val="D200D0D2"/>
    <w:styleLink w:val="Style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215905EC"/>
    <w:multiLevelType w:val="multilevel"/>
    <w:tmpl w:val="14F2CE60"/>
    <w:styleLink w:val="AppendixHeading"/>
    <w:lvl w:ilvl="0">
      <w:start w:val="1"/>
      <w:numFmt w:val="upperLetter"/>
      <w:lvlText w:val="%1."/>
      <w:lvlJc w:val="left"/>
      <w:pPr>
        <w:ind w:left="1418" w:hanging="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23FF358D"/>
    <w:multiLevelType w:val="singleLevel"/>
    <w:tmpl w:val="4146A198"/>
    <w:lvl w:ilvl="0">
      <w:start w:val="1"/>
      <w:numFmt w:val="bullet"/>
      <w:pStyle w:val="RecBBullet"/>
      <w:lvlText w:val=""/>
      <w:lvlJc w:val="left"/>
      <w:pPr>
        <w:tabs>
          <w:tab w:val="num" w:pos="340"/>
        </w:tabs>
        <w:ind w:left="340" w:hanging="340"/>
      </w:pPr>
      <w:rPr>
        <w:rFonts w:ascii="Symbol" w:hAnsi="Symbol" w:hint="default"/>
        <w:b w:val="0"/>
        <w:i w:val="0"/>
        <w:sz w:val="18"/>
      </w:rPr>
    </w:lvl>
  </w:abstractNum>
  <w:abstractNum w:abstractNumId="20" w15:restartNumberingAfterBreak="0">
    <w:nsid w:val="277A1C71"/>
    <w:multiLevelType w:val="hybridMultilevel"/>
    <w:tmpl w:val="4FFE502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2B466A13"/>
    <w:multiLevelType w:val="hybridMultilevel"/>
    <w:tmpl w:val="3E0CC5BA"/>
    <w:lvl w:ilvl="0" w:tplc="2B829644">
      <w:numFmt w:val="bullet"/>
      <w:pStyle w:val="BoxQuoteBullet"/>
      <w:lvlText w:val=""/>
      <w:lvlJc w:val="left"/>
      <w:pPr>
        <w:ind w:left="1004" w:hanging="360"/>
      </w:pPr>
      <w:rPr>
        <w:rFonts w:ascii="Symbol" w:hAnsi="Symbol" w:hint="default"/>
        <w:sz w:val="18"/>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2" w15:restartNumberingAfterBreak="0">
    <w:nsid w:val="2D665246"/>
    <w:multiLevelType w:val="multilevel"/>
    <w:tmpl w:val="55366B42"/>
    <w:numStyleLink w:val="LetteredList"/>
  </w:abstractNum>
  <w:abstractNum w:abstractNumId="23" w15:restartNumberingAfterBreak="0">
    <w:nsid w:val="2DFE29AF"/>
    <w:multiLevelType w:val="multilevel"/>
    <w:tmpl w:val="72768BCE"/>
    <w:numStyleLink w:val="AppendixHeadingList"/>
  </w:abstractNum>
  <w:abstractNum w:abstractNumId="24" w15:restartNumberingAfterBreak="0">
    <w:nsid w:val="30E90CE4"/>
    <w:multiLevelType w:val="singleLevel"/>
    <w:tmpl w:val="52F61D9A"/>
    <w:lvl w:ilvl="0">
      <w:start w:val="1"/>
      <w:numFmt w:val="bullet"/>
      <w:lvlText w:val=""/>
      <w:lvlJc w:val="left"/>
      <w:pPr>
        <w:tabs>
          <w:tab w:val="num" w:pos="284"/>
        </w:tabs>
        <w:ind w:left="284" w:hanging="284"/>
      </w:pPr>
      <w:rPr>
        <w:rFonts w:ascii="Symbol" w:hAnsi="Symbol" w:hint="default"/>
        <w:sz w:val="18"/>
      </w:rPr>
    </w:lvl>
  </w:abstractNum>
  <w:abstractNum w:abstractNumId="25" w15:restartNumberingAfterBreak="0">
    <w:nsid w:val="34945759"/>
    <w:multiLevelType w:val="multilevel"/>
    <w:tmpl w:val="EDDA6002"/>
    <w:styleLink w:val="TOCList"/>
    <w:lvl w:ilvl="0">
      <w:start w:val="1"/>
      <w:numFmt w:val="decimal"/>
      <w:lvlText w:val="%1"/>
      <w:lvlJc w:val="left"/>
      <w:pPr>
        <w:ind w:left="567" w:hanging="567"/>
      </w:pPr>
      <w:rPr>
        <w:rFonts w:hint="default"/>
        <w:b/>
        <w:i w:val="0"/>
        <w:color w:val="265A9A" w:themeColor="background2"/>
      </w:rPr>
    </w:lvl>
    <w:lvl w:ilvl="1">
      <w:start w:val="1"/>
      <w:numFmt w:val="decimal"/>
      <w:lvlText w:val="%1.%2"/>
      <w:lvlJc w:val="left"/>
      <w:pPr>
        <w:ind w:left="851" w:hanging="284"/>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3DD557AB"/>
    <w:multiLevelType w:val="hybridMultilevel"/>
    <w:tmpl w:val="840C25D2"/>
    <w:lvl w:ilvl="0" w:tplc="C12EA4B0">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467F3571"/>
    <w:multiLevelType w:val="multilevel"/>
    <w:tmpl w:val="DE7E2246"/>
    <w:styleLink w:val="Figure"/>
    <w:lvl w:ilvl="0">
      <w:start w:val="1"/>
      <w:numFmt w:val="lowerLetter"/>
      <w:suff w:val="space"/>
      <w:lvlText w:val="%1."/>
      <w:lvlJc w:val="left"/>
      <w:pPr>
        <w:ind w:left="0" w:firstLine="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4C2B5347"/>
    <w:multiLevelType w:val="hybridMultilevel"/>
    <w:tmpl w:val="8B002072"/>
    <w:lvl w:ilvl="0" w:tplc="720CA4D2">
      <w:start w:val="1"/>
      <w:numFmt w:val="bullet"/>
      <w:pStyle w:val="InformationRequestBullet"/>
      <w:lvlText w:val=""/>
      <w:lvlJc w:val="left"/>
      <w:pPr>
        <w:ind w:left="36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2670128"/>
    <w:multiLevelType w:val="hybridMultilevel"/>
    <w:tmpl w:val="AD36805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543E1FD6"/>
    <w:multiLevelType w:val="singleLevel"/>
    <w:tmpl w:val="039AA380"/>
    <w:lvl w:ilvl="0">
      <w:start w:val="1"/>
      <w:numFmt w:val="bullet"/>
      <w:pStyle w:val="TableBullet"/>
      <w:lvlText w:val=""/>
      <w:lvlJc w:val="left"/>
      <w:pPr>
        <w:tabs>
          <w:tab w:val="num" w:pos="170"/>
        </w:tabs>
        <w:ind w:left="170" w:hanging="170"/>
      </w:pPr>
      <w:rPr>
        <w:rFonts w:ascii="Symbol" w:hAnsi="Symbol" w:hint="default"/>
        <w:b w:val="0"/>
        <w:i w:val="0"/>
        <w:sz w:val="18"/>
      </w:rPr>
    </w:lvl>
  </w:abstractNum>
  <w:abstractNum w:abstractNumId="31" w15:restartNumberingAfterBreak="0">
    <w:nsid w:val="592D6D4E"/>
    <w:multiLevelType w:val="hybridMultilevel"/>
    <w:tmpl w:val="0C44FF7A"/>
    <w:lvl w:ilvl="0" w:tplc="B4385E08">
      <w:start w:val="1"/>
      <w:numFmt w:val="bullet"/>
      <w:pStyle w:val="BoxListBullet3"/>
      <w:lvlText w:val=""/>
      <w:lvlJc w:val="left"/>
      <w:pPr>
        <w:ind w:left="1287" w:hanging="360"/>
      </w:pPr>
      <w:rPr>
        <w:rFonts w:ascii="MT Extra" w:hAnsi="MT Extra" w:hint="default"/>
        <w:b w:val="0"/>
        <w:i w:val="0"/>
        <w:sz w:val="16"/>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2" w15:restartNumberingAfterBreak="0">
    <w:nsid w:val="5B4B216D"/>
    <w:multiLevelType w:val="multilevel"/>
    <w:tmpl w:val="B2586F72"/>
    <w:styleLink w:val="CurrentList1"/>
    <w:lvl w:ilvl="0">
      <w:start w:val="12"/>
      <w:numFmt w:val="decimal"/>
      <w:isLgl/>
      <w:lvlText w:val="%1."/>
      <w:lvlJc w:val="left"/>
      <w:pPr>
        <w:ind w:left="1418" w:hanging="851"/>
      </w:pPr>
      <w:rPr>
        <w:rFonts w:hint="default"/>
      </w:rPr>
    </w:lvl>
    <w:lvl w:ilvl="1">
      <w:start w:val="1"/>
      <w:numFmt w:val="decimal"/>
      <w:suff w:val="space"/>
      <w:lvlText w:val="Box %1.%2"/>
      <w:lvlJc w:val="left"/>
      <w:pPr>
        <w:ind w:left="1134" w:hanging="1134"/>
      </w:pPr>
      <w:rPr>
        <w:rFonts w:hint="default"/>
      </w:rPr>
    </w:lvl>
    <w:lvl w:ilvl="2">
      <w:start w:val="1"/>
      <w:numFmt w:val="decimal"/>
      <w:lvlText w:val="%1.%3"/>
      <w:lvlJc w:val="left"/>
      <w:pPr>
        <w:ind w:left="851" w:hanging="851"/>
      </w:pPr>
      <w:rPr>
        <w:rFonts w:hint="default"/>
      </w:rPr>
    </w:lvl>
    <w:lvl w:ilvl="3">
      <w:start w:val="1"/>
      <w:numFmt w:val="decimal"/>
      <w:lvlText w:val="%1.%2.%3.%4."/>
      <w:lvlJc w:val="left"/>
      <w:pPr>
        <w:ind w:left="1361" w:hanging="1361"/>
      </w:pPr>
      <w:rPr>
        <w:rFonts w:hint="default"/>
      </w:rPr>
    </w:lvl>
    <w:lvl w:ilvl="4">
      <w:start w:val="1"/>
      <w:numFmt w:val="decimal"/>
      <w:lvlText w:val="%1.%2.%3.%4.%5"/>
      <w:lvlJc w:val="left"/>
      <w:pPr>
        <w:ind w:left="1701" w:hanging="1701"/>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5B687294"/>
    <w:multiLevelType w:val="multilevel"/>
    <w:tmpl w:val="BC6CEC38"/>
    <w:styleLink w:val="BoxList"/>
    <w:lvl w:ilvl="0">
      <w:start w:val="1"/>
      <w:numFmt w:val="decimal"/>
      <w:suff w:val="space"/>
      <w:lvlText w:val="Box %1 —"/>
      <w:lvlJc w:val="left"/>
      <w:pPr>
        <w:ind w:left="360" w:hanging="360"/>
      </w:pPr>
      <w:rPr>
        <w:rFonts w:hint="default"/>
      </w:rPr>
    </w:lvl>
    <w:lvl w:ilvl="1">
      <w:start w:val="1"/>
      <w:numFmt w:val="decimal"/>
      <w:suff w:val="space"/>
      <w:lvlText w:val="Box %1.%2 —"/>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5F075794"/>
    <w:multiLevelType w:val="hybridMultilevel"/>
    <w:tmpl w:val="1A50F6EC"/>
    <w:lvl w:ilvl="0" w:tplc="F33E500E">
      <w:start w:val="1"/>
      <w:numFmt w:val="bullet"/>
      <w:pStyle w:val="Dots"/>
      <w:lvlText w:val=""/>
      <w:lvlJc w:val="left"/>
      <w:pPr>
        <w:ind w:left="36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5" w15:restartNumberingAfterBreak="0">
    <w:nsid w:val="60A27097"/>
    <w:multiLevelType w:val="hybridMultilevel"/>
    <w:tmpl w:val="39D64E4A"/>
    <w:lvl w:ilvl="0" w:tplc="FEF6E6BE">
      <w:start w:val="1"/>
      <w:numFmt w:val="bullet"/>
      <w:pStyle w:val="KeyPointsListBullet"/>
      <w:lvlText w:val=""/>
      <w:lvlJc w:val="left"/>
      <w:pPr>
        <w:ind w:left="72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0E1502C"/>
    <w:multiLevelType w:val="multilevel"/>
    <w:tmpl w:val="FF8069A4"/>
    <w:styleLink w:val="Bullets"/>
    <w:lvl w:ilvl="0">
      <w:start w:val="1"/>
      <w:numFmt w:val="bullet"/>
      <w:pStyle w:val="ListBullet"/>
      <w:lvlText w:val="•"/>
      <w:lvlJc w:val="left"/>
      <w:pPr>
        <w:ind w:left="227" w:hanging="227"/>
      </w:pPr>
      <w:rPr>
        <w:rFonts w:ascii="Times New Roman" w:hAnsi="Times New Roman" w:cs="Times New Roman" w:hint="default"/>
        <w:color w:val="auto"/>
      </w:rPr>
    </w:lvl>
    <w:lvl w:ilvl="1">
      <w:start w:val="1"/>
      <w:numFmt w:val="bullet"/>
      <w:pStyle w:val="ListBullet2"/>
      <w:lvlText w:val="–"/>
      <w:lvlJc w:val="left"/>
      <w:pPr>
        <w:ind w:left="454" w:hanging="227"/>
      </w:pPr>
      <w:rPr>
        <w:rFonts w:ascii="Arial" w:hAnsi="Arial" w:hint="default"/>
        <w:color w:val="auto"/>
      </w:rPr>
    </w:lvl>
    <w:lvl w:ilvl="2">
      <w:start w:val="1"/>
      <w:numFmt w:val="bullet"/>
      <w:pStyle w:val="ListBullet3"/>
      <w:lvlText w:val="»"/>
      <w:lvlJc w:val="left"/>
      <w:pPr>
        <w:ind w:left="907" w:hanging="227"/>
      </w:pPr>
      <w:rPr>
        <w:rFonts w:ascii="Arial" w:hAnsi="Arial" w:hint="default"/>
        <w:color w:val="auto"/>
      </w:rPr>
    </w:lvl>
    <w:lvl w:ilvl="3">
      <w:start w:val="1"/>
      <w:numFmt w:val="bullet"/>
      <w:lvlText w:val="–"/>
      <w:lvlJc w:val="left"/>
      <w:pPr>
        <w:tabs>
          <w:tab w:val="num" w:pos="851"/>
        </w:tabs>
        <w:ind w:left="907" w:hanging="227"/>
      </w:pPr>
      <w:rPr>
        <w:rFonts w:ascii="Arial" w:hAnsi="Arial" w:hint="default"/>
        <w:color w:val="auto"/>
      </w:rPr>
    </w:lvl>
    <w:lvl w:ilvl="4">
      <w:start w:val="1"/>
      <w:numFmt w:val="bullet"/>
      <w:lvlText w:val="–"/>
      <w:lvlJc w:val="left"/>
      <w:pPr>
        <w:ind w:left="1134" w:hanging="227"/>
      </w:pPr>
      <w:rPr>
        <w:rFonts w:ascii="Arial" w:hAnsi="Arial" w:hint="default"/>
        <w:color w:val="auto"/>
      </w:rPr>
    </w:lvl>
    <w:lvl w:ilvl="5">
      <w:start w:val="1"/>
      <w:numFmt w:val="bullet"/>
      <w:lvlText w:val="–"/>
      <w:lvlJc w:val="left"/>
      <w:pPr>
        <w:ind w:left="1361" w:hanging="227"/>
      </w:pPr>
      <w:rPr>
        <w:rFonts w:ascii="Arial" w:hAnsi="Arial" w:hint="default"/>
      </w:rPr>
    </w:lvl>
    <w:lvl w:ilvl="6">
      <w:start w:val="1"/>
      <w:numFmt w:val="bullet"/>
      <w:lvlText w:val="–"/>
      <w:lvlJc w:val="left"/>
      <w:pPr>
        <w:ind w:left="1588" w:hanging="227"/>
      </w:pPr>
      <w:rPr>
        <w:rFonts w:ascii="Arial" w:hAnsi="Arial" w:hint="default"/>
      </w:rPr>
    </w:lvl>
    <w:lvl w:ilvl="7">
      <w:start w:val="1"/>
      <w:numFmt w:val="bullet"/>
      <w:lvlText w:val="–"/>
      <w:lvlJc w:val="left"/>
      <w:pPr>
        <w:ind w:left="1814" w:hanging="226"/>
      </w:pPr>
      <w:rPr>
        <w:rFonts w:ascii="Arial" w:hAnsi="Arial" w:hint="default"/>
      </w:rPr>
    </w:lvl>
    <w:lvl w:ilvl="8">
      <w:start w:val="1"/>
      <w:numFmt w:val="bullet"/>
      <w:lvlText w:val="–"/>
      <w:lvlJc w:val="left"/>
      <w:pPr>
        <w:tabs>
          <w:tab w:val="num" w:pos="2211"/>
        </w:tabs>
        <w:ind w:left="2041" w:hanging="227"/>
      </w:pPr>
      <w:rPr>
        <w:rFonts w:ascii="Arial" w:hAnsi="Arial" w:hint="default"/>
      </w:rPr>
    </w:lvl>
  </w:abstractNum>
  <w:abstractNum w:abstractNumId="37" w15:restartNumberingAfterBreak="0">
    <w:nsid w:val="6A120A86"/>
    <w:multiLevelType w:val="multilevel"/>
    <w:tmpl w:val="BE847070"/>
    <w:lvl w:ilvl="0">
      <w:start w:val="9"/>
      <w:numFmt w:val="decimal"/>
      <w:lvlText w:val="%1"/>
      <w:lvlJc w:val="left"/>
      <w:pPr>
        <w:ind w:left="504" w:hanging="504"/>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38" w15:restartNumberingAfterBreak="0">
    <w:nsid w:val="761B4A1B"/>
    <w:multiLevelType w:val="multilevel"/>
    <w:tmpl w:val="4F48000A"/>
    <w:numStyleLink w:val="Alphalist"/>
  </w:abstractNum>
  <w:abstractNum w:abstractNumId="39" w15:restartNumberingAfterBreak="0">
    <w:nsid w:val="7A1373DF"/>
    <w:multiLevelType w:val="singleLevel"/>
    <w:tmpl w:val="A2A29D54"/>
    <w:lvl w:ilvl="0">
      <w:start w:val="1"/>
      <w:numFmt w:val="bullet"/>
      <w:pStyle w:val="FindingBullet"/>
      <w:lvlText w:val=""/>
      <w:lvlJc w:val="left"/>
      <w:pPr>
        <w:tabs>
          <w:tab w:val="num" w:pos="340"/>
        </w:tabs>
        <w:ind w:left="340" w:hanging="340"/>
      </w:pPr>
      <w:rPr>
        <w:rFonts w:ascii="Symbol" w:hAnsi="Symbol" w:hint="default"/>
        <w:b w:val="0"/>
        <w:i w:val="0"/>
        <w:sz w:val="18"/>
      </w:rPr>
    </w:lvl>
  </w:abstractNum>
  <w:abstractNum w:abstractNumId="40" w15:restartNumberingAfterBreak="0">
    <w:nsid w:val="7BFA7D75"/>
    <w:multiLevelType w:val="singleLevel"/>
    <w:tmpl w:val="B4C476FC"/>
    <w:lvl w:ilvl="0">
      <w:start w:val="1"/>
      <w:numFmt w:val="bullet"/>
      <w:pStyle w:val="RecBullet"/>
      <w:lvlText w:val=""/>
      <w:lvlJc w:val="left"/>
      <w:pPr>
        <w:tabs>
          <w:tab w:val="num" w:pos="340"/>
        </w:tabs>
        <w:ind w:left="340" w:hanging="340"/>
      </w:pPr>
      <w:rPr>
        <w:rFonts w:ascii="Symbol" w:hAnsi="Symbol" w:hint="default"/>
        <w:b w:val="0"/>
        <w:i w:val="0"/>
        <w:sz w:val="18"/>
      </w:rPr>
    </w:lvl>
  </w:abstractNum>
  <w:num w:numId="1" w16cid:durableId="1150439339">
    <w:abstractNumId w:val="13"/>
  </w:num>
  <w:num w:numId="2" w16cid:durableId="1275039">
    <w:abstractNumId w:val="4"/>
  </w:num>
  <w:num w:numId="3" w16cid:durableId="28068983">
    <w:abstractNumId w:val="18"/>
  </w:num>
  <w:num w:numId="4" w16cid:durableId="671951492">
    <w:abstractNumId w:val="33"/>
  </w:num>
  <w:num w:numId="5" w16cid:durableId="2015565987">
    <w:abstractNumId w:val="36"/>
  </w:num>
  <w:num w:numId="6" w16cid:durableId="1295450358">
    <w:abstractNumId w:val="27"/>
  </w:num>
  <w:num w:numId="7" w16cid:durableId="729503927">
    <w:abstractNumId w:val="23"/>
  </w:num>
  <w:num w:numId="8" w16cid:durableId="468060053">
    <w:abstractNumId w:val="15"/>
  </w:num>
  <w:num w:numId="9" w16cid:durableId="1695232906">
    <w:abstractNumId w:val="22"/>
  </w:num>
  <w:num w:numId="10" w16cid:durableId="1026176802">
    <w:abstractNumId w:val="38"/>
  </w:num>
  <w:num w:numId="11" w16cid:durableId="1332025037">
    <w:abstractNumId w:val="0"/>
  </w:num>
  <w:num w:numId="12" w16cid:durableId="646937125">
    <w:abstractNumId w:val="6"/>
  </w:num>
  <w:num w:numId="13" w16cid:durableId="2003118797">
    <w:abstractNumId w:val="16"/>
  </w:num>
  <w:num w:numId="14" w16cid:durableId="1151480832">
    <w:abstractNumId w:val="11"/>
  </w:num>
  <w:num w:numId="15" w16cid:durableId="133719705">
    <w:abstractNumId w:val="3"/>
  </w:num>
  <w:num w:numId="16" w16cid:durableId="1112361401">
    <w:abstractNumId w:val="25"/>
  </w:num>
  <w:num w:numId="17" w16cid:durableId="501967558">
    <w:abstractNumId w:val="10"/>
  </w:num>
  <w:num w:numId="18" w16cid:durableId="1143280077">
    <w:abstractNumId w:val="2"/>
  </w:num>
  <w:num w:numId="19" w16cid:durableId="457182343">
    <w:abstractNumId w:val="31"/>
  </w:num>
  <w:num w:numId="20" w16cid:durableId="55513800">
    <w:abstractNumId w:val="40"/>
  </w:num>
  <w:num w:numId="21" w16cid:durableId="875312039">
    <w:abstractNumId w:val="1"/>
  </w:num>
  <w:num w:numId="22" w16cid:durableId="1546141783">
    <w:abstractNumId w:val="24"/>
  </w:num>
  <w:num w:numId="23" w16cid:durableId="1553999366">
    <w:abstractNumId w:val="21"/>
  </w:num>
  <w:num w:numId="24" w16cid:durableId="537425992">
    <w:abstractNumId w:val="17"/>
  </w:num>
  <w:num w:numId="25" w16cid:durableId="785320216">
    <w:abstractNumId w:val="35"/>
  </w:num>
  <w:num w:numId="26" w16cid:durableId="61880060">
    <w:abstractNumId w:val="34"/>
  </w:num>
  <w:num w:numId="27" w16cid:durableId="421530645">
    <w:abstractNumId w:val="9"/>
  </w:num>
  <w:num w:numId="28" w16cid:durableId="838890488">
    <w:abstractNumId w:val="8"/>
  </w:num>
  <w:num w:numId="29" w16cid:durableId="1101143217">
    <w:abstractNumId w:val="39"/>
  </w:num>
  <w:num w:numId="30" w16cid:durableId="1519276335">
    <w:abstractNumId w:val="14"/>
  </w:num>
  <w:num w:numId="31" w16cid:durableId="738871578">
    <w:abstractNumId w:val="32"/>
  </w:num>
  <w:num w:numId="32" w16cid:durableId="942499718">
    <w:abstractNumId w:val="12"/>
  </w:num>
  <w:num w:numId="33" w16cid:durableId="1246037822">
    <w:abstractNumId w:val="30"/>
  </w:num>
  <w:num w:numId="34" w16cid:durableId="271936057">
    <w:abstractNumId w:val="19"/>
  </w:num>
  <w:num w:numId="35" w16cid:durableId="1633320200">
    <w:abstractNumId w:val="28"/>
  </w:num>
  <w:num w:numId="36" w16cid:durableId="1630161560">
    <w:abstractNumId w:val="37"/>
  </w:num>
  <w:num w:numId="37" w16cid:durableId="693070223">
    <w:abstractNumId w:val="26"/>
  </w:num>
  <w:num w:numId="38" w16cid:durableId="302009256">
    <w:abstractNumId w:val="10"/>
  </w:num>
  <w:num w:numId="39" w16cid:durableId="1443920625">
    <w:abstractNumId w:val="10"/>
  </w:num>
  <w:num w:numId="40" w16cid:durableId="817309073">
    <w:abstractNumId w:val="29"/>
  </w:num>
  <w:num w:numId="41" w16cid:durableId="493032097">
    <w:abstractNumId w:val="5"/>
  </w:num>
  <w:num w:numId="42" w16cid:durableId="1248728488">
    <w:abstractNumId w:val="7"/>
  </w:num>
  <w:num w:numId="43" w16cid:durableId="1823350479">
    <w:abstractNumId w:val="20"/>
  </w:num>
  <w:num w:numId="44" w16cid:durableId="63766963">
    <w:abstractNumId w:val="10"/>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120"/>
    <w:rsid w:val="00000075"/>
    <w:rsid w:val="0000088E"/>
    <w:rsid w:val="00000F3C"/>
    <w:rsid w:val="000010F3"/>
    <w:rsid w:val="00001656"/>
    <w:rsid w:val="00001CDA"/>
    <w:rsid w:val="00001E21"/>
    <w:rsid w:val="00002737"/>
    <w:rsid w:val="00002AA0"/>
    <w:rsid w:val="00002D7B"/>
    <w:rsid w:val="00003103"/>
    <w:rsid w:val="00003B1E"/>
    <w:rsid w:val="00003E5B"/>
    <w:rsid w:val="00004489"/>
    <w:rsid w:val="000045BF"/>
    <w:rsid w:val="00004B9E"/>
    <w:rsid w:val="00004FBD"/>
    <w:rsid w:val="00005294"/>
    <w:rsid w:val="000053F2"/>
    <w:rsid w:val="0000586E"/>
    <w:rsid w:val="00005C79"/>
    <w:rsid w:val="00006C36"/>
    <w:rsid w:val="00006D0F"/>
    <w:rsid w:val="00007198"/>
    <w:rsid w:val="00007965"/>
    <w:rsid w:val="00007CAC"/>
    <w:rsid w:val="00007EDF"/>
    <w:rsid w:val="000100C0"/>
    <w:rsid w:val="00010D15"/>
    <w:rsid w:val="00011991"/>
    <w:rsid w:val="00012A16"/>
    <w:rsid w:val="00012DF2"/>
    <w:rsid w:val="0001314F"/>
    <w:rsid w:val="0001333D"/>
    <w:rsid w:val="00013CEB"/>
    <w:rsid w:val="00014164"/>
    <w:rsid w:val="00014900"/>
    <w:rsid w:val="00014BDE"/>
    <w:rsid w:val="0001508A"/>
    <w:rsid w:val="00015109"/>
    <w:rsid w:val="0001550C"/>
    <w:rsid w:val="00015937"/>
    <w:rsid w:val="00015CDF"/>
    <w:rsid w:val="0001632F"/>
    <w:rsid w:val="00016660"/>
    <w:rsid w:val="00016C9A"/>
    <w:rsid w:val="0001703B"/>
    <w:rsid w:val="000170CE"/>
    <w:rsid w:val="000174D4"/>
    <w:rsid w:val="00017C45"/>
    <w:rsid w:val="00020555"/>
    <w:rsid w:val="00021471"/>
    <w:rsid w:val="0002176B"/>
    <w:rsid w:val="0002236E"/>
    <w:rsid w:val="00022877"/>
    <w:rsid w:val="00022B9F"/>
    <w:rsid w:val="00022C44"/>
    <w:rsid w:val="00022DC2"/>
    <w:rsid w:val="00022F40"/>
    <w:rsid w:val="000230EC"/>
    <w:rsid w:val="00024F6B"/>
    <w:rsid w:val="000252A8"/>
    <w:rsid w:val="000252DA"/>
    <w:rsid w:val="00025AC6"/>
    <w:rsid w:val="0002620E"/>
    <w:rsid w:val="000263EA"/>
    <w:rsid w:val="00026827"/>
    <w:rsid w:val="00026C04"/>
    <w:rsid w:val="00027575"/>
    <w:rsid w:val="000300AF"/>
    <w:rsid w:val="000300EF"/>
    <w:rsid w:val="00030277"/>
    <w:rsid w:val="0003070D"/>
    <w:rsid w:val="00031577"/>
    <w:rsid w:val="00031F1B"/>
    <w:rsid w:val="00032102"/>
    <w:rsid w:val="00032259"/>
    <w:rsid w:val="000323AE"/>
    <w:rsid w:val="0003249B"/>
    <w:rsid w:val="000331E4"/>
    <w:rsid w:val="0003338D"/>
    <w:rsid w:val="00033619"/>
    <w:rsid w:val="000336D2"/>
    <w:rsid w:val="00033C3D"/>
    <w:rsid w:val="00034107"/>
    <w:rsid w:val="00034201"/>
    <w:rsid w:val="00034BF6"/>
    <w:rsid w:val="00034E80"/>
    <w:rsid w:val="00034F8C"/>
    <w:rsid w:val="000355E8"/>
    <w:rsid w:val="00035A3C"/>
    <w:rsid w:val="00035C27"/>
    <w:rsid w:val="000365ED"/>
    <w:rsid w:val="0003744C"/>
    <w:rsid w:val="00037D09"/>
    <w:rsid w:val="000404EA"/>
    <w:rsid w:val="000408D6"/>
    <w:rsid w:val="00041571"/>
    <w:rsid w:val="000416AA"/>
    <w:rsid w:val="0004195F"/>
    <w:rsid w:val="000422F9"/>
    <w:rsid w:val="000426C2"/>
    <w:rsid w:val="0004282C"/>
    <w:rsid w:val="00042BE6"/>
    <w:rsid w:val="00042CB5"/>
    <w:rsid w:val="00042F32"/>
    <w:rsid w:val="00043CE7"/>
    <w:rsid w:val="00044348"/>
    <w:rsid w:val="0004467D"/>
    <w:rsid w:val="00044756"/>
    <w:rsid w:val="0004549A"/>
    <w:rsid w:val="0004550C"/>
    <w:rsid w:val="00045882"/>
    <w:rsid w:val="00045F00"/>
    <w:rsid w:val="000471B1"/>
    <w:rsid w:val="00047628"/>
    <w:rsid w:val="00047894"/>
    <w:rsid w:val="000478B4"/>
    <w:rsid w:val="00047E0A"/>
    <w:rsid w:val="00047FA4"/>
    <w:rsid w:val="00050A28"/>
    <w:rsid w:val="00050E13"/>
    <w:rsid w:val="00050E95"/>
    <w:rsid w:val="000512B2"/>
    <w:rsid w:val="0005151B"/>
    <w:rsid w:val="00051743"/>
    <w:rsid w:val="00051CD0"/>
    <w:rsid w:val="00051F84"/>
    <w:rsid w:val="00052131"/>
    <w:rsid w:val="00052323"/>
    <w:rsid w:val="00052A46"/>
    <w:rsid w:val="00052A65"/>
    <w:rsid w:val="00053AC8"/>
    <w:rsid w:val="00054BBC"/>
    <w:rsid w:val="00054C95"/>
    <w:rsid w:val="00054FF5"/>
    <w:rsid w:val="00055496"/>
    <w:rsid w:val="00055635"/>
    <w:rsid w:val="00055E80"/>
    <w:rsid w:val="000561CF"/>
    <w:rsid w:val="0005633F"/>
    <w:rsid w:val="00056803"/>
    <w:rsid w:val="00056B59"/>
    <w:rsid w:val="00056D84"/>
    <w:rsid w:val="00056F53"/>
    <w:rsid w:val="0005774F"/>
    <w:rsid w:val="00057887"/>
    <w:rsid w:val="0006019A"/>
    <w:rsid w:val="000602C9"/>
    <w:rsid w:val="00060AB6"/>
    <w:rsid w:val="00061491"/>
    <w:rsid w:val="00061C25"/>
    <w:rsid w:val="00061FB6"/>
    <w:rsid w:val="00062477"/>
    <w:rsid w:val="00062A44"/>
    <w:rsid w:val="00062C47"/>
    <w:rsid w:val="000632D5"/>
    <w:rsid w:val="000653D1"/>
    <w:rsid w:val="000659FD"/>
    <w:rsid w:val="00065D97"/>
    <w:rsid w:val="00065E52"/>
    <w:rsid w:val="00066684"/>
    <w:rsid w:val="00067192"/>
    <w:rsid w:val="00067D60"/>
    <w:rsid w:val="000713A0"/>
    <w:rsid w:val="00071967"/>
    <w:rsid w:val="00071B95"/>
    <w:rsid w:val="00071E79"/>
    <w:rsid w:val="000721EB"/>
    <w:rsid w:val="000724AE"/>
    <w:rsid w:val="00072905"/>
    <w:rsid w:val="000736FB"/>
    <w:rsid w:val="0007370A"/>
    <w:rsid w:val="00073973"/>
    <w:rsid w:val="00074072"/>
    <w:rsid w:val="00074428"/>
    <w:rsid w:val="000744D0"/>
    <w:rsid w:val="00074551"/>
    <w:rsid w:val="00074A3B"/>
    <w:rsid w:val="00074CBB"/>
    <w:rsid w:val="0007573F"/>
    <w:rsid w:val="00075C95"/>
    <w:rsid w:val="00075D57"/>
    <w:rsid w:val="0007671D"/>
    <w:rsid w:val="00076D53"/>
    <w:rsid w:val="000773D0"/>
    <w:rsid w:val="000776CE"/>
    <w:rsid w:val="0007776A"/>
    <w:rsid w:val="000778C8"/>
    <w:rsid w:val="00077930"/>
    <w:rsid w:val="00077A76"/>
    <w:rsid w:val="000802CB"/>
    <w:rsid w:val="0008037D"/>
    <w:rsid w:val="0008196F"/>
    <w:rsid w:val="000821AE"/>
    <w:rsid w:val="00082966"/>
    <w:rsid w:val="0008297D"/>
    <w:rsid w:val="0008395E"/>
    <w:rsid w:val="00083ED3"/>
    <w:rsid w:val="00084660"/>
    <w:rsid w:val="00085FB9"/>
    <w:rsid w:val="00085FE7"/>
    <w:rsid w:val="00086251"/>
    <w:rsid w:val="00086CBC"/>
    <w:rsid w:val="00086F82"/>
    <w:rsid w:val="00087099"/>
    <w:rsid w:val="000871DE"/>
    <w:rsid w:val="00087885"/>
    <w:rsid w:val="00087893"/>
    <w:rsid w:val="00087D8C"/>
    <w:rsid w:val="00087F83"/>
    <w:rsid w:val="000903A3"/>
    <w:rsid w:val="000907ED"/>
    <w:rsid w:val="00090A20"/>
    <w:rsid w:val="00090A92"/>
    <w:rsid w:val="00090E08"/>
    <w:rsid w:val="000911A5"/>
    <w:rsid w:val="00091286"/>
    <w:rsid w:val="00091615"/>
    <w:rsid w:val="00092827"/>
    <w:rsid w:val="00092CDF"/>
    <w:rsid w:val="00092CF4"/>
    <w:rsid w:val="0009314D"/>
    <w:rsid w:val="0009353D"/>
    <w:rsid w:val="00093B19"/>
    <w:rsid w:val="0009417F"/>
    <w:rsid w:val="0009435A"/>
    <w:rsid w:val="00094B22"/>
    <w:rsid w:val="00094CA4"/>
    <w:rsid w:val="00094E2A"/>
    <w:rsid w:val="0009501E"/>
    <w:rsid w:val="000957DD"/>
    <w:rsid w:val="000961BC"/>
    <w:rsid w:val="000967E1"/>
    <w:rsid w:val="00096EE5"/>
    <w:rsid w:val="000971A0"/>
    <w:rsid w:val="000973BD"/>
    <w:rsid w:val="00097D07"/>
    <w:rsid w:val="00097F30"/>
    <w:rsid w:val="000A0766"/>
    <w:rsid w:val="000A07B0"/>
    <w:rsid w:val="000A0D81"/>
    <w:rsid w:val="000A0E23"/>
    <w:rsid w:val="000A0F08"/>
    <w:rsid w:val="000A0F5D"/>
    <w:rsid w:val="000A12CB"/>
    <w:rsid w:val="000A15E3"/>
    <w:rsid w:val="000A1DA5"/>
    <w:rsid w:val="000A1FB2"/>
    <w:rsid w:val="000A253F"/>
    <w:rsid w:val="000A2B2B"/>
    <w:rsid w:val="000A35FD"/>
    <w:rsid w:val="000A38AA"/>
    <w:rsid w:val="000A3B2E"/>
    <w:rsid w:val="000A4317"/>
    <w:rsid w:val="000A44C7"/>
    <w:rsid w:val="000A45F6"/>
    <w:rsid w:val="000A4E55"/>
    <w:rsid w:val="000A5F13"/>
    <w:rsid w:val="000A69D5"/>
    <w:rsid w:val="000A6F8C"/>
    <w:rsid w:val="000B0661"/>
    <w:rsid w:val="000B1312"/>
    <w:rsid w:val="000B15FE"/>
    <w:rsid w:val="000B279E"/>
    <w:rsid w:val="000B2A05"/>
    <w:rsid w:val="000B2AAB"/>
    <w:rsid w:val="000B2F78"/>
    <w:rsid w:val="000B34B1"/>
    <w:rsid w:val="000B3A39"/>
    <w:rsid w:val="000B497F"/>
    <w:rsid w:val="000B4A72"/>
    <w:rsid w:val="000B4FFD"/>
    <w:rsid w:val="000B5105"/>
    <w:rsid w:val="000B575C"/>
    <w:rsid w:val="000B5CA5"/>
    <w:rsid w:val="000B5FFB"/>
    <w:rsid w:val="000B6587"/>
    <w:rsid w:val="000B65BA"/>
    <w:rsid w:val="000B6DFA"/>
    <w:rsid w:val="000B7464"/>
    <w:rsid w:val="000B75F4"/>
    <w:rsid w:val="000B7A85"/>
    <w:rsid w:val="000C015D"/>
    <w:rsid w:val="000C0B34"/>
    <w:rsid w:val="000C0C9D"/>
    <w:rsid w:val="000C0D61"/>
    <w:rsid w:val="000C0EE9"/>
    <w:rsid w:val="000C1289"/>
    <w:rsid w:val="000C19FB"/>
    <w:rsid w:val="000C21C3"/>
    <w:rsid w:val="000C245F"/>
    <w:rsid w:val="000C24CB"/>
    <w:rsid w:val="000C2D7E"/>
    <w:rsid w:val="000C3070"/>
    <w:rsid w:val="000C35D1"/>
    <w:rsid w:val="000C3BA3"/>
    <w:rsid w:val="000C3FAC"/>
    <w:rsid w:val="000C433E"/>
    <w:rsid w:val="000C4D40"/>
    <w:rsid w:val="000C5B73"/>
    <w:rsid w:val="000C6B77"/>
    <w:rsid w:val="000C6CA5"/>
    <w:rsid w:val="000C6D39"/>
    <w:rsid w:val="000C6E98"/>
    <w:rsid w:val="000C794E"/>
    <w:rsid w:val="000C7C83"/>
    <w:rsid w:val="000D09AE"/>
    <w:rsid w:val="000D15CC"/>
    <w:rsid w:val="000D19D2"/>
    <w:rsid w:val="000D2117"/>
    <w:rsid w:val="000D29B7"/>
    <w:rsid w:val="000D300E"/>
    <w:rsid w:val="000D3088"/>
    <w:rsid w:val="000D30C1"/>
    <w:rsid w:val="000D3436"/>
    <w:rsid w:val="000D3F72"/>
    <w:rsid w:val="000D478B"/>
    <w:rsid w:val="000D47FE"/>
    <w:rsid w:val="000D557B"/>
    <w:rsid w:val="000D59DE"/>
    <w:rsid w:val="000D602B"/>
    <w:rsid w:val="000D64F3"/>
    <w:rsid w:val="000D67A0"/>
    <w:rsid w:val="000D6ED9"/>
    <w:rsid w:val="000D7837"/>
    <w:rsid w:val="000D7852"/>
    <w:rsid w:val="000D7DE5"/>
    <w:rsid w:val="000D7E21"/>
    <w:rsid w:val="000E0053"/>
    <w:rsid w:val="000E1514"/>
    <w:rsid w:val="000E2197"/>
    <w:rsid w:val="000E2781"/>
    <w:rsid w:val="000E2F76"/>
    <w:rsid w:val="000E3347"/>
    <w:rsid w:val="000E370C"/>
    <w:rsid w:val="000E43B0"/>
    <w:rsid w:val="000E4A91"/>
    <w:rsid w:val="000E4D71"/>
    <w:rsid w:val="000E4E59"/>
    <w:rsid w:val="000E57B7"/>
    <w:rsid w:val="000E584B"/>
    <w:rsid w:val="000E58EA"/>
    <w:rsid w:val="000E5C8F"/>
    <w:rsid w:val="000E656C"/>
    <w:rsid w:val="000E6768"/>
    <w:rsid w:val="000E6D02"/>
    <w:rsid w:val="000E701A"/>
    <w:rsid w:val="000E70EE"/>
    <w:rsid w:val="000E7239"/>
    <w:rsid w:val="000E74E3"/>
    <w:rsid w:val="000E79B5"/>
    <w:rsid w:val="000E7F65"/>
    <w:rsid w:val="000F0179"/>
    <w:rsid w:val="000F0368"/>
    <w:rsid w:val="000F13CA"/>
    <w:rsid w:val="000F1611"/>
    <w:rsid w:val="000F1FB6"/>
    <w:rsid w:val="000F3A41"/>
    <w:rsid w:val="000F4488"/>
    <w:rsid w:val="000F4ABD"/>
    <w:rsid w:val="000F4B4C"/>
    <w:rsid w:val="000F4FEF"/>
    <w:rsid w:val="000F57CF"/>
    <w:rsid w:val="000F71D9"/>
    <w:rsid w:val="000F73B2"/>
    <w:rsid w:val="000F7488"/>
    <w:rsid w:val="000F76F2"/>
    <w:rsid w:val="000F77F5"/>
    <w:rsid w:val="00100834"/>
    <w:rsid w:val="00100BD6"/>
    <w:rsid w:val="00100DD0"/>
    <w:rsid w:val="00100FAB"/>
    <w:rsid w:val="00101054"/>
    <w:rsid w:val="0010127F"/>
    <w:rsid w:val="001015D1"/>
    <w:rsid w:val="00102354"/>
    <w:rsid w:val="001025A7"/>
    <w:rsid w:val="00102834"/>
    <w:rsid w:val="00102BB0"/>
    <w:rsid w:val="00103831"/>
    <w:rsid w:val="00103888"/>
    <w:rsid w:val="00103F1F"/>
    <w:rsid w:val="00104390"/>
    <w:rsid w:val="0010455A"/>
    <w:rsid w:val="00105FCB"/>
    <w:rsid w:val="001063BF"/>
    <w:rsid w:val="0010654F"/>
    <w:rsid w:val="00106863"/>
    <w:rsid w:val="00110665"/>
    <w:rsid w:val="00110F0C"/>
    <w:rsid w:val="00110FD5"/>
    <w:rsid w:val="0011108C"/>
    <w:rsid w:val="001116A8"/>
    <w:rsid w:val="00111A7F"/>
    <w:rsid w:val="0011217E"/>
    <w:rsid w:val="00112E8F"/>
    <w:rsid w:val="00113E57"/>
    <w:rsid w:val="001144C4"/>
    <w:rsid w:val="00115F4E"/>
    <w:rsid w:val="0011638C"/>
    <w:rsid w:val="001163FD"/>
    <w:rsid w:val="00116688"/>
    <w:rsid w:val="001166D9"/>
    <w:rsid w:val="0011672F"/>
    <w:rsid w:val="00116BF5"/>
    <w:rsid w:val="00116E41"/>
    <w:rsid w:val="00117043"/>
    <w:rsid w:val="001177F6"/>
    <w:rsid w:val="001179B6"/>
    <w:rsid w:val="00117F85"/>
    <w:rsid w:val="001203F9"/>
    <w:rsid w:val="00120792"/>
    <w:rsid w:val="001207D5"/>
    <w:rsid w:val="001208B2"/>
    <w:rsid w:val="00120C18"/>
    <w:rsid w:val="00120D88"/>
    <w:rsid w:val="00121D24"/>
    <w:rsid w:val="00121EAD"/>
    <w:rsid w:val="00122019"/>
    <w:rsid w:val="00122482"/>
    <w:rsid w:val="00122490"/>
    <w:rsid w:val="00123571"/>
    <w:rsid w:val="00123CD9"/>
    <w:rsid w:val="00123EB8"/>
    <w:rsid w:val="00124A24"/>
    <w:rsid w:val="00124B97"/>
    <w:rsid w:val="00124BE1"/>
    <w:rsid w:val="00124CDB"/>
    <w:rsid w:val="0012513E"/>
    <w:rsid w:val="00125352"/>
    <w:rsid w:val="00125A46"/>
    <w:rsid w:val="00125BCC"/>
    <w:rsid w:val="00125CD1"/>
    <w:rsid w:val="00126195"/>
    <w:rsid w:val="001268BC"/>
    <w:rsid w:val="00126C31"/>
    <w:rsid w:val="0012745E"/>
    <w:rsid w:val="001276F5"/>
    <w:rsid w:val="00130060"/>
    <w:rsid w:val="00130C59"/>
    <w:rsid w:val="001317CE"/>
    <w:rsid w:val="00131E7D"/>
    <w:rsid w:val="00131F84"/>
    <w:rsid w:val="0013296D"/>
    <w:rsid w:val="001329C2"/>
    <w:rsid w:val="00133FD7"/>
    <w:rsid w:val="00134CCC"/>
    <w:rsid w:val="00135427"/>
    <w:rsid w:val="001354AA"/>
    <w:rsid w:val="001356E3"/>
    <w:rsid w:val="0013649F"/>
    <w:rsid w:val="001367FB"/>
    <w:rsid w:val="001368BE"/>
    <w:rsid w:val="0013722E"/>
    <w:rsid w:val="00137327"/>
    <w:rsid w:val="00137FAB"/>
    <w:rsid w:val="00140635"/>
    <w:rsid w:val="00140771"/>
    <w:rsid w:val="0014095E"/>
    <w:rsid w:val="00140CD8"/>
    <w:rsid w:val="0014228B"/>
    <w:rsid w:val="0014253A"/>
    <w:rsid w:val="0014257F"/>
    <w:rsid w:val="001425A5"/>
    <w:rsid w:val="00143282"/>
    <w:rsid w:val="001446F7"/>
    <w:rsid w:val="00145181"/>
    <w:rsid w:val="001456E1"/>
    <w:rsid w:val="00145786"/>
    <w:rsid w:val="00146382"/>
    <w:rsid w:val="00146467"/>
    <w:rsid w:val="001466A0"/>
    <w:rsid w:val="00146A57"/>
    <w:rsid w:val="00146A6E"/>
    <w:rsid w:val="00146D67"/>
    <w:rsid w:val="0014762E"/>
    <w:rsid w:val="00147A42"/>
    <w:rsid w:val="001504BF"/>
    <w:rsid w:val="001504E4"/>
    <w:rsid w:val="00150766"/>
    <w:rsid w:val="00150A57"/>
    <w:rsid w:val="00150B60"/>
    <w:rsid w:val="00151554"/>
    <w:rsid w:val="00151868"/>
    <w:rsid w:val="001525E9"/>
    <w:rsid w:val="001526CA"/>
    <w:rsid w:val="001529BF"/>
    <w:rsid w:val="00152C24"/>
    <w:rsid w:val="001530F3"/>
    <w:rsid w:val="00153587"/>
    <w:rsid w:val="00154523"/>
    <w:rsid w:val="00154A42"/>
    <w:rsid w:val="00154E0D"/>
    <w:rsid w:val="00154ECA"/>
    <w:rsid w:val="00155534"/>
    <w:rsid w:val="00155667"/>
    <w:rsid w:val="001571D6"/>
    <w:rsid w:val="00157AE3"/>
    <w:rsid w:val="00157EBF"/>
    <w:rsid w:val="001600E9"/>
    <w:rsid w:val="00160D72"/>
    <w:rsid w:val="00160FEC"/>
    <w:rsid w:val="001610E5"/>
    <w:rsid w:val="00161268"/>
    <w:rsid w:val="00161BC8"/>
    <w:rsid w:val="0016237E"/>
    <w:rsid w:val="001624E9"/>
    <w:rsid w:val="00162958"/>
    <w:rsid w:val="001645CC"/>
    <w:rsid w:val="00164F18"/>
    <w:rsid w:val="00165D8F"/>
    <w:rsid w:val="00165DE8"/>
    <w:rsid w:val="00166B4E"/>
    <w:rsid w:val="001673F3"/>
    <w:rsid w:val="00167E72"/>
    <w:rsid w:val="00170296"/>
    <w:rsid w:val="0017063D"/>
    <w:rsid w:val="00170B1C"/>
    <w:rsid w:val="001714F3"/>
    <w:rsid w:val="00171D3C"/>
    <w:rsid w:val="0017301B"/>
    <w:rsid w:val="0017368F"/>
    <w:rsid w:val="00173EB8"/>
    <w:rsid w:val="00174811"/>
    <w:rsid w:val="00174826"/>
    <w:rsid w:val="00174986"/>
    <w:rsid w:val="00174C2F"/>
    <w:rsid w:val="00174E72"/>
    <w:rsid w:val="0017513B"/>
    <w:rsid w:val="00175281"/>
    <w:rsid w:val="00176686"/>
    <w:rsid w:val="00176F4C"/>
    <w:rsid w:val="00177E01"/>
    <w:rsid w:val="001800D8"/>
    <w:rsid w:val="0018018A"/>
    <w:rsid w:val="00180C66"/>
    <w:rsid w:val="00180EB9"/>
    <w:rsid w:val="0018122D"/>
    <w:rsid w:val="00181440"/>
    <w:rsid w:val="001814BF"/>
    <w:rsid w:val="001822DB"/>
    <w:rsid w:val="00182A32"/>
    <w:rsid w:val="00182D83"/>
    <w:rsid w:val="00182EF7"/>
    <w:rsid w:val="00183563"/>
    <w:rsid w:val="0018375B"/>
    <w:rsid w:val="001837F8"/>
    <w:rsid w:val="0018420C"/>
    <w:rsid w:val="00184248"/>
    <w:rsid w:val="0018476F"/>
    <w:rsid w:val="001855CC"/>
    <w:rsid w:val="00185B33"/>
    <w:rsid w:val="00185EF0"/>
    <w:rsid w:val="0018607A"/>
    <w:rsid w:val="001879B1"/>
    <w:rsid w:val="00187AD4"/>
    <w:rsid w:val="00187F05"/>
    <w:rsid w:val="0019031E"/>
    <w:rsid w:val="00190475"/>
    <w:rsid w:val="00190574"/>
    <w:rsid w:val="00190671"/>
    <w:rsid w:val="00190B0C"/>
    <w:rsid w:val="00191211"/>
    <w:rsid w:val="001912DC"/>
    <w:rsid w:val="00191683"/>
    <w:rsid w:val="00191B7D"/>
    <w:rsid w:val="00191DFA"/>
    <w:rsid w:val="00192078"/>
    <w:rsid w:val="00192637"/>
    <w:rsid w:val="00192C05"/>
    <w:rsid w:val="00192E9C"/>
    <w:rsid w:val="00193628"/>
    <w:rsid w:val="001936F2"/>
    <w:rsid w:val="00193868"/>
    <w:rsid w:val="00193D71"/>
    <w:rsid w:val="00193F91"/>
    <w:rsid w:val="001946A8"/>
    <w:rsid w:val="001947D8"/>
    <w:rsid w:val="001957BF"/>
    <w:rsid w:val="00195AAA"/>
    <w:rsid w:val="00195C6F"/>
    <w:rsid w:val="001963B0"/>
    <w:rsid w:val="001964A3"/>
    <w:rsid w:val="00196FFB"/>
    <w:rsid w:val="00197317"/>
    <w:rsid w:val="00197846"/>
    <w:rsid w:val="0019794B"/>
    <w:rsid w:val="001979E0"/>
    <w:rsid w:val="001A0168"/>
    <w:rsid w:val="001A02A4"/>
    <w:rsid w:val="001A0AFF"/>
    <w:rsid w:val="001A0B26"/>
    <w:rsid w:val="001A0B8B"/>
    <w:rsid w:val="001A0D77"/>
    <w:rsid w:val="001A1104"/>
    <w:rsid w:val="001A13CF"/>
    <w:rsid w:val="001A16A5"/>
    <w:rsid w:val="001A196A"/>
    <w:rsid w:val="001A1D95"/>
    <w:rsid w:val="001A2109"/>
    <w:rsid w:val="001A2565"/>
    <w:rsid w:val="001A25A6"/>
    <w:rsid w:val="001A298C"/>
    <w:rsid w:val="001A2C56"/>
    <w:rsid w:val="001A2EE8"/>
    <w:rsid w:val="001A330C"/>
    <w:rsid w:val="001A362E"/>
    <w:rsid w:val="001A37A2"/>
    <w:rsid w:val="001A3FA0"/>
    <w:rsid w:val="001A49F0"/>
    <w:rsid w:val="001A502E"/>
    <w:rsid w:val="001A59D1"/>
    <w:rsid w:val="001A5AEA"/>
    <w:rsid w:val="001A5CB9"/>
    <w:rsid w:val="001A5D16"/>
    <w:rsid w:val="001A5FAE"/>
    <w:rsid w:val="001A67DD"/>
    <w:rsid w:val="001A67F8"/>
    <w:rsid w:val="001A6CF7"/>
    <w:rsid w:val="001A6E84"/>
    <w:rsid w:val="001A750A"/>
    <w:rsid w:val="001A7591"/>
    <w:rsid w:val="001A7648"/>
    <w:rsid w:val="001A7CE7"/>
    <w:rsid w:val="001A7D34"/>
    <w:rsid w:val="001B043F"/>
    <w:rsid w:val="001B0CB1"/>
    <w:rsid w:val="001B0FBA"/>
    <w:rsid w:val="001B1762"/>
    <w:rsid w:val="001B17AC"/>
    <w:rsid w:val="001B261A"/>
    <w:rsid w:val="001B2EFF"/>
    <w:rsid w:val="001B31C1"/>
    <w:rsid w:val="001B37F0"/>
    <w:rsid w:val="001B3884"/>
    <w:rsid w:val="001B46A2"/>
    <w:rsid w:val="001B548B"/>
    <w:rsid w:val="001B588D"/>
    <w:rsid w:val="001B6113"/>
    <w:rsid w:val="001B62F2"/>
    <w:rsid w:val="001B6575"/>
    <w:rsid w:val="001B6BB7"/>
    <w:rsid w:val="001B6CE5"/>
    <w:rsid w:val="001B773F"/>
    <w:rsid w:val="001B7EB5"/>
    <w:rsid w:val="001C0309"/>
    <w:rsid w:val="001C0474"/>
    <w:rsid w:val="001C0909"/>
    <w:rsid w:val="001C09E8"/>
    <w:rsid w:val="001C0A7E"/>
    <w:rsid w:val="001C0AD7"/>
    <w:rsid w:val="001C0EFE"/>
    <w:rsid w:val="001C14F6"/>
    <w:rsid w:val="001C16B7"/>
    <w:rsid w:val="001C1975"/>
    <w:rsid w:val="001C224F"/>
    <w:rsid w:val="001C25CB"/>
    <w:rsid w:val="001C295F"/>
    <w:rsid w:val="001C2C27"/>
    <w:rsid w:val="001C2ED7"/>
    <w:rsid w:val="001C3040"/>
    <w:rsid w:val="001C3444"/>
    <w:rsid w:val="001C3879"/>
    <w:rsid w:val="001C3D2A"/>
    <w:rsid w:val="001C3F6B"/>
    <w:rsid w:val="001C4A28"/>
    <w:rsid w:val="001C544A"/>
    <w:rsid w:val="001C5474"/>
    <w:rsid w:val="001C5679"/>
    <w:rsid w:val="001C58A5"/>
    <w:rsid w:val="001C5C12"/>
    <w:rsid w:val="001C5FD5"/>
    <w:rsid w:val="001C7835"/>
    <w:rsid w:val="001D0951"/>
    <w:rsid w:val="001D2C13"/>
    <w:rsid w:val="001D2D3C"/>
    <w:rsid w:val="001D3176"/>
    <w:rsid w:val="001D4050"/>
    <w:rsid w:val="001D4084"/>
    <w:rsid w:val="001D43AD"/>
    <w:rsid w:val="001D44F1"/>
    <w:rsid w:val="001D4F6D"/>
    <w:rsid w:val="001D52B7"/>
    <w:rsid w:val="001D57C7"/>
    <w:rsid w:val="001D6847"/>
    <w:rsid w:val="001D6F4A"/>
    <w:rsid w:val="001D6F7E"/>
    <w:rsid w:val="001D7D9B"/>
    <w:rsid w:val="001E0848"/>
    <w:rsid w:val="001E09D7"/>
    <w:rsid w:val="001E0A0F"/>
    <w:rsid w:val="001E0D40"/>
    <w:rsid w:val="001E0E83"/>
    <w:rsid w:val="001E1815"/>
    <w:rsid w:val="001E22C1"/>
    <w:rsid w:val="001E27B2"/>
    <w:rsid w:val="001E2B8D"/>
    <w:rsid w:val="001E348F"/>
    <w:rsid w:val="001E3959"/>
    <w:rsid w:val="001E3A6C"/>
    <w:rsid w:val="001E412F"/>
    <w:rsid w:val="001E4231"/>
    <w:rsid w:val="001E4299"/>
    <w:rsid w:val="001E46D7"/>
    <w:rsid w:val="001E48D4"/>
    <w:rsid w:val="001E4920"/>
    <w:rsid w:val="001E4D01"/>
    <w:rsid w:val="001E530D"/>
    <w:rsid w:val="001E53A5"/>
    <w:rsid w:val="001E64CA"/>
    <w:rsid w:val="001E6B36"/>
    <w:rsid w:val="001E6E40"/>
    <w:rsid w:val="001E721C"/>
    <w:rsid w:val="001E75A4"/>
    <w:rsid w:val="001F0909"/>
    <w:rsid w:val="001F1121"/>
    <w:rsid w:val="001F13C1"/>
    <w:rsid w:val="001F15BD"/>
    <w:rsid w:val="001F15E0"/>
    <w:rsid w:val="001F17D3"/>
    <w:rsid w:val="001F1E9A"/>
    <w:rsid w:val="001F2409"/>
    <w:rsid w:val="001F2894"/>
    <w:rsid w:val="001F3844"/>
    <w:rsid w:val="001F446D"/>
    <w:rsid w:val="001F47DF"/>
    <w:rsid w:val="001F4B61"/>
    <w:rsid w:val="001F4CBD"/>
    <w:rsid w:val="001F4FEC"/>
    <w:rsid w:val="001F67C1"/>
    <w:rsid w:val="001F6B0A"/>
    <w:rsid w:val="001F6FF9"/>
    <w:rsid w:val="001F71B2"/>
    <w:rsid w:val="001F7695"/>
    <w:rsid w:val="00201320"/>
    <w:rsid w:val="00201469"/>
    <w:rsid w:val="00201751"/>
    <w:rsid w:val="002019FF"/>
    <w:rsid w:val="00201F67"/>
    <w:rsid w:val="0020204A"/>
    <w:rsid w:val="0020221B"/>
    <w:rsid w:val="00202A98"/>
    <w:rsid w:val="00203BC6"/>
    <w:rsid w:val="00204696"/>
    <w:rsid w:val="00204C53"/>
    <w:rsid w:val="00204E09"/>
    <w:rsid w:val="00205935"/>
    <w:rsid w:val="00205CDB"/>
    <w:rsid w:val="00207203"/>
    <w:rsid w:val="00207506"/>
    <w:rsid w:val="0020767B"/>
    <w:rsid w:val="00210FBF"/>
    <w:rsid w:val="002112EC"/>
    <w:rsid w:val="002113DC"/>
    <w:rsid w:val="0021147C"/>
    <w:rsid w:val="00211A89"/>
    <w:rsid w:val="0021254B"/>
    <w:rsid w:val="00212564"/>
    <w:rsid w:val="0021263D"/>
    <w:rsid w:val="002127EA"/>
    <w:rsid w:val="00212B6B"/>
    <w:rsid w:val="00212BE6"/>
    <w:rsid w:val="0021373D"/>
    <w:rsid w:val="002138C9"/>
    <w:rsid w:val="00213B5E"/>
    <w:rsid w:val="00214C0B"/>
    <w:rsid w:val="00214D04"/>
    <w:rsid w:val="002150F3"/>
    <w:rsid w:val="002153DE"/>
    <w:rsid w:val="002155A7"/>
    <w:rsid w:val="002155FF"/>
    <w:rsid w:val="00215EC9"/>
    <w:rsid w:val="00215FD4"/>
    <w:rsid w:val="002166DB"/>
    <w:rsid w:val="0021751A"/>
    <w:rsid w:val="00217841"/>
    <w:rsid w:val="002179E4"/>
    <w:rsid w:val="002200A5"/>
    <w:rsid w:val="002203BE"/>
    <w:rsid w:val="0022057C"/>
    <w:rsid w:val="00221272"/>
    <w:rsid w:val="00221314"/>
    <w:rsid w:val="00221800"/>
    <w:rsid w:val="00221824"/>
    <w:rsid w:val="00221AB7"/>
    <w:rsid w:val="00221D20"/>
    <w:rsid w:val="002235D4"/>
    <w:rsid w:val="00223F11"/>
    <w:rsid w:val="0022419C"/>
    <w:rsid w:val="00224A4B"/>
    <w:rsid w:val="00224AFD"/>
    <w:rsid w:val="0022542E"/>
    <w:rsid w:val="0022548E"/>
    <w:rsid w:val="00225873"/>
    <w:rsid w:val="002263C0"/>
    <w:rsid w:val="00227324"/>
    <w:rsid w:val="002273C6"/>
    <w:rsid w:val="00227460"/>
    <w:rsid w:val="00227712"/>
    <w:rsid w:val="002300C3"/>
    <w:rsid w:val="002303C6"/>
    <w:rsid w:val="002309F2"/>
    <w:rsid w:val="00231DC2"/>
    <w:rsid w:val="00232229"/>
    <w:rsid w:val="002325A4"/>
    <w:rsid w:val="00232A4F"/>
    <w:rsid w:val="00232CCD"/>
    <w:rsid w:val="0023321A"/>
    <w:rsid w:val="002333E5"/>
    <w:rsid w:val="002337ED"/>
    <w:rsid w:val="00233E22"/>
    <w:rsid w:val="00234022"/>
    <w:rsid w:val="00234432"/>
    <w:rsid w:val="0023446D"/>
    <w:rsid w:val="00235169"/>
    <w:rsid w:val="00236B7C"/>
    <w:rsid w:val="00236B99"/>
    <w:rsid w:val="00237180"/>
    <w:rsid w:val="00237C83"/>
    <w:rsid w:val="0024002E"/>
    <w:rsid w:val="0024038E"/>
    <w:rsid w:val="00240E00"/>
    <w:rsid w:val="00241297"/>
    <w:rsid w:val="00241424"/>
    <w:rsid w:val="00241857"/>
    <w:rsid w:val="00241CB9"/>
    <w:rsid w:val="0024296C"/>
    <w:rsid w:val="00242CB3"/>
    <w:rsid w:val="00244A72"/>
    <w:rsid w:val="00244C41"/>
    <w:rsid w:val="00244E3E"/>
    <w:rsid w:val="00244EB5"/>
    <w:rsid w:val="002455B2"/>
    <w:rsid w:val="002457DE"/>
    <w:rsid w:val="00246435"/>
    <w:rsid w:val="0024649F"/>
    <w:rsid w:val="00246BCF"/>
    <w:rsid w:val="00247071"/>
    <w:rsid w:val="0024727D"/>
    <w:rsid w:val="002473DF"/>
    <w:rsid w:val="00250700"/>
    <w:rsid w:val="002511AC"/>
    <w:rsid w:val="00251245"/>
    <w:rsid w:val="00251394"/>
    <w:rsid w:val="002513B8"/>
    <w:rsid w:val="002514F6"/>
    <w:rsid w:val="002517B4"/>
    <w:rsid w:val="0025186F"/>
    <w:rsid w:val="00251A1D"/>
    <w:rsid w:val="00251BF8"/>
    <w:rsid w:val="00251CA2"/>
    <w:rsid w:val="00252396"/>
    <w:rsid w:val="00252CCC"/>
    <w:rsid w:val="00252DFA"/>
    <w:rsid w:val="00253211"/>
    <w:rsid w:val="00253235"/>
    <w:rsid w:val="0025361F"/>
    <w:rsid w:val="002537DF"/>
    <w:rsid w:val="002556EC"/>
    <w:rsid w:val="002556F9"/>
    <w:rsid w:val="00255D71"/>
    <w:rsid w:val="00255DF1"/>
    <w:rsid w:val="0025670A"/>
    <w:rsid w:val="002567BD"/>
    <w:rsid w:val="002574DE"/>
    <w:rsid w:val="002578B7"/>
    <w:rsid w:val="002578C3"/>
    <w:rsid w:val="00257BD7"/>
    <w:rsid w:val="00257F2C"/>
    <w:rsid w:val="002601BB"/>
    <w:rsid w:val="00260322"/>
    <w:rsid w:val="00261400"/>
    <w:rsid w:val="0026166B"/>
    <w:rsid w:val="002641E7"/>
    <w:rsid w:val="00264590"/>
    <w:rsid w:val="0026587D"/>
    <w:rsid w:val="00265918"/>
    <w:rsid w:val="002659EC"/>
    <w:rsid w:val="00265AB2"/>
    <w:rsid w:val="0026601D"/>
    <w:rsid w:val="00266702"/>
    <w:rsid w:val="00266A79"/>
    <w:rsid w:val="00266E70"/>
    <w:rsid w:val="002675AB"/>
    <w:rsid w:val="0027034B"/>
    <w:rsid w:val="00270662"/>
    <w:rsid w:val="00270834"/>
    <w:rsid w:val="002713F6"/>
    <w:rsid w:val="00272671"/>
    <w:rsid w:val="00273E86"/>
    <w:rsid w:val="0027444E"/>
    <w:rsid w:val="00274636"/>
    <w:rsid w:val="002749D3"/>
    <w:rsid w:val="00274F35"/>
    <w:rsid w:val="00274F3E"/>
    <w:rsid w:val="002753E3"/>
    <w:rsid w:val="00275C67"/>
    <w:rsid w:val="00275E3F"/>
    <w:rsid w:val="0027635E"/>
    <w:rsid w:val="002763E0"/>
    <w:rsid w:val="002764E2"/>
    <w:rsid w:val="002765F5"/>
    <w:rsid w:val="0027671E"/>
    <w:rsid w:val="00276E1A"/>
    <w:rsid w:val="00276F42"/>
    <w:rsid w:val="002770BA"/>
    <w:rsid w:val="002774ED"/>
    <w:rsid w:val="002776BB"/>
    <w:rsid w:val="00277AC6"/>
    <w:rsid w:val="002805B2"/>
    <w:rsid w:val="00280679"/>
    <w:rsid w:val="00280E8F"/>
    <w:rsid w:val="002812AF"/>
    <w:rsid w:val="00281412"/>
    <w:rsid w:val="002814E6"/>
    <w:rsid w:val="00281A54"/>
    <w:rsid w:val="00282AE5"/>
    <w:rsid w:val="002836A9"/>
    <w:rsid w:val="00283AD4"/>
    <w:rsid w:val="00283E94"/>
    <w:rsid w:val="00283EAB"/>
    <w:rsid w:val="00284E2A"/>
    <w:rsid w:val="00285111"/>
    <w:rsid w:val="002852C4"/>
    <w:rsid w:val="002856A8"/>
    <w:rsid w:val="00285996"/>
    <w:rsid w:val="00286537"/>
    <w:rsid w:val="002869C1"/>
    <w:rsid w:val="00286FDE"/>
    <w:rsid w:val="00287114"/>
    <w:rsid w:val="0028748D"/>
    <w:rsid w:val="00287A20"/>
    <w:rsid w:val="0029044D"/>
    <w:rsid w:val="0029072B"/>
    <w:rsid w:val="00290BAB"/>
    <w:rsid w:val="00290D1F"/>
    <w:rsid w:val="0029136A"/>
    <w:rsid w:val="002919A1"/>
    <w:rsid w:val="00291C41"/>
    <w:rsid w:val="00292652"/>
    <w:rsid w:val="00292920"/>
    <w:rsid w:val="00292DF1"/>
    <w:rsid w:val="002936B4"/>
    <w:rsid w:val="00294392"/>
    <w:rsid w:val="0029457F"/>
    <w:rsid w:val="00294C92"/>
    <w:rsid w:val="002951E6"/>
    <w:rsid w:val="00295330"/>
    <w:rsid w:val="00296029"/>
    <w:rsid w:val="00296867"/>
    <w:rsid w:val="00296E9F"/>
    <w:rsid w:val="002977C5"/>
    <w:rsid w:val="00297845"/>
    <w:rsid w:val="00297F55"/>
    <w:rsid w:val="002A0445"/>
    <w:rsid w:val="002A059C"/>
    <w:rsid w:val="002A05A0"/>
    <w:rsid w:val="002A0925"/>
    <w:rsid w:val="002A0BD7"/>
    <w:rsid w:val="002A1459"/>
    <w:rsid w:val="002A1B9D"/>
    <w:rsid w:val="002A2BBA"/>
    <w:rsid w:val="002A2BD6"/>
    <w:rsid w:val="002A2DDA"/>
    <w:rsid w:val="002A2E73"/>
    <w:rsid w:val="002A2FF2"/>
    <w:rsid w:val="002A302C"/>
    <w:rsid w:val="002A3239"/>
    <w:rsid w:val="002A34AB"/>
    <w:rsid w:val="002A52B7"/>
    <w:rsid w:val="002A641D"/>
    <w:rsid w:val="002A642E"/>
    <w:rsid w:val="002A6442"/>
    <w:rsid w:val="002A6681"/>
    <w:rsid w:val="002A6F51"/>
    <w:rsid w:val="002A6F54"/>
    <w:rsid w:val="002A737F"/>
    <w:rsid w:val="002A7531"/>
    <w:rsid w:val="002B0163"/>
    <w:rsid w:val="002B0577"/>
    <w:rsid w:val="002B0758"/>
    <w:rsid w:val="002B0852"/>
    <w:rsid w:val="002B14AF"/>
    <w:rsid w:val="002B16E7"/>
    <w:rsid w:val="002B1734"/>
    <w:rsid w:val="002B1C77"/>
    <w:rsid w:val="002B20AC"/>
    <w:rsid w:val="002B21FD"/>
    <w:rsid w:val="002B23AC"/>
    <w:rsid w:val="002B2485"/>
    <w:rsid w:val="002B2609"/>
    <w:rsid w:val="002B27AF"/>
    <w:rsid w:val="002B33CF"/>
    <w:rsid w:val="002B3FFB"/>
    <w:rsid w:val="002B401D"/>
    <w:rsid w:val="002B40B1"/>
    <w:rsid w:val="002B56A0"/>
    <w:rsid w:val="002B5EF2"/>
    <w:rsid w:val="002B7028"/>
    <w:rsid w:val="002B7150"/>
    <w:rsid w:val="002B7167"/>
    <w:rsid w:val="002B73BE"/>
    <w:rsid w:val="002B7865"/>
    <w:rsid w:val="002C1133"/>
    <w:rsid w:val="002C2116"/>
    <w:rsid w:val="002C25C1"/>
    <w:rsid w:val="002C2B10"/>
    <w:rsid w:val="002C3634"/>
    <w:rsid w:val="002C4575"/>
    <w:rsid w:val="002C4F6B"/>
    <w:rsid w:val="002C5C90"/>
    <w:rsid w:val="002C6A7C"/>
    <w:rsid w:val="002C6ACD"/>
    <w:rsid w:val="002C6D16"/>
    <w:rsid w:val="002C74D0"/>
    <w:rsid w:val="002C797E"/>
    <w:rsid w:val="002D0296"/>
    <w:rsid w:val="002D06E8"/>
    <w:rsid w:val="002D0A7B"/>
    <w:rsid w:val="002D0AB5"/>
    <w:rsid w:val="002D0B53"/>
    <w:rsid w:val="002D11B8"/>
    <w:rsid w:val="002D204A"/>
    <w:rsid w:val="002D2AA9"/>
    <w:rsid w:val="002D3876"/>
    <w:rsid w:val="002D3A25"/>
    <w:rsid w:val="002D422D"/>
    <w:rsid w:val="002D4A7E"/>
    <w:rsid w:val="002D5044"/>
    <w:rsid w:val="002D50CB"/>
    <w:rsid w:val="002D5E6F"/>
    <w:rsid w:val="002E010C"/>
    <w:rsid w:val="002E01DE"/>
    <w:rsid w:val="002E05C3"/>
    <w:rsid w:val="002E07EC"/>
    <w:rsid w:val="002E080E"/>
    <w:rsid w:val="002E08B5"/>
    <w:rsid w:val="002E0E01"/>
    <w:rsid w:val="002E2DC1"/>
    <w:rsid w:val="002E2DC2"/>
    <w:rsid w:val="002E3BB8"/>
    <w:rsid w:val="002E3DE1"/>
    <w:rsid w:val="002E3F19"/>
    <w:rsid w:val="002E4638"/>
    <w:rsid w:val="002E4E11"/>
    <w:rsid w:val="002E51D2"/>
    <w:rsid w:val="002E6725"/>
    <w:rsid w:val="002E6C7C"/>
    <w:rsid w:val="002E6FC4"/>
    <w:rsid w:val="002E7147"/>
    <w:rsid w:val="002E7482"/>
    <w:rsid w:val="002E750E"/>
    <w:rsid w:val="002E7A0E"/>
    <w:rsid w:val="002E7DC0"/>
    <w:rsid w:val="002E7EFA"/>
    <w:rsid w:val="002F0088"/>
    <w:rsid w:val="002F014B"/>
    <w:rsid w:val="002F01AE"/>
    <w:rsid w:val="002F02B8"/>
    <w:rsid w:val="002F0440"/>
    <w:rsid w:val="002F0681"/>
    <w:rsid w:val="002F1B19"/>
    <w:rsid w:val="002F1BC5"/>
    <w:rsid w:val="002F2015"/>
    <w:rsid w:val="002F26D6"/>
    <w:rsid w:val="002F2C28"/>
    <w:rsid w:val="002F300B"/>
    <w:rsid w:val="002F3C80"/>
    <w:rsid w:val="002F4124"/>
    <w:rsid w:val="002F455A"/>
    <w:rsid w:val="002F47C7"/>
    <w:rsid w:val="002F512D"/>
    <w:rsid w:val="002F543B"/>
    <w:rsid w:val="002F566E"/>
    <w:rsid w:val="002F56A0"/>
    <w:rsid w:val="002F5E7A"/>
    <w:rsid w:val="002F5EED"/>
    <w:rsid w:val="002F6386"/>
    <w:rsid w:val="002F67EB"/>
    <w:rsid w:val="002F6AA6"/>
    <w:rsid w:val="002F6CEE"/>
    <w:rsid w:val="002F700A"/>
    <w:rsid w:val="002F7FDB"/>
    <w:rsid w:val="00301190"/>
    <w:rsid w:val="00301520"/>
    <w:rsid w:val="00301887"/>
    <w:rsid w:val="00301D77"/>
    <w:rsid w:val="0030211B"/>
    <w:rsid w:val="0030222B"/>
    <w:rsid w:val="003032A8"/>
    <w:rsid w:val="00303309"/>
    <w:rsid w:val="00303455"/>
    <w:rsid w:val="00303704"/>
    <w:rsid w:val="00303C41"/>
    <w:rsid w:val="00304C8B"/>
    <w:rsid w:val="00304F22"/>
    <w:rsid w:val="00305171"/>
    <w:rsid w:val="00305234"/>
    <w:rsid w:val="0030525A"/>
    <w:rsid w:val="003055B4"/>
    <w:rsid w:val="00305905"/>
    <w:rsid w:val="00305B2D"/>
    <w:rsid w:val="00306008"/>
    <w:rsid w:val="0030606D"/>
    <w:rsid w:val="003072D1"/>
    <w:rsid w:val="003074BE"/>
    <w:rsid w:val="00307821"/>
    <w:rsid w:val="00307BCE"/>
    <w:rsid w:val="00307F30"/>
    <w:rsid w:val="00310543"/>
    <w:rsid w:val="0031057A"/>
    <w:rsid w:val="0031075A"/>
    <w:rsid w:val="00310FDC"/>
    <w:rsid w:val="003115E3"/>
    <w:rsid w:val="003140C3"/>
    <w:rsid w:val="00314655"/>
    <w:rsid w:val="00314789"/>
    <w:rsid w:val="00314D2D"/>
    <w:rsid w:val="003150D4"/>
    <w:rsid w:val="003151A2"/>
    <w:rsid w:val="0031541A"/>
    <w:rsid w:val="00315B6F"/>
    <w:rsid w:val="00315E0C"/>
    <w:rsid w:val="003164CD"/>
    <w:rsid w:val="00316FF5"/>
    <w:rsid w:val="003170EE"/>
    <w:rsid w:val="00317288"/>
    <w:rsid w:val="0031748B"/>
    <w:rsid w:val="00317A17"/>
    <w:rsid w:val="0032038D"/>
    <w:rsid w:val="003203BA"/>
    <w:rsid w:val="00320832"/>
    <w:rsid w:val="0032188A"/>
    <w:rsid w:val="003220E7"/>
    <w:rsid w:val="0032212B"/>
    <w:rsid w:val="00322AFA"/>
    <w:rsid w:val="00322BA8"/>
    <w:rsid w:val="00322C2E"/>
    <w:rsid w:val="00322E2E"/>
    <w:rsid w:val="00323131"/>
    <w:rsid w:val="00323400"/>
    <w:rsid w:val="00323A0B"/>
    <w:rsid w:val="00323B7C"/>
    <w:rsid w:val="00324883"/>
    <w:rsid w:val="00324BF8"/>
    <w:rsid w:val="00324EDF"/>
    <w:rsid w:val="003253C2"/>
    <w:rsid w:val="00325731"/>
    <w:rsid w:val="00325997"/>
    <w:rsid w:val="00325C25"/>
    <w:rsid w:val="00326176"/>
    <w:rsid w:val="0032639D"/>
    <w:rsid w:val="003264ED"/>
    <w:rsid w:val="00326A36"/>
    <w:rsid w:val="00326C93"/>
    <w:rsid w:val="00327000"/>
    <w:rsid w:val="00327026"/>
    <w:rsid w:val="00327208"/>
    <w:rsid w:val="0032785B"/>
    <w:rsid w:val="00327928"/>
    <w:rsid w:val="00330AB1"/>
    <w:rsid w:val="00330CE7"/>
    <w:rsid w:val="003318F6"/>
    <w:rsid w:val="00331B27"/>
    <w:rsid w:val="003326AE"/>
    <w:rsid w:val="003329DE"/>
    <w:rsid w:val="003333CF"/>
    <w:rsid w:val="003341E4"/>
    <w:rsid w:val="00334707"/>
    <w:rsid w:val="00334A33"/>
    <w:rsid w:val="00334C4E"/>
    <w:rsid w:val="00334CFC"/>
    <w:rsid w:val="0033565B"/>
    <w:rsid w:val="003357EF"/>
    <w:rsid w:val="00335C81"/>
    <w:rsid w:val="00335D22"/>
    <w:rsid w:val="00336ECB"/>
    <w:rsid w:val="003371E9"/>
    <w:rsid w:val="003372BC"/>
    <w:rsid w:val="003375EE"/>
    <w:rsid w:val="00340BF9"/>
    <w:rsid w:val="00340D53"/>
    <w:rsid w:val="00341388"/>
    <w:rsid w:val="00341787"/>
    <w:rsid w:val="00341EB4"/>
    <w:rsid w:val="0034234A"/>
    <w:rsid w:val="003424E7"/>
    <w:rsid w:val="00343F23"/>
    <w:rsid w:val="003442EE"/>
    <w:rsid w:val="003443AF"/>
    <w:rsid w:val="00344521"/>
    <w:rsid w:val="0034677C"/>
    <w:rsid w:val="0034680A"/>
    <w:rsid w:val="00346C40"/>
    <w:rsid w:val="00346F9E"/>
    <w:rsid w:val="00350A99"/>
    <w:rsid w:val="00351BAD"/>
    <w:rsid w:val="0035208E"/>
    <w:rsid w:val="003522A7"/>
    <w:rsid w:val="00352935"/>
    <w:rsid w:val="00352AF6"/>
    <w:rsid w:val="00352EB6"/>
    <w:rsid w:val="00352F24"/>
    <w:rsid w:val="00353706"/>
    <w:rsid w:val="00353B1D"/>
    <w:rsid w:val="00354006"/>
    <w:rsid w:val="00354031"/>
    <w:rsid w:val="0035456B"/>
    <w:rsid w:val="00354696"/>
    <w:rsid w:val="00354A72"/>
    <w:rsid w:val="00354B35"/>
    <w:rsid w:val="00354E66"/>
    <w:rsid w:val="0035519A"/>
    <w:rsid w:val="0035529F"/>
    <w:rsid w:val="003552E0"/>
    <w:rsid w:val="00355530"/>
    <w:rsid w:val="0035580E"/>
    <w:rsid w:val="00355D4A"/>
    <w:rsid w:val="003561A5"/>
    <w:rsid w:val="003564FC"/>
    <w:rsid w:val="00356B5B"/>
    <w:rsid w:val="00356BFA"/>
    <w:rsid w:val="00357331"/>
    <w:rsid w:val="00357815"/>
    <w:rsid w:val="0036059A"/>
    <w:rsid w:val="00360ADC"/>
    <w:rsid w:val="00360AEC"/>
    <w:rsid w:val="00360D44"/>
    <w:rsid w:val="003610F1"/>
    <w:rsid w:val="0036119B"/>
    <w:rsid w:val="003615A4"/>
    <w:rsid w:val="003615FC"/>
    <w:rsid w:val="003616B2"/>
    <w:rsid w:val="00361DE8"/>
    <w:rsid w:val="00361F57"/>
    <w:rsid w:val="00362218"/>
    <w:rsid w:val="0036310A"/>
    <w:rsid w:val="003639D8"/>
    <w:rsid w:val="00363BF2"/>
    <w:rsid w:val="00363FF8"/>
    <w:rsid w:val="00364093"/>
    <w:rsid w:val="003640E1"/>
    <w:rsid w:val="003642AF"/>
    <w:rsid w:val="00364541"/>
    <w:rsid w:val="003645A1"/>
    <w:rsid w:val="00364C8E"/>
    <w:rsid w:val="00365146"/>
    <w:rsid w:val="003657D7"/>
    <w:rsid w:val="00365941"/>
    <w:rsid w:val="00365A3F"/>
    <w:rsid w:val="0036646E"/>
    <w:rsid w:val="00366502"/>
    <w:rsid w:val="003676D1"/>
    <w:rsid w:val="00370603"/>
    <w:rsid w:val="00371DB2"/>
    <w:rsid w:val="003724E1"/>
    <w:rsid w:val="0037269B"/>
    <w:rsid w:val="00373222"/>
    <w:rsid w:val="003734E4"/>
    <w:rsid w:val="00373694"/>
    <w:rsid w:val="003742E7"/>
    <w:rsid w:val="003749A4"/>
    <w:rsid w:val="003749D7"/>
    <w:rsid w:val="00374BB0"/>
    <w:rsid w:val="00374E8D"/>
    <w:rsid w:val="0037526E"/>
    <w:rsid w:val="003757F1"/>
    <w:rsid w:val="00375B27"/>
    <w:rsid w:val="003762A1"/>
    <w:rsid w:val="00376491"/>
    <w:rsid w:val="003764DA"/>
    <w:rsid w:val="0037721D"/>
    <w:rsid w:val="00377482"/>
    <w:rsid w:val="00377A71"/>
    <w:rsid w:val="00377EEB"/>
    <w:rsid w:val="00377F3F"/>
    <w:rsid w:val="00377F59"/>
    <w:rsid w:val="003808A8"/>
    <w:rsid w:val="0038102A"/>
    <w:rsid w:val="00381FCD"/>
    <w:rsid w:val="00382E27"/>
    <w:rsid w:val="003832B4"/>
    <w:rsid w:val="003833B4"/>
    <w:rsid w:val="00383569"/>
    <w:rsid w:val="0038412D"/>
    <w:rsid w:val="00384441"/>
    <w:rsid w:val="0038536D"/>
    <w:rsid w:val="003853D8"/>
    <w:rsid w:val="00385FA0"/>
    <w:rsid w:val="00385FBA"/>
    <w:rsid w:val="00386047"/>
    <w:rsid w:val="003862CA"/>
    <w:rsid w:val="00386FC8"/>
    <w:rsid w:val="00387202"/>
    <w:rsid w:val="003873DE"/>
    <w:rsid w:val="00390003"/>
    <w:rsid w:val="003903A2"/>
    <w:rsid w:val="00390AD6"/>
    <w:rsid w:val="00390BFB"/>
    <w:rsid w:val="00391482"/>
    <w:rsid w:val="0039175E"/>
    <w:rsid w:val="0039188D"/>
    <w:rsid w:val="00391916"/>
    <w:rsid w:val="003919C1"/>
    <w:rsid w:val="00391E32"/>
    <w:rsid w:val="00392BC2"/>
    <w:rsid w:val="00392DBE"/>
    <w:rsid w:val="00394E44"/>
    <w:rsid w:val="00395086"/>
    <w:rsid w:val="003950E7"/>
    <w:rsid w:val="00395FF8"/>
    <w:rsid w:val="0039739C"/>
    <w:rsid w:val="003974D4"/>
    <w:rsid w:val="00397593"/>
    <w:rsid w:val="003A0217"/>
    <w:rsid w:val="003A09F4"/>
    <w:rsid w:val="003A0AB4"/>
    <w:rsid w:val="003A1608"/>
    <w:rsid w:val="003A200A"/>
    <w:rsid w:val="003A2E75"/>
    <w:rsid w:val="003A316B"/>
    <w:rsid w:val="003A36EB"/>
    <w:rsid w:val="003A391C"/>
    <w:rsid w:val="003A3AE0"/>
    <w:rsid w:val="003A470C"/>
    <w:rsid w:val="003A5375"/>
    <w:rsid w:val="003A54D9"/>
    <w:rsid w:val="003A5628"/>
    <w:rsid w:val="003A57A8"/>
    <w:rsid w:val="003A6860"/>
    <w:rsid w:val="003A6DF3"/>
    <w:rsid w:val="003A72EB"/>
    <w:rsid w:val="003A743E"/>
    <w:rsid w:val="003A75E9"/>
    <w:rsid w:val="003A7ADE"/>
    <w:rsid w:val="003A7EEC"/>
    <w:rsid w:val="003B00B0"/>
    <w:rsid w:val="003B04D0"/>
    <w:rsid w:val="003B08AD"/>
    <w:rsid w:val="003B0CA5"/>
    <w:rsid w:val="003B20C9"/>
    <w:rsid w:val="003B2A34"/>
    <w:rsid w:val="003B3665"/>
    <w:rsid w:val="003B3C9C"/>
    <w:rsid w:val="003B3CDF"/>
    <w:rsid w:val="003B3D14"/>
    <w:rsid w:val="003B3E20"/>
    <w:rsid w:val="003B444E"/>
    <w:rsid w:val="003B6E2C"/>
    <w:rsid w:val="003B6FC5"/>
    <w:rsid w:val="003B7658"/>
    <w:rsid w:val="003B7954"/>
    <w:rsid w:val="003B7DB1"/>
    <w:rsid w:val="003C013D"/>
    <w:rsid w:val="003C01D4"/>
    <w:rsid w:val="003C08C7"/>
    <w:rsid w:val="003C0C0A"/>
    <w:rsid w:val="003C0DB7"/>
    <w:rsid w:val="003C209E"/>
    <w:rsid w:val="003C2222"/>
    <w:rsid w:val="003C2CC3"/>
    <w:rsid w:val="003C2EC5"/>
    <w:rsid w:val="003C39FE"/>
    <w:rsid w:val="003C3E41"/>
    <w:rsid w:val="003C405C"/>
    <w:rsid w:val="003C4C7D"/>
    <w:rsid w:val="003C526F"/>
    <w:rsid w:val="003C5471"/>
    <w:rsid w:val="003C68AA"/>
    <w:rsid w:val="003C69BF"/>
    <w:rsid w:val="003C6A61"/>
    <w:rsid w:val="003C6F44"/>
    <w:rsid w:val="003C7F4A"/>
    <w:rsid w:val="003D02E0"/>
    <w:rsid w:val="003D0450"/>
    <w:rsid w:val="003D09EE"/>
    <w:rsid w:val="003D0D84"/>
    <w:rsid w:val="003D126E"/>
    <w:rsid w:val="003D1A62"/>
    <w:rsid w:val="003D21A7"/>
    <w:rsid w:val="003D23A3"/>
    <w:rsid w:val="003D2746"/>
    <w:rsid w:val="003D2DF1"/>
    <w:rsid w:val="003D30EB"/>
    <w:rsid w:val="003D32F6"/>
    <w:rsid w:val="003D3B19"/>
    <w:rsid w:val="003D5785"/>
    <w:rsid w:val="003D5856"/>
    <w:rsid w:val="003D5E87"/>
    <w:rsid w:val="003D630C"/>
    <w:rsid w:val="003D63D9"/>
    <w:rsid w:val="003D6C16"/>
    <w:rsid w:val="003D6D42"/>
    <w:rsid w:val="003D6E93"/>
    <w:rsid w:val="003D7EB0"/>
    <w:rsid w:val="003E03A4"/>
    <w:rsid w:val="003E0401"/>
    <w:rsid w:val="003E0B9D"/>
    <w:rsid w:val="003E117F"/>
    <w:rsid w:val="003E149B"/>
    <w:rsid w:val="003E1A01"/>
    <w:rsid w:val="003E1F2D"/>
    <w:rsid w:val="003E2A20"/>
    <w:rsid w:val="003E2A73"/>
    <w:rsid w:val="003E2A9D"/>
    <w:rsid w:val="003E3C11"/>
    <w:rsid w:val="003E4A48"/>
    <w:rsid w:val="003E4D01"/>
    <w:rsid w:val="003E4E29"/>
    <w:rsid w:val="003E5755"/>
    <w:rsid w:val="003E5C7D"/>
    <w:rsid w:val="003E6055"/>
    <w:rsid w:val="003E625F"/>
    <w:rsid w:val="003E6702"/>
    <w:rsid w:val="003E6A1C"/>
    <w:rsid w:val="003E6D98"/>
    <w:rsid w:val="003E6EE7"/>
    <w:rsid w:val="003E71B7"/>
    <w:rsid w:val="003E727D"/>
    <w:rsid w:val="003E7568"/>
    <w:rsid w:val="003E7BEE"/>
    <w:rsid w:val="003F0BD0"/>
    <w:rsid w:val="003F164E"/>
    <w:rsid w:val="003F1BFC"/>
    <w:rsid w:val="003F2924"/>
    <w:rsid w:val="003F2FA7"/>
    <w:rsid w:val="003F3FEB"/>
    <w:rsid w:val="003F4578"/>
    <w:rsid w:val="003F4591"/>
    <w:rsid w:val="003F5C9A"/>
    <w:rsid w:val="003F60EB"/>
    <w:rsid w:val="003F6155"/>
    <w:rsid w:val="003F69C7"/>
    <w:rsid w:val="003F6D70"/>
    <w:rsid w:val="003F6F1A"/>
    <w:rsid w:val="003F7746"/>
    <w:rsid w:val="003F7EB7"/>
    <w:rsid w:val="0040060F"/>
    <w:rsid w:val="00400CB9"/>
    <w:rsid w:val="004014AC"/>
    <w:rsid w:val="00401B33"/>
    <w:rsid w:val="00401EB7"/>
    <w:rsid w:val="00402E04"/>
    <w:rsid w:val="004036D9"/>
    <w:rsid w:val="00403A15"/>
    <w:rsid w:val="004040EF"/>
    <w:rsid w:val="00404258"/>
    <w:rsid w:val="00404CA8"/>
    <w:rsid w:val="00404E4F"/>
    <w:rsid w:val="004050B5"/>
    <w:rsid w:val="00405149"/>
    <w:rsid w:val="004062BC"/>
    <w:rsid w:val="00406321"/>
    <w:rsid w:val="004064F7"/>
    <w:rsid w:val="00406AC3"/>
    <w:rsid w:val="00406ED9"/>
    <w:rsid w:val="00407242"/>
    <w:rsid w:val="00407D20"/>
    <w:rsid w:val="004100CF"/>
    <w:rsid w:val="0041032B"/>
    <w:rsid w:val="004109B0"/>
    <w:rsid w:val="00411611"/>
    <w:rsid w:val="00411623"/>
    <w:rsid w:val="00411912"/>
    <w:rsid w:val="004122E2"/>
    <w:rsid w:val="00412664"/>
    <w:rsid w:val="00412715"/>
    <w:rsid w:val="00412B8E"/>
    <w:rsid w:val="00412C7D"/>
    <w:rsid w:val="004131FE"/>
    <w:rsid w:val="004135CB"/>
    <w:rsid w:val="004139CA"/>
    <w:rsid w:val="00413A0F"/>
    <w:rsid w:val="00413BDC"/>
    <w:rsid w:val="00414329"/>
    <w:rsid w:val="004149A0"/>
    <w:rsid w:val="00415303"/>
    <w:rsid w:val="00415464"/>
    <w:rsid w:val="0041564B"/>
    <w:rsid w:val="00415A0E"/>
    <w:rsid w:val="004168CD"/>
    <w:rsid w:val="00416B27"/>
    <w:rsid w:val="00416C89"/>
    <w:rsid w:val="00416CA1"/>
    <w:rsid w:val="00416CC2"/>
    <w:rsid w:val="00417910"/>
    <w:rsid w:val="00417CDC"/>
    <w:rsid w:val="00420F0E"/>
    <w:rsid w:val="00422322"/>
    <w:rsid w:val="00422B48"/>
    <w:rsid w:val="0042339A"/>
    <w:rsid w:val="00423B04"/>
    <w:rsid w:val="00423B15"/>
    <w:rsid w:val="00424204"/>
    <w:rsid w:val="00424CB8"/>
    <w:rsid w:val="00424F66"/>
    <w:rsid w:val="00425069"/>
    <w:rsid w:val="0042508F"/>
    <w:rsid w:val="00427108"/>
    <w:rsid w:val="00427646"/>
    <w:rsid w:val="00427C37"/>
    <w:rsid w:val="0043004E"/>
    <w:rsid w:val="00430A5B"/>
    <w:rsid w:val="00431384"/>
    <w:rsid w:val="0043158A"/>
    <w:rsid w:val="00431640"/>
    <w:rsid w:val="00431793"/>
    <w:rsid w:val="00431E68"/>
    <w:rsid w:val="0043266E"/>
    <w:rsid w:val="0043285B"/>
    <w:rsid w:val="00432C52"/>
    <w:rsid w:val="004330CC"/>
    <w:rsid w:val="0043326D"/>
    <w:rsid w:val="004334BD"/>
    <w:rsid w:val="004335BE"/>
    <w:rsid w:val="00433C7D"/>
    <w:rsid w:val="00433FDA"/>
    <w:rsid w:val="004342C4"/>
    <w:rsid w:val="004349BB"/>
    <w:rsid w:val="0043504C"/>
    <w:rsid w:val="004350F3"/>
    <w:rsid w:val="00435371"/>
    <w:rsid w:val="004353B3"/>
    <w:rsid w:val="0043588D"/>
    <w:rsid w:val="00435ACA"/>
    <w:rsid w:val="00435E43"/>
    <w:rsid w:val="004361CC"/>
    <w:rsid w:val="0043639E"/>
    <w:rsid w:val="004364E3"/>
    <w:rsid w:val="00436656"/>
    <w:rsid w:val="004366E6"/>
    <w:rsid w:val="00436900"/>
    <w:rsid w:val="0043692D"/>
    <w:rsid w:val="00436E8D"/>
    <w:rsid w:val="004379C2"/>
    <w:rsid w:val="00437BD2"/>
    <w:rsid w:val="00437D5A"/>
    <w:rsid w:val="004400E8"/>
    <w:rsid w:val="00440782"/>
    <w:rsid w:val="00440A78"/>
    <w:rsid w:val="004410EF"/>
    <w:rsid w:val="004411B7"/>
    <w:rsid w:val="0044246B"/>
    <w:rsid w:val="004425F9"/>
    <w:rsid w:val="0044286C"/>
    <w:rsid w:val="0044289D"/>
    <w:rsid w:val="004429B0"/>
    <w:rsid w:val="00443CA1"/>
    <w:rsid w:val="00443F9D"/>
    <w:rsid w:val="0044417D"/>
    <w:rsid w:val="004446B1"/>
    <w:rsid w:val="00446093"/>
    <w:rsid w:val="004466AB"/>
    <w:rsid w:val="00447117"/>
    <w:rsid w:val="00447338"/>
    <w:rsid w:val="00447674"/>
    <w:rsid w:val="00450C80"/>
    <w:rsid w:val="004512DB"/>
    <w:rsid w:val="00451EEB"/>
    <w:rsid w:val="004523BA"/>
    <w:rsid w:val="004524F9"/>
    <w:rsid w:val="0045371A"/>
    <w:rsid w:val="0045385C"/>
    <w:rsid w:val="00453B00"/>
    <w:rsid w:val="00453B8D"/>
    <w:rsid w:val="0045420E"/>
    <w:rsid w:val="00454266"/>
    <w:rsid w:val="004544D6"/>
    <w:rsid w:val="0045451D"/>
    <w:rsid w:val="0045473D"/>
    <w:rsid w:val="00455351"/>
    <w:rsid w:val="00456206"/>
    <w:rsid w:val="00456357"/>
    <w:rsid w:val="004564F2"/>
    <w:rsid w:val="00456774"/>
    <w:rsid w:val="00456D50"/>
    <w:rsid w:val="00456F96"/>
    <w:rsid w:val="00457036"/>
    <w:rsid w:val="0045740B"/>
    <w:rsid w:val="00460007"/>
    <w:rsid w:val="00460433"/>
    <w:rsid w:val="00460A13"/>
    <w:rsid w:val="0046121E"/>
    <w:rsid w:val="00461CCC"/>
    <w:rsid w:val="00461CE9"/>
    <w:rsid w:val="00461FA7"/>
    <w:rsid w:val="00462260"/>
    <w:rsid w:val="00462407"/>
    <w:rsid w:val="0046262F"/>
    <w:rsid w:val="00462B48"/>
    <w:rsid w:val="004631DD"/>
    <w:rsid w:val="004635FD"/>
    <w:rsid w:val="00463D33"/>
    <w:rsid w:val="004647A5"/>
    <w:rsid w:val="00464CC5"/>
    <w:rsid w:val="0046511F"/>
    <w:rsid w:val="00465BB3"/>
    <w:rsid w:val="00466394"/>
    <w:rsid w:val="00466B96"/>
    <w:rsid w:val="00466DEF"/>
    <w:rsid w:val="00467378"/>
    <w:rsid w:val="00467472"/>
    <w:rsid w:val="00467A99"/>
    <w:rsid w:val="00470129"/>
    <w:rsid w:val="00470152"/>
    <w:rsid w:val="00470DA0"/>
    <w:rsid w:val="00470F52"/>
    <w:rsid w:val="004715D9"/>
    <w:rsid w:val="00471EB9"/>
    <w:rsid w:val="00472384"/>
    <w:rsid w:val="0047241F"/>
    <w:rsid w:val="004728A0"/>
    <w:rsid w:val="00472BDF"/>
    <w:rsid w:val="00472F7A"/>
    <w:rsid w:val="0047321C"/>
    <w:rsid w:val="0047344A"/>
    <w:rsid w:val="004738B0"/>
    <w:rsid w:val="00473970"/>
    <w:rsid w:val="004742DD"/>
    <w:rsid w:val="004743A6"/>
    <w:rsid w:val="00474693"/>
    <w:rsid w:val="00474915"/>
    <w:rsid w:val="00475231"/>
    <w:rsid w:val="0047545B"/>
    <w:rsid w:val="004761EA"/>
    <w:rsid w:val="00476503"/>
    <w:rsid w:val="00476858"/>
    <w:rsid w:val="00476EEA"/>
    <w:rsid w:val="0047737E"/>
    <w:rsid w:val="00477DD0"/>
    <w:rsid w:val="004803C8"/>
    <w:rsid w:val="004805ED"/>
    <w:rsid w:val="0048078D"/>
    <w:rsid w:val="00480DBB"/>
    <w:rsid w:val="0048121C"/>
    <w:rsid w:val="00481233"/>
    <w:rsid w:val="00481A8E"/>
    <w:rsid w:val="00481DC9"/>
    <w:rsid w:val="00481FA5"/>
    <w:rsid w:val="004822A3"/>
    <w:rsid w:val="00482371"/>
    <w:rsid w:val="00482AC8"/>
    <w:rsid w:val="00482B47"/>
    <w:rsid w:val="00483C2D"/>
    <w:rsid w:val="00483F4C"/>
    <w:rsid w:val="00484BC9"/>
    <w:rsid w:val="00484D02"/>
    <w:rsid w:val="00484E96"/>
    <w:rsid w:val="00486FC7"/>
    <w:rsid w:val="00487882"/>
    <w:rsid w:val="004901A8"/>
    <w:rsid w:val="00490572"/>
    <w:rsid w:val="004905CB"/>
    <w:rsid w:val="004905CC"/>
    <w:rsid w:val="004907B1"/>
    <w:rsid w:val="00490864"/>
    <w:rsid w:val="00490B43"/>
    <w:rsid w:val="004913F6"/>
    <w:rsid w:val="0049174A"/>
    <w:rsid w:val="00491D05"/>
    <w:rsid w:val="00491FB6"/>
    <w:rsid w:val="004923E4"/>
    <w:rsid w:val="004927DE"/>
    <w:rsid w:val="00492F8B"/>
    <w:rsid w:val="00493DF1"/>
    <w:rsid w:val="00494756"/>
    <w:rsid w:val="0049476A"/>
    <w:rsid w:val="004952E5"/>
    <w:rsid w:val="00495667"/>
    <w:rsid w:val="00496340"/>
    <w:rsid w:val="0049655E"/>
    <w:rsid w:val="00496700"/>
    <w:rsid w:val="0049722E"/>
    <w:rsid w:val="00497721"/>
    <w:rsid w:val="00497AD6"/>
    <w:rsid w:val="00497BA1"/>
    <w:rsid w:val="00497C86"/>
    <w:rsid w:val="004A00E6"/>
    <w:rsid w:val="004A09F9"/>
    <w:rsid w:val="004A0A1C"/>
    <w:rsid w:val="004A0D84"/>
    <w:rsid w:val="004A1149"/>
    <w:rsid w:val="004A120A"/>
    <w:rsid w:val="004A1823"/>
    <w:rsid w:val="004A1909"/>
    <w:rsid w:val="004A20BB"/>
    <w:rsid w:val="004A21D0"/>
    <w:rsid w:val="004A2FB8"/>
    <w:rsid w:val="004A31D5"/>
    <w:rsid w:val="004A3255"/>
    <w:rsid w:val="004A3BC0"/>
    <w:rsid w:val="004A3C93"/>
    <w:rsid w:val="004A3D02"/>
    <w:rsid w:val="004A48EE"/>
    <w:rsid w:val="004A4C9E"/>
    <w:rsid w:val="004A51E3"/>
    <w:rsid w:val="004A5586"/>
    <w:rsid w:val="004A6B1F"/>
    <w:rsid w:val="004A6B36"/>
    <w:rsid w:val="004A6BEE"/>
    <w:rsid w:val="004A6FF9"/>
    <w:rsid w:val="004A70DB"/>
    <w:rsid w:val="004A7A17"/>
    <w:rsid w:val="004B011C"/>
    <w:rsid w:val="004B0984"/>
    <w:rsid w:val="004B1363"/>
    <w:rsid w:val="004B1531"/>
    <w:rsid w:val="004B22DC"/>
    <w:rsid w:val="004B2313"/>
    <w:rsid w:val="004B2714"/>
    <w:rsid w:val="004B3521"/>
    <w:rsid w:val="004B365A"/>
    <w:rsid w:val="004B39B8"/>
    <w:rsid w:val="004B3D7B"/>
    <w:rsid w:val="004B408B"/>
    <w:rsid w:val="004B42E0"/>
    <w:rsid w:val="004B44F2"/>
    <w:rsid w:val="004B4E5A"/>
    <w:rsid w:val="004B4E5D"/>
    <w:rsid w:val="004B4EA4"/>
    <w:rsid w:val="004B5060"/>
    <w:rsid w:val="004B50E5"/>
    <w:rsid w:val="004B5165"/>
    <w:rsid w:val="004B5B8F"/>
    <w:rsid w:val="004B609E"/>
    <w:rsid w:val="004B6127"/>
    <w:rsid w:val="004B6A97"/>
    <w:rsid w:val="004B7223"/>
    <w:rsid w:val="004B7A19"/>
    <w:rsid w:val="004B7AD5"/>
    <w:rsid w:val="004B7EF1"/>
    <w:rsid w:val="004C007A"/>
    <w:rsid w:val="004C12C4"/>
    <w:rsid w:val="004C277B"/>
    <w:rsid w:val="004C30DD"/>
    <w:rsid w:val="004C33C8"/>
    <w:rsid w:val="004C34D2"/>
    <w:rsid w:val="004C3580"/>
    <w:rsid w:val="004C3684"/>
    <w:rsid w:val="004C3E2E"/>
    <w:rsid w:val="004C410F"/>
    <w:rsid w:val="004C4823"/>
    <w:rsid w:val="004C4953"/>
    <w:rsid w:val="004C4ADF"/>
    <w:rsid w:val="004C531C"/>
    <w:rsid w:val="004C5474"/>
    <w:rsid w:val="004C5B7E"/>
    <w:rsid w:val="004C65E9"/>
    <w:rsid w:val="004C6746"/>
    <w:rsid w:val="004C6921"/>
    <w:rsid w:val="004C7E4E"/>
    <w:rsid w:val="004C7E90"/>
    <w:rsid w:val="004D0C18"/>
    <w:rsid w:val="004D1286"/>
    <w:rsid w:val="004D1349"/>
    <w:rsid w:val="004D1BBB"/>
    <w:rsid w:val="004D2002"/>
    <w:rsid w:val="004D25B6"/>
    <w:rsid w:val="004D28A6"/>
    <w:rsid w:val="004D293A"/>
    <w:rsid w:val="004D2B74"/>
    <w:rsid w:val="004D350C"/>
    <w:rsid w:val="004D3B0F"/>
    <w:rsid w:val="004D4812"/>
    <w:rsid w:val="004D50A4"/>
    <w:rsid w:val="004D5539"/>
    <w:rsid w:val="004D5734"/>
    <w:rsid w:val="004D5AEC"/>
    <w:rsid w:val="004D5B87"/>
    <w:rsid w:val="004D600F"/>
    <w:rsid w:val="004D668C"/>
    <w:rsid w:val="004D68AE"/>
    <w:rsid w:val="004D6DED"/>
    <w:rsid w:val="004D6EB3"/>
    <w:rsid w:val="004D7FAE"/>
    <w:rsid w:val="004E05EC"/>
    <w:rsid w:val="004E05F7"/>
    <w:rsid w:val="004E0B7E"/>
    <w:rsid w:val="004E0ED0"/>
    <w:rsid w:val="004E0F73"/>
    <w:rsid w:val="004E1100"/>
    <w:rsid w:val="004E1233"/>
    <w:rsid w:val="004E180F"/>
    <w:rsid w:val="004E1820"/>
    <w:rsid w:val="004E19CA"/>
    <w:rsid w:val="004E1D9B"/>
    <w:rsid w:val="004E24E5"/>
    <w:rsid w:val="004E28C6"/>
    <w:rsid w:val="004E343F"/>
    <w:rsid w:val="004E3B64"/>
    <w:rsid w:val="004E3ECD"/>
    <w:rsid w:val="004E4453"/>
    <w:rsid w:val="004E47B4"/>
    <w:rsid w:val="004E49BA"/>
    <w:rsid w:val="004E4AA7"/>
    <w:rsid w:val="004E4EF4"/>
    <w:rsid w:val="004E5240"/>
    <w:rsid w:val="004E55E3"/>
    <w:rsid w:val="004E5A13"/>
    <w:rsid w:val="004E5A33"/>
    <w:rsid w:val="004E66D8"/>
    <w:rsid w:val="004E676B"/>
    <w:rsid w:val="004E67EB"/>
    <w:rsid w:val="004E6AF7"/>
    <w:rsid w:val="004E6B21"/>
    <w:rsid w:val="004E6DE1"/>
    <w:rsid w:val="004E6E49"/>
    <w:rsid w:val="004E72EA"/>
    <w:rsid w:val="004E7A14"/>
    <w:rsid w:val="004E7BB0"/>
    <w:rsid w:val="004F008E"/>
    <w:rsid w:val="004F0277"/>
    <w:rsid w:val="004F0EBA"/>
    <w:rsid w:val="004F10E0"/>
    <w:rsid w:val="004F138F"/>
    <w:rsid w:val="004F148E"/>
    <w:rsid w:val="004F1786"/>
    <w:rsid w:val="004F1A47"/>
    <w:rsid w:val="004F1A77"/>
    <w:rsid w:val="004F1F8A"/>
    <w:rsid w:val="004F24E8"/>
    <w:rsid w:val="004F276A"/>
    <w:rsid w:val="004F2798"/>
    <w:rsid w:val="004F2D0A"/>
    <w:rsid w:val="004F3BD9"/>
    <w:rsid w:val="004F3CD9"/>
    <w:rsid w:val="004F420C"/>
    <w:rsid w:val="004F422B"/>
    <w:rsid w:val="004F4608"/>
    <w:rsid w:val="004F48E1"/>
    <w:rsid w:val="004F5330"/>
    <w:rsid w:val="004F5DCF"/>
    <w:rsid w:val="004F74AE"/>
    <w:rsid w:val="004F7F2F"/>
    <w:rsid w:val="00500115"/>
    <w:rsid w:val="00500123"/>
    <w:rsid w:val="00500E28"/>
    <w:rsid w:val="00500E6E"/>
    <w:rsid w:val="00501698"/>
    <w:rsid w:val="00501FA7"/>
    <w:rsid w:val="0050263D"/>
    <w:rsid w:val="00502E1B"/>
    <w:rsid w:val="00502F62"/>
    <w:rsid w:val="005031B4"/>
    <w:rsid w:val="0050380F"/>
    <w:rsid w:val="00503A9A"/>
    <w:rsid w:val="00503C1D"/>
    <w:rsid w:val="00504A66"/>
    <w:rsid w:val="00504CCD"/>
    <w:rsid w:val="00504F3E"/>
    <w:rsid w:val="005052A1"/>
    <w:rsid w:val="005052AE"/>
    <w:rsid w:val="00506598"/>
    <w:rsid w:val="0050670B"/>
    <w:rsid w:val="00506A26"/>
    <w:rsid w:val="00506D35"/>
    <w:rsid w:val="00506D6A"/>
    <w:rsid w:val="00507064"/>
    <w:rsid w:val="00507E66"/>
    <w:rsid w:val="00507E92"/>
    <w:rsid w:val="00510252"/>
    <w:rsid w:val="00510820"/>
    <w:rsid w:val="00511B29"/>
    <w:rsid w:val="00511E20"/>
    <w:rsid w:val="00512244"/>
    <w:rsid w:val="005124ED"/>
    <w:rsid w:val="00512C10"/>
    <w:rsid w:val="00513125"/>
    <w:rsid w:val="00513425"/>
    <w:rsid w:val="005135E0"/>
    <w:rsid w:val="00513770"/>
    <w:rsid w:val="005137BC"/>
    <w:rsid w:val="00513872"/>
    <w:rsid w:val="00513FE6"/>
    <w:rsid w:val="005141E8"/>
    <w:rsid w:val="00514499"/>
    <w:rsid w:val="00514844"/>
    <w:rsid w:val="00514D7C"/>
    <w:rsid w:val="0051546C"/>
    <w:rsid w:val="005156D8"/>
    <w:rsid w:val="0051688D"/>
    <w:rsid w:val="00516A89"/>
    <w:rsid w:val="00516F7D"/>
    <w:rsid w:val="00517257"/>
    <w:rsid w:val="00517313"/>
    <w:rsid w:val="00517464"/>
    <w:rsid w:val="005200EC"/>
    <w:rsid w:val="0052042F"/>
    <w:rsid w:val="005215D8"/>
    <w:rsid w:val="00521713"/>
    <w:rsid w:val="00521C30"/>
    <w:rsid w:val="00521C4F"/>
    <w:rsid w:val="00521F7C"/>
    <w:rsid w:val="00522254"/>
    <w:rsid w:val="00522A4E"/>
    <w:rsid w:val="005233C2"/>
    <w:rsid w:val="005234DA"/>
    <w:rsid w:val="0052366A"/>
    <w:rsid w:val="00523C79"/>
    <w:rsid w:val="0052486F"/>
    <w:rsid w:val="00524A4F"/>
    <w:rsid w:val="00524B35"/>
    <w:rsid w:val="00524EF7"/>
    <w:rsid w:val="005256E2"/>
    <w:rsid w:val="00525DE8"/>
    <w:rsid w:val="005260C8"/>
    <w:rsid w:val="005262BE"/>
    <w:rsid w:val="00526972"/>
    <w:rsid w:val="00526D4F"/>
    <w:rsid w:val="0052702F"/>
    <w:rsid w:val="00527085"/>
    <w:rsid w:val="005270AB"/>
    <w:rsid w:val="0052712C"/>
    <w:rsid w:val="00527423"/>
    <w:rsid w:val="00527A18"/>
    <w:rsid w:val="00527EC2"/>
    <w:rsid w:val="005300DA"/>
    <w:rsid w:val="00530257"/>
    <w:rsid w:val="00530318"/>
    <w:rsid w:val="00530C51"/>
    <w:rsid w:val="0053119E"/>
    <w:rsid w:val="0053209D"/>
    <w:rsid w:val="0053256A"/>
    <w:rsid w:val="005327A2"/>
    <w:rsid w:val="00532B9A"/>
    <w:rsid w:val="00533594"/>
    <w:rsid w:val="00533AAF"/>
    <w:rsid w:val="00533B8B"/>
    <w:rsid w:val="00533D5A"/>
    <w:rsid w:val="00534406"/>
    <w:rsid w:val="00534CF3"/>
    <w:rsid w:val="00534F7D"/>
    <w:rsid w:val="00534FA1"/>
    <w:rsid w:val="005352FA"/>
    <w:rsid w:val="005359A2"/>
    <w:rsid w:val="00535C62"/>
    <w:rsid w:val="00536122"/>
    <w:rsid w:val="00536740"/>
    <w:rsid w:val="0053718C"/>
    <w:rsid w:val="00537690"/>
    <w:rsid w:val="00540059"/>
    <w:rsid w:val="00540305"/>
    <w:rsid w:val="00540509"/>
    <w:rsid w:val="00540B70"/>
    <w:rsid w:val="005411C8"/>
    <w:rsid w:val="00541325"/>
    <w:rsid w:val="00541B89"/>
    <w:rsid w:val="005424F1"/>
    <w:rsid w:val="00542753"/>
    <w:rsid w:val="00542B53"/>
    <w:rsid w:val="005430F2"/>
    <w:rsid w:val="00543707"/>
    <w:rsid w:val="00543BEA"/>
    <w:rsid w:val="0054414D"/>
    <w:rsid w:val="00544E4E"/>
    <w:rsid w:val="005450A7"/>
    <w:rsid w:val="005466BC"/>
    <w:rsid w:val="00546BA3"/>
    <w:rsid w:val="00547A7F"/>
    <w:rsid w:val="00547CAF"/>
    <w:rsid w:val="00547DCA"/>
    <w:rsid w:val="00547DD4"/>
    <w:rsid w:val="00547E5F"/>
    <w:rsid w:val="00550C99"/>
    <w:rsid w:val="00550E37"/>
    <w:rsid w:val="00550E78"/>
    <w:rsid w:val="00551111"/>
    <w:rsid w:val="00551E09"/>
    <w:rsid w:val="0055261F"/>
    <w:rsid w:val="00552E85"/>
    <w:rsid w:val="0055303F"/>
    <w:rsid w:val="00553413"/>
    <w:rsid w:val="00553B22"/>
    <w:rsid w:val="00553C23"/>
    <w:rsid w:val="00554876"/>
    <w:rsid w:val="00555508"/>
    <w:rsid w:val="00555AB2"/>
    <w:rsid w:val="00556081"/>
    <w:rsid w:val="00556285"/>
    <w:rsid w:val="0055637C"/>
    <w:rsid w:val="005565A9"/>
    <w:rsid w:val="00557533"/>
    <w:rsid w:val="0055757B"/>
    <w:rsid w:val="00557915"/>
    <w:rsid w:val="00557C89"/>
    <w:rsid w:val="00557CFF"/>
    <w:rsid w:val="00557D10"/>
    <w:rsid w:val="0056029B"/>
    <w:rsid w:val="00561129"/>
    <w:rsid w:val="00561885"/>
    <w:rsid w:val="00561CD1"/>
    <w:rsid w:val="00561E90"/>
    <w:rsid w:val="0056216B"/>
    <w:rsid w:val="0056236C"/>
    <w:rsid w:val="00562410"/>
    <w:rsid w:val="00562790"/>
    <w:rsid w:val="00562936"/>
    <w:rsid w:val="00562D46"/>
    <w:rsid w:val="00563504"/>
    <w:rsid w:val="00564812"/>
    <w:rsid w:val="00564863"/>
    <w:rsid w:val="0056502E"/>
    <w:rsid w:val="0056517C"/>
    <w:rsid w:val="0056665C"/>
    <w:rsid w:val="005672B5"/>
    <w:rsid w:val="00567986"/>
    <w:rsid w:val="00567AC8"/>
    <w:rsid w:val="00567C50"/>
    <w:rsid w:val="005700D5"/>
    <w:rsid w:val="0057015E"/>
    <w:rsid w:val="005707F7"/>
    <w:rsid w:val="005709B5"/>
    <w:rsid w:val="005710AD"/>
    <w:rsid w:val="00571144"/>
    <w:rsid w:val="005711B8"/>
    <w:rsid w:val="005711FF"/>
    <w:rsid w:val="00571238"/>
    <w:rsid w:val="00571371"/>
    <w:rsid w:val="00571468"/>
    <w:rsid w:val="005714A7"/>
    <w:rsid w:val="005717A0"/>
    <w:rsid w:val="00571C54"/>
    <w:rsid w:val="00571E65"/>
    <w:rsid w:val="00572234"/>
    <w:rsid w:val="00572507"/>
    <w:rsid w:val="00572B16"/>
    <w:rsid w:val="00572FA4"/>
    <w:rsid w:val="005736CC"/>
    <w:rsid w:val="005746F3"/>
    <w:rsid w:val="005750C7"/>
    <w:rsid w:val="005754AB"/>
    <w:rsid w:val="005755E0"/>
    <w:rsid w:val="00575EBB"/>
    <w:rsid w:val="005763B4"/>
    <w:rsid w:val="005763DC"/>
    <w:rsid w:val="0057690D"/>
    <w:rsid w:val="00576A9B"/>
    <w:rsid w:val="00576BF4"/>
    <w:rsid w:val="00576C82"/>
    <w:rsid w:val="00576D8C"/>
    <w:rsid w:val="00576DB7"/>
    <w:rsid w:val="005777A1"/>
    <w:rsid w:val="00577AFB"/>
    <w:rsid w:val="005804FC"/>
    <w:rsid w:val="005823D2"/>
    <w:rsid w:val="005826E6"/>
    <w:rsid w:val="005826F4"/>
    <w:rsid w:val="005827C8"/>
    <w:rsid w:val="00582A61"/>
    <w:rsid w:val="00582BCF"/>
    <w:rsid w:val="0058369E"/>
    <w:rsid w:val="00583CA7"/>
    <w:rsid w:val="00583E55"/>
    <w:rsid w:val="005844FF"/>
    <w:rsid w:val="00584B96"/>
    <w:rsid w:val="00584DCF"/>
    <w:rsid w:val="00585165"/>
    <w:rsid w:val="0058526B"/>
    <w:rsid w:val="00585395"/>
    <w:rsid w:val="005864BB"/>
    <w:rsid w:val="005864E4"/>
    <w:rsid w:val="00586BF6"/>
    <w:rsid w:val="005870B7"/>
    <w:rsid w:val="005871AF"/>
    <w:rsid w:val="005902D9"/>
    <w:rsid w:val="0059053C"/>
    <w:rsid w:val="00590B0B"/>
    <w:rsid w:val="00590C6E"/>
    <w:rsid w:val="00590D09"/>
    <w:rsid w:val="005911E5"/>
    <w:rsid w:val="005914C7"/>
    <w:rsid w:val="005914DE"/>
    <w:rsid w:val="0059156A"/>
    <w:rsid w:val="005915FA"/>
    <w:rsid w:val="0059160A"/>
    <w:rsid w:val="0059190B"/>
    <w:rsid w:val="00592938"/>
    <w:rsid w:val="00592A34"/>
    <w:rsid w:val="00593314"/>
    <w:rsid w:val="00593370"/>
    <w:rsid w:val="0059368E"/>
    <w:rsid w:val="005938F1"/>
    <w:rsid w:val="00593BF5"/>
    <w:rsid w:val="00594496"/>
    <w:rsid w:val="005944A5"/>
    <w:rsid w:val="005956D3"/>
    <w:rsid w:val="00595C27"/>
    <w:rsid w:val="00595F49"/>
    <w:rsid w:val="00596365"/>
    <w:rsid w:val="005963F9"/>
    <w:rsid w:val="00596412"/>
    <w:rsid w:val="005965BC"/>
    <w:rsid w:val="00596733"/>
    <w:rsid w:val="0059673E"/>
    <w:rsid w:val="00596C35"/>
    <w:rsid w:val="00596C38"/>
    <w:rsid w:val="00596C6A"/>
    <w:rsid w:val="00596E4A"/>
    <w:rsid w:val="00596E77"/>
    <w:rsid w:val="00596EAF"/>
    <w:rsid w:val="00597130"/>
    <w:rsid w:val="0059743E"/>
    <w:rsid w:val="00597AAA"/>
    <w:rsid w:val="00597D06"/>
    <w:rsid w:val="00597D7A"/>
    <w:rsid w:val="005A03FD"/>
    <w:rsid w:val="005A04C3"/>
    <w:rsid w:val="005A1788"/>
    <w:rsid w:val="005A1DE7"/>
    <w:rsid w:val="005A299C"/>
    <w:rsid w:val="005A330C"/>
    <w:rsid w:val="005A35F6"/>
    <w:rsid w:val="005A3AD2"/>
    <w:rsid w:val="005A3B5A"/>
    <w:rsid w:val="005A3BD5"/>
    <w:rsid w:val="005A4142"/>
    <w:rsid w:val="005A4750"/>
    <w:rsid w:val="005A4F53"/>
    <w:rsid w:val="005A4FD0"/>
    <w:rsid w:val="005A5561"/>
    <w:rsid w:val="005A5BEF"/>
    <w:rsid w:val="005A5FF5"/>
    <w:rsid w:val="005A6DA6"/>
    <w:rsid w:val="005A7286"/>
    <w:rsid w:val="005A79F0"/>
    <w:rsid w:val="005A7D03"/>
    <w:rsid w:val="005A7E78"/>
    <w:rsid w:val="005B00C1"/>
    <w:rsid w:val="005B0346"/>
    <w:rsid w:val="005B03ED"/>
    <w:rsid w:val="005B0793"/>
    <w:rsid w:val="005B0858"/>
    <w:rsid w:val="005B111D"/>
    <w:rsid w:val="005B11C4"/>
    <w:rsid w:val="005B13AB"/>
    <w:rsid w:val="005B1776"/>
    <w:rsid w:val="005B1BA3"/>
    <w:rsid w:val="005B1C70"/>
    <w:rsid w:val="005B32FB"/>
    <w:rsid w:val="005B3409"/>
    <w:rsid w:val="005B3E5B"/>
    <w:rsid w:val="005B4111"/>
    <w:rsid w:val="005B42C5"/>
    <w:rsid w:val="005B5649"/>
    <w:rsid w:val="005B5C46"/>
    <w:rsid w:val="005B6222"/>
    <w:rsid w:val="005B62DC"/>
    <w:rsid w:val="005B63A5"/>
    <w:rsid w:val="005B6C78"/>
    <w:rsid w:val="005B71FA"/>
    <w:rsid w:val="005B7741"/>
    <w:rsid w:val="005B7FE4"/>
    <w:rsid w:val="005C05E0"/>
    <w:rsid w:val="005C09C2"/>
    <w:rsid w:val="005C0C80"/>
    <w:rsid w:val="005C11B8"/>
    <w:rsid w:val="005C17BD"/>
    <w:rsid w:val="005C18C2"/>
    <w:rsid w:val="005C2EF0"/>
    <w:rsid w:val="005C3736"/>
    <w:rsid w:val="005C37E0"/>
    <w:rsid w:val="005C4395"/>
    <w:rsid w:val="005C45B3"/>
    <w:rsid w:val="005C4620"/>
    <w:rsid w:val="005C54B9"/>
    <w:rsid w:val="005C5A1C"/>
    <w:rsid w:val="005C6618"/>
    <w:rsid w:val="005C6726"/>
    <w:rsid w:val="005C67A8"/>
    <w:rsid w:val="005C7295"/>
    <w:rsid w:val="005C77EF"/>
    <w:rsid w:val="005C7A8A"/>
    <w:rsid w:val="005C7EAC"/>
    <w:rsid w:val="005D0189"/>
    <w:rsid w:val="005D1C67"/>
    <w:rsid w:val="005D1ED9"/>
    <w:rsid w:val="005D2122"/>
    <w:rsid w:val="005D235D"/>
    <w:rsid w:val="005D2CA4"/>
    <w:rsid w:val="005D3267"/>
    <w:rsid w:val="005D32FC"/>
    <w:rsid w:val="005D3FE8"/>
    <w:rsid w:val="005D40E8"/>
    <w:rsid w:val="005D4110"/>
    <w:rsid w:val="005D4D42"/>
    <w:rsid w:val="005D5415"/>
    <w:rsid w:val="005D5570"/>
    <w:rsid w:val="005D58D6"/>
    <w:rsid w:val="005D63FE"/>
    <w:rsid w:val="005D6AE8"/>
    <w:rsid w:val="005D6B9A"/>
    <w:rsid w:val="005D6CE5"/>
    <w:rsid w:val="005D6ED2"/>
    <w:rsid w:val="005D6F1D"/>
    <w:rsid w:val="005D7859"/>
    <w:rsid w:val="005D7973"/>
    <w:rsid w:val="005E0D31"/>
    <w:rsid w:val="005E163F"/>
    <w:rsid w:val="005E1696"/>
    <w:rsid w:val="005E1ACB"/>
    <w:rsid w:val="005E202C"/>
    <w:rsid w:val="005E2AAE"/>
    <w:rsid w:val="005E2F96"/>
    <w:rsid w:val="005E2FE1"/>
    <w:rsid w:val="005E4470"/>
    <w:rsid w:val="005E554F"/>
    <w:rsid w:val="005E5794"/>
    <w:rsid w:val="005E5A17"/>
    <w:rsid w:val="005E5FFE"/>
    <w:rsid w:val="005E67B9"/>
    <w:rsid w:val="005E691A"/>
    <w:rsid w:val="005E6E0A"/>
    <w:rsid w:val="005F05D8"/>
    <w:rsid w:val="005F066B"/>
    <w:rsid w:val="005F084B"/>
    <w:rsid w:val="005F1798"/>
    <w:rsid w:val="005F1A75"/>
    <w:rsid w:val="005F22F3"/>
    <w:rsid w:val="005F2398"/>
    <w:rsid w:val="005F2959"/>
    <w:rsid w:val="005F3FFA"/>
    <w:rsid w:val="005F4FA3"/>
    <w:rsid w:val="005F5310"/>
    <w:rsid w:val="005F5B2D"/>
    <w:rsid w:val="005F5D09"/>
    <w:rsid w:val="005F5E49"/>
    <w:rsid w:val="005F664F"/>
    <w:rsid w:val="005F692F"/>
    <w:rsid w:val="005F6B09"/>
    <w:rsid w:val="005F6B91"/>
    <w:rsid w:val="005F7FF4"/>
    <w:rsid w:val="00601539"/>
    <w:rsid w:val="006021BB"/>
    <w:rsid w:val="00602600"/>
    <w:rsid w:val="00602A9B"/>
    <w:rsid w:val="00602B10"/>
    <w:rsid w:val="00602E26"/>
    <w:rsid w:val="00602F41"/>
    <w:rsid w:val="00603F82"/>
    <w:rsid w:val="00603FD5"/>
    <w:rsid w:val="006041A2"/>
    <w:rsid w:val="00604784"/>
    <w:rsid w:val="0060491F"/>
    <w:rsid w:val="00604DF7"/>
    <w:rsid w:val="00605F16"/>
    <w:rsid w:val="00606042"/>
    <w:rsid w:val="00606C1D"/>
    <w:rsid w:val="00607266"/>
    <w:rsid w:val="00607A00"/>
    <w:rsid w:val="00607EDE"/>
    <w:rsid w:val="00607F03"/>
    <w:rsid w:val="00607F99"/>
    <w:rsid w:val="00610007"/>
    <w:rsid w:val="00610097"/>
    <w:rsid w:val="00610627"/>
    <w:rsid w:val="006106AA"/>
    <w:rsid w:val="00610759"/>
    <w:rsid w:val="00610F6C"/>
    <w:rsid w:val="00611CBC"/>
    <w:rsid w:val="00612F83"/>
    <w:rsid w:val="00613FC2"/>
    <w:rsid w:val="006144C9"/>
    <w:rsid w:val="00614CE9"/>
    <w:rsid w:val="00614DFE"/>
    <w:rsid w:val="006160F4"/>
    <w:rsid w:val="006165F9"/>
    <w:rsid w:val="00616C2C"/>
    <w:rsid w:val="00616DC8"/>
    <w:rsid w:val="00617DB4"/>
    <w:rsid w:val="006200BB"/>
    <w:rsid w:val="00620548"/>
    <w:rsid w:val="00620761"/>
    <w:rsid w:val="006215B2"/>
    <w:rsid w:val="006217C0"/>
    <w:rsid w:val="00622692"/>
    <w:rsid w:val="00622CE4"/>
    <w:rsid w:val="00623342"/>
    <w:rsid w:val="006237AD"/>
    <w:rsid w:val="0062392E"/>
    <w:rsid w:val="00624B03"/>
    <w:rsid w:val="00624B90"/>
    <w:rsid w:val="00624BB8"/>
    <w:rsid w:val="006264F8"/>
    <w:rsid w:val="00626DB6"/>
    <w:rsid w:val="00627557"/>
    <w:rsid w:val="00627E68"/>
    <w:rsid w:val="00627EE1"/>
    <w:rsid w:val="0063086E"/>
    <w:rsid w:val="00630F02"/>
    <w:rsid w:val="00631C07"/>
    <w:rsid w:val="006325DF"/>
    <w:rsid w:val="00632651"/>
    <w:rsid w:val="00633936"/>
    <w:rsid w:val="00633AB2"/>
    <w:rsid w:val="00633D3F"/>
    <w:rsid w:val="00633E80"/>
    <w:rsid w:val="0063453F"/>
    <w:rsid w:val="00634A21"/>
    <w:rsid w:val="00634A63"/>
    <w:rsid w:val="00634E8D"/>
    <w:rsid w:val="00635500"/>
    <w:rsid w:val="006357A2"/>
    <w:rsid w:val="006357D6"/>
    <w:rsid w:val="006359BD"/>
    <w:rsid w:val="00635DF0"/>
    <w:rsid w:val="00635DF4"/>
    <w:rsid w:val="00636A44"/>
    <w:rsid w:val="00636C7A"/>
    <w:rsid w:val="0063728C"/>
    <w:rsid w:val="00637700"/>
    <w:rsid w:val="00637D22"/>
    <w:rsid w:val="0064085A"/>
    <w:rsid w:val="00640E93"/>
    <w:rsid w:val="00641750"/>
    <w:rsid w:val="00641906"/>
    <w:rsid w:val="00641981"/>
    <w:rsid w:val="00641A30"/>
    <w:rsid w:val="00641DCC"/>
    <w:rsid w:val="0064205E"/>
    <w:rsid w:val="006424AA"/>
    <w:rsid w:val="006424F9"/>
    <w:rsid w:val="00642A03"/>
    <w:rsid w:val="00642DF1"/>
    <w:rsid w:val="00643540"/>
    <w:rsid w:val="00643A6A"/>
    <w:rsid w:val="00643EF3"/>
    <w:rsid w:val="006440FC"/>
    <w:rsid w:val="00644565"/>
    <w:rsid w:val="006446AA"/>
    <w:rsid w:val="00644D22"/>
    <w:rsid w:val="00644DD4"/>
    <w:rsid w:val="00644DDD"/>
    <w:rsid w:val="0064515A"/>
    <w:rsid w:val="0064605F"/>
    <w:rsid w:val="006469CA"/>
    <w:rsid w:val="00646DC8"/>
    <w:rsid w:val="006475BD"/>
    <w:rsid w:val="00647EBF"/>
    <w:rsid w:val="00647EC3"/>
    <w:rsid w:val="006503E9"/>
    <w:rsid w:val="0065086D"/>
    <w:rsid w:val="006511D1"/>
    <w:rsid w:val="00651B9F"/>
    <w:rsid w:val="0065206D"/>
    <w:rsid w:val="00652745"/>
    <w:rsid w:val="006527FF"/>
    <w:rsid w:val="00654271"/>
    <w:rsid w:val="00654421"/>
    <w:rsid w:val="00654B7B"/>
    <w:rsid w:val="00654DBF"/>
    <w:rsid w:val="00654E59"/>
    <w:rsid w:val="00655183"/>
    <w:rsid w:val="006556A5"/>
    <w:rsid w:val="0065582C"/>
    <w:rsid w:val="0065606F"/>
    <w:rsid w:val="0065660C"/>
    <w:rsid w:val="00656A8A"/>
    <w:rsid w:val="006576CA"/>
    <w:rsid w:val="00657937"/>
    <w:rsid w:val="00657DEB"/>
    <w:rsid w:val="006608D7"/>
    <w:rsid w:val="00660C45"/>
    <w:rsid w:val="00660D2B"/>
    <w:rsid w:val="00661812"/>
    <w:rsid w:val="00662209"/>
    <w:rsid w:val="006626C4"/>
    <w:rsid w:val="0066271A"/>
    <w:rsid w:val="0066325E"/>
    <w:rsid w:val="00663BD8"/>
    <w:rsid w:val="00664B69"/>
    <w:rsid w:val="006651BB"/>
    <w:rsid w:val="006651D6"/>
    <w:rsid w:val="0066613C"/>
    <w:rsid w:val="00666374"/>
    <w:rsid w:val="00666E3D"/>
    <w:rsid w:val="00666ECB"/>
    <w:rsid w:val="00667BE5"/>
    <w:rsid w:val="00667E91"/>
    <w:rsid w:val="006719E8"/>
    <w:rsid w:val="00671C60"/>
    <w:rsid w:val="00672ABA"/>
    <w:rsid w:val="0067310B"/>
    <w:rsid w:val="0067404B"/>
    <w:rsid w:val="00674D77"/>
    <w:rsid w:val="00675027"/>
    <w:rsid w:val="00675AC3"/>
    <w:rsid w:val="00675F7F"/>
    <w:rsid w:val="00675FBA"/>
    <w:rsid w:val="00676F47"/>
    <w:rsid w:val="006779F8"/>
    <w:rsid w:val="00677F40"/>
    <w:rsid w:val="00680C67"/>
    <w:rsid w:val="00680CFF"/>
    <w:rsid w:val="00680FEF"/>
    <w:rsid w:val="0068124D"/>
    <w:rsid w:val="00681434"/>
    <w:rsid w:val="0068202A"/>
    <w:rsid w:val="006836FF"/>
    <w:rsid w:val="00683B8E"/>
    <w:rsid w:val="00683E74"/>
    <w:rsid w:val="00684182"/>
    <w:rsid w:val="006849F9"/>
    <w:rsid w:val="00684B1C"/>
    <w:rsid w:val="0068506E"/>
    <w:rsid w:val="006851A3"/>
    <w:rsid w:val="00685848"/>
    <w:rsid w:val="006866FB"/>
    <w:rsid w:val="00686DAF"/>
    <w:rsid w:val="0068724F"/>
    <w:rsid w:val="00687E39"/>
    <w:rsid w:val="006901F2"/>
    <w:rsid w:val="00690474"/>
    <w:rsid w:val="00690B06"/>
    <w:rsid w:val="0069105D"/>
    <w:rsid w:val="0069126D"/>
    <w:rsid w:val="006920A8"/>
    <w:rsid w:val="00692AC5"/>
    <w:rsid w:val="00692BFD"/>
    <w:rsid w:val="00693FD5"/>
    <w:rsid w:val="00694897"/>
    <w:rsid w:val="00694AD9"/>
    <w:rsid w:val="00694F5C"/>
    <w:rsid w:val="00695138"/>
    <w:rsid w:val="006957D0"/>
    <w:rsid w:val="00696A3C"/>
    <w:rsid w:val="00696C81"/>
    <w:rsid w:val="006970AC"/>
    <w:rsid w:val="00697120"/>
    <w:rsid w:val="0069779C"/>
    <w:rsid w:val="006A0503"/>
    <w:rsid w:val="006A095D"/>
    <w:rsid w:val="006A0CEE"/>
    <w:rsid w:val="006A178A"/>
    <w:rsid w:val="006A19F0"/>
    <w:rsid w:val="006A1DEF"/>
    <w:rsid w:val="006A32B2"/>
    <w:rsid w:val="006A35D4"/>
    <w:rsid w:val="006A3655"/>
    <w:rsid w:val="006A3B8B"/>
    <w:rsid w:val="006A3D1F"/>
    <w:rsid w:val="006A476F"/>
    <w:rsid w:val="006A482B"/>
    <w:rsid w:val="006A4FCB"/>
    <w:rsid w:val="006A5074"/>
    <w:rsid w:val="006A5282"/>
    <w:rsid w:val="006A5448"/>
    <w:rsid w:val="006A59FE"/>
    <w:rsid w:val="006A5B04"/>
    <w:rsid w:val="006A67CF"/>
    <w:rsid w:val="006A7069"/>
    <w:rsid w:val="006A7240"/>
    <w:rsid w:val="006A7257"/>
    <w:rsid w:val="006A76E7"/>
    <w:rsid w:val="006A7861"/>
    <w:rsid w:val="006A7CC3"/>
    <w:rsid w:val="006B04A5"/>
    <w:rsid w:val="006B0A09"/>
    <w:rsid w:val="006B11F6"/>
    <w:rsid w:val="006B1C7C"/>
    <w:rsid w:val="006B2001"/>
    <w:rsid w:val="006B2305"/>
    <w:rsid w:val="006B2382"/>
    <w:rsid w:val="006B2491"/>
    <w:rsid w:val="006B2D52"/>
    <w:rsid w:val="006B3067"/>
    <w:rsid w:val="006B3110"/>
    <w:rsid w:val="006B345C"/>
    <w:rsid w:val="006B3828"/>
    <w:rsid w:val="006B3DCA"/>
    <w:rsid w:val="006B47EB"/>
    <w:rsid w:val="006B48C4"/>
    <w:rsid w:val="006B4DB9"/>
    <w:rsid w:val="006B4FBB"/>
    <w:rsid w:val="006B514B"/>
    <w:rsid w:val="006B5586"/>
    <w:rsid w:val="006B5E43"/>
    <w:rsid w:val="006B6043"/>
    <w:rsid w:val="006B6388"/>
    <w:rsid w:val="006B6B10"/>
    <w:rsid w:val="006B703A"/>
    <w:rsid w:val="006B79A2"/>
    <w:rsid w:val="006B7D50"/>
    <w:rsid w:val="006B7D72"/>
    <w:rsid w:val="006C015B"/>
    <w:rsid w:val="006C0717"/>
    <w:rsid w:val="006C08B9"/>
    <w:rsid w:val="006C0B52"/>
    <w:rsid w:val="006C0C0A"/>
    <w:rsid w:val="006C16A9"/>
    <w:rsid w:val="006C194B"/>
    <w:rsid w:val="006C1A43"/>
    <w:rsid w:val="006C1D08"/>
    <w:rsid w:val="006C1E83"/>
    <w:rsid w:val="006C3378"/>
    <w:rsid w:val="006C3430"/>
    <w:rsid w:val="006C36D5"/>
    <w:rsid w:val="006C3804"/>
    <w:rsid w:val="006C3F97"/>
    <w:rsid w:val="006C42CF"/>
    <w:rsid w:val="006C43A8"/>
    <w:rsid w:val="006C4AF4"/>
    <w:rsid w:val="006C4C82"/>
    <w:rsid w:val="006C4EC8"/>
    <w:rsid w:val="006C528B"/>
    <w:rsid w:val="006C5842"/>
    <w:rsid w:val="006C5ED1"/>
    <w:rsid w:val="006C61F0"/>
    <w:rsid w:val="006C643F"/>
    <w:rsid w:val="006C70E7"/>
    <w:rsid w:val="006C7740"/>
    <w:rsid w:val="006C7AA3"/>
    <w:rsid w:val="006C7B8B"/>
    <w:rsid w:val="006D0247"/>
    <w:rsid w:val="006D0855"/>
    <w:rsid w:val="006D095B"/>
    <w:rsid w:val="006D0AA2"/>
    <w:rsid w:val="006D1B0A"/>
    <w:rsid w:val="006D2BF8"/>
    <w:rsid w:val="006D354A"/>
    <w:rsid w:val="006D36B4"/>
    <w:rsid w:val="006D376B"/>
    <w:rsid w:val="006D3F2F"/>
    <w:rsid w:val="006D420F"/>
    <w:rsid w:val="006D4472"/>
    <w:rsid w:val="006D4F09"/>
    <w:rsid w:val="006D51EE"/>
    <w:rsid w:val="006D5A2C"/>
    <w:rsid w:val="006D5B11"/>
    <w:rsid w:val="006D5F4F"/>
    <w:rsid w:val="006D6659"/>
    <w:rsid w:val="006D6A52"/>
    <w:rsid w:val="006D6D04"/>
    <w:rsid w:val="006D6EAD"/>
    <w:rsid w:val="006E0024"/>
    <w:rsid w:val="006E09A1"/>
    <w:rsid w:val="006E10C3"/>
    <w:rsid w:val="006E11CA"/>
    <w:rsid w:val="006E19C3"/>
    <w:rsid w:val="006E1B7C"/>
    <w:rsid w:val="006E209F"/>
    <w:rsid w:val="006E2DCD"/>
    <w:rsid w:val="006E2F76"/>
    <w:rsid w:val="006E3536"/>
    <w:rsid w:val="006E3A3D"/>
    <w:rsid w:val="006E4186"/>
    <w:rsid w:val="006E58BB"/>
    <w:rsid w:val="006E58CE"/>
    <w:rsid w:val="006E6015"/>
    <w:rsid w:val="006E67E6"/>
    <w:rsid w:val="006E69FE"/>
    <w:rsid w:val="006E6AFC"/>
    <w:rsid w:val="006E6C18"/>
    <w:rsid w:val="006E6D27"/>
    <w:rsid w:val="006E6D5D"/>
    <w:rsid w:val="006E716E"/>
    <w:rsid w:val="006E7728"/>
    <w:rsid w:val="006F0937"/>
    <w:rsid w:val="006F0A97"/>
    <w:rsid w:val="006F0DF9"/>
    <w:rsid w:val="006F2B76"/>
    <w:rsid w:val="006F2B79"/>
    <w:rsid w:val="006F3574"/>
    <w:rsid w:val="006F358B"/>
    <w:rsid w:val="006F3E9C"/>
    <w:rsid w:val="006F4B32"/>
    <w:rsid w:val="006F4F0C"/>
    <w:rsid w:val="006F5A8C"/>
    <w:rsid w:val="006F5B45"/>
    <w:rsid w:val="006F5FBF"/>
    <w:rsid w:val="006F607C"/>
    <w:rsid w:val="006F6116"/>
    <w:rsid w:val="006F6F90"/>
    <w:rsid w:val="006F7B93"/>
    <w:rsid w:val="007000C3"/>
    <w:rsid w:val="00700499"/>
    <w:rsid w:val="00701100"/>
    <w:rsid w:val="00701128"/>
    <w:rsid w:val="0070114B"/>
    <w:rsid w:val="00701907"/>
    <w:rsid w:val="00701E75"/>
    <w:rsid w:val="00702493"/>
    <w:rsid w:val="0070249D"/>
    <w:rsid w:val="00702939"/>
    <w:rsid w:val="00702A3F"/>
    <w:rsid w:val="00702CCF"/>
    <w:rsid w:val="007031F6"/>
    <w:rsid w:val="00703FD6"/>
    <w:rsid w:val="0070483D"/>
    <w:rsid w:val="00704D3D"/>
    <w:rsid w:val="0070601D"/>
    <w:rsid w:val="00706610"/>
    <w:rsid w:val="00706B89"/>
    <w:rsid w:val="007071A1"/>
    <w:rsid w:val="00707B5B"/>
    <w:rsid w:val="00707DA2"/>
    <w:rsid w:val="007100E1"/>
    <w:rsid w:val="00710242"/>
    <w:rsid w:val="007107FF"/>
    <w:rsid w:val="00710BED"/>
    <w:rsid w:val="007113A6"/>
    <w:rsid w:val="007115E7"/>
    <w:rsid w:val="00711D0C"/>
    <w:rsid w:val="00711EEC"/>
    <w:rsid w:val="0071271C"/>
    <w:rsid w:val="00713F87"/>
    <w:rsid w:val="00714488"/>
    <w:rsid w:val="007148B3"/>
    <w:rsid w:val="00714E57"/>
    <w:rsid w:val="00715228"/>
    <w:rsid w:val="00715534"/>
    <w:rsid w:val="007158C6"/>
    <w:rsid w:val="00715C7B"/>
    <w:rsid w:val="00715FC9"/>
    <w:rsid w:val="0071642D"/>
    <w:rsid w:val="00716B50"/>
    <w:rsid w:val="00716FE4"/>
    <w:rsid w:val="00717108"/>
    <w:rsid w:val="0071742E"/>
    <w:rsid w:val="0071779A"/>
    <w:rsid w:val="00717B7E"/>
    <w:rsid w:val="00717B89"/>
    <w:rsid w:val="00720507"/>
    <w:rsid w:val="00720F32"/>
    <w:rsid w:val="0072129E"/>
    <w:rsid w:val="007212B2"/>
    <w:rsid w:val="007215EF"/>
    <w:rsid w:val="0072178C"/>
    <w:rsid w:val="00721C11"/>
    <w:rsid w:val="00722EEA"/>
    <w:rsid w:val="007233B6"/>
    <w:rsid w:val="00724B18"/>
    <w:rsid w:val="00724C8B"/>
    <w:rsid w:val="00724FFF"/>
    <w:rsid w:val="00725335"/>
    <w:rsid w:val="007255E8"/>
    <w:rsid w:val="00725816"/>
    <w:rsid w:val="00725C28"/>
    <w:rsid w:val="0072600A"/>
    <w:rsid w:val="007301C9"/>
    <w:rsid w:val="00731DAC"/>
    <w:rsid w:val="0073245D"/>
    <w:rsid w:val="00732610"/>
    <w:rsid w:val="0073280E"/>
    <w:rsid w:val="007335A2"/>
    <w:rsid w:val="00733D7C"/>
    <w:rsid w:val="00734289"/>
    <w:rsid w:val="00735697"/>
    <w:rsid w:val="00736A20"/>
    <w:rsid w:val="007370B7"/>
    <w:rsid w:val="007373F6"/>
    <w:rsid w:val="007378A3"/>
    <w:rsid w:val="007378CE"/>
    <w:rsid w:val="007401E3"/>
    <w:rsid w:val="00740CDD"/>
    <w:rsid w:val="007414C9"/>
    <w:rsid w:val="007419C3"/>
    <w:rsid w:val="0074232E"/>
    <w:rsid w:val="007426D2"/>
    <w:rsid w:val="00742F0D"/>
    <w:rsid w:val="00743548"/>
    <w:rsid w:val="0074359A"/>
    <w:rsid w:val="00743F48"/>
    <w:rsid w:val="00744120"/>
    <w:rsid w:val="00744D3A"/>
    <w:rsid w:val="00744F41"/>
    <w:rsid w:val="00745BEE"/>
    <w:rsid w:val="00746651"/>
    <w:rsid w:val="00746DA9"/>
    <w:rsid w:val="00747335"/>
    <w:rsid w:val="007479C8"/>
    <w:rsid w:val="00747B03"/>
    <w:rsid w:val="00747C7F"/>
    <w:rsid w:val="00747E09"/>
    <w:rsid w:val="007502BD"/>
    <w:rsid w:val="007508B6"/>
    <w:rsid w:val="00750F7B"/>
    <w:rsid w:val="0075138D"/>
    <w:rsid w:val="00751443"/>
    <w:rsid w:val="0075149F"/>
    <w:rsid w:val="007515C6"/>
    <w:rsid w:val="007521D5"/>
    <w:rsid w:val="0075225F"/>
    <w:rsid w:val="00752D06"/>
    <w:rsid w:val="0075386F"/>
    <w:rsid w:val="007540CC"/>
    <w:rsid w:val="007547D1"/>
    <w:rsid w:val="00754947"/>
    <w:rsid w:val="007549BC"/>
    <w:rsid w:val="00754CA8"/>
    <w:rsid w:val="0075545F"/>
    <w:rsid w:val="00755504"/>
    <w:rsid w:val="00755D00"/>
    <w:rsid w:val="00756397"/>
    <w:rsid w:val="0075676E"/>
    <w:rsid w:val="0075677A"/>
    <w:rsid w:val="00756CCE"/>
    <w:rsid w:val="00756EC6"/>
    <w:rsid w:val="00760005"/>
    <w:rsid w:val="00760304"/>
    <w:rsid w:val="007607BA"/>
    <w:rsid w:val="00760D93"/>
    <w:rsid w:val="00760E1B"/>
    <w:rsid w:val="00761289"/>
    <w:rsid w:val="007614BE"/>
    <w:rsid w:val="007616F0"/>
    <w:rsid w:val="00761C13"/>
    <w:rsid w:val="00761DFA"/>
    <w:rsid w:val="00762043"/>
    <w:rsid w:val="0076221E"/>
    <w:rsid w:val="0076243B"/>
    <w:rsid w:val="00762907"/>
    <w:rsid w:val="00762F69"/>
    <w:rsid w:val="007631FE"/>
    <w:rsid w:val="007633EF"/>
    <w:rsid w:val="00763642"/>
    <w:rsid w:val="00764F9C"/>
    <w:rsid w:val="00764FE1"/>
    <w:rsid w:val="00765525"/>
    <w:rsid w:val="007656F4"/>
    <w:rsid w:val="007659AF"/>
    <w:rsid w:val="00765ED0"/>
    <w:rsid w:val="007660B6"/>
    <w:rsid w:val="0076612E"/>
    <w:rsid w:val="007669DE"/>
    <w:rsid w:val="007678AF"/>
    <w:rsid w:val="00767AF9"/>
    <w:rsid w:val="00767EAE"/>
    <w:rsid w:val="00770355"/>
    <w:rsid w:val="007706EB"/>
    <w:rsid w:val="00770714"/>
    <w:rsid w:val="00770DB0"/>
    <w:rsid w:val="00771C39"/>
    <w:rsid w:val="00772285"/>
    <w:rsid w:val="00772613"/>
    <w:rsid w:val="0077362F"/>
    <w:rsid w:val="00773A8E"/>
    <w:rsid w:val="00774A03"/>
    <w:rsid w:val="00774BE3"/>
    <w:rsid w:val="00774D7E"/>
    <w:rsid w:val="00775165"/>
    <w:rsid w:val="0077561B"/>
    <w:rsid w:val="0077581B"/>
    <w:rsid w:val="007764DF"/>
    <w:rsid w:val="007766AB"/>
    <w:rsid w:val="00777498"/>
    <w:rsid w:val="00777F9F"/>
    <w:rsid w:val="0078121C"/>
    <w:rsid w:val="00781227"/>
    <w:rsid w:val="0078177B"/>
    <w:rsid w:val="00781842"/>
    <w:rsid w:val="007822B3"/>
    <w:rsid w:val="007824C5"/>
    <w:rsid w:val="007829FF"/>
    <w:rsid w:val="00782FDB"/>
    <w:rsid w:val="00783872"/>
    <w:rsid w:val="0078506C"/>
    <w:rsid w:val="00785237"/>
    <w:rsid w:val="00785272"/>
    <w:rsid w:val="0078533C"/>
    <w:rsid w:val="00785461"/>
    <w:rsid w:val="00785AE4"/>
    <w:rsid w:val="00785E65"/>
    <w:rsid w:val="007861C0"/>
    <w:rsid w:val="007865B2"/>
    <w:rsid w:val="00786FE2"/>
    <w:rsid w:val="0078726A"/>
    <w:rsid w:val="0078761C"/>
    <w:rsid w:val="007876C7"/>
    <w:rsid w:val="007879B5"/>
    <w:rsid w:val="0079062D"/>
    <w:rsid w:val="007910B1"/>
    <w:rsid w:val="007914B1"/>
    <w:rsid w:val="0079173F"/>
    <w:rsid w:val="00791862"/>
    <w:rsid w:val="00791F66"/>
    <w:rsid w:val="0079292D"/>
    <w:rsid w:val="00792D52"/>
    <w:rsid w:val="00792FA8"/>
    <w:rsid w:val="00793070"/>
    <w:rsid w:val="007930DA"/>
    <w:rsid w:val="007931CA"/>
    <w:rsid w:val="00793E63"/>
    <w:rsid w:val="007943F7"/>
    <w:rsid w:val="00794713"/>
    <w:rsid w:val="00794D8C"/>
    <w:rsid w:val="00796037"/>
    <w:rsid w:val="007967D1"/>
    <w:rsid w:val="00796BAC"/>
    <w:rsid w:val="0079738B"/>
    <w:rsid w:val="00797737"/>
    <w:rsid w:val="00797FCE"/>
    <w:rsid w:val="007A0268"/>
    <w:rsid w:val="007A0363"/>
    <w:rsid w:val="007A0760"/>
    <w:rsid w:val="007A098A"/>
    <w:rsid w:val="007A0B3A"/>
    <w:rsid w:val="007A15E7"/>
    <w:rsid w:val="007A1C6C"/>
    <w:rsid w:val="007A1F94"/>
    <w:rsid w:val="007A20F6"/>
    <w:rsid w:val="007A2BD5"/>
    <w:rsid w:val="007A2C51"/>
    <w:rsid w:val="007A2F17"/>
    <w:rsid w:val="007A3325"/>
    <w:rsid w:val="007A3457"/>
    <w:rsid w:val="007A37BF"/>
    <w:rsid w:val="007A4460"/>
    <w:rsid w:val="007A5A8F"/>
    <w:rsid w:val="007A5F86"/>
    <w:rsid w:val="007A64BB"/>
    <w:rsid w:val="007A69D3"/>
    <w:rsid w:val="007A7435"/>
    <w:rsid w:val="007A7452"/>
    <w:rsid w:val="007A7FC8"/>
    <w:rsid w:val="007B0C3D"/>
    <w:rsid w:val="007B11C3"/>
    <w:rsid w:val="007B175C"/>
    <w:rsid w:val="007B1C06"/>
    <w:rsid w:val="007B1EA7"/>
    <w:rsid w:val="007B2C00"/>
    <w:rsid w:val="007B2FE3"/>
    <w:rsid w:val="007B3A0C"/>
    <w:rsid w:val="007B403D"/>
    <w:rsid w:val="007B405A"/>
    <w:rsid w:val="007B51A1"/>
    <w:rsid w:val="007B5225"/>
    <w:rsid w:val="007B530D"/>
    <w:rsid w:val="007B56E7"/>
    <w:rsid w:val="007B5DD6"/>
    <w:rsid w:val="007B5FDC"/>
    <w:rsid w:val="007B6896"/>
    <w:rsid w:val="007B6BF6"/>
    <w:rsid w:val="007B6C99"/>
    <w:rsid w:val="007B6CFD"/>
    <w:rsid w:val="007B75A8"/>
    <w:rsid w:val="007B7BE1"/>
    <w:rsid w:val="007B7FD9"/>
    <w:rsid w:val="007C026E"/>
    <w:rsid w:val="007C0A87"/>
    <w:rsid w:val="007C0EFC"/>
    <w:rsid w:val="007C2A3A"/>
    <w:rsid w:val="007C342D"/>
    <w:rsid w:val="007C3475"/>
    <w:rsid w:val="007C395B"/>
    <w:rsid w:val="007C475F"/>
    <w:rsid w:val="007C4C44"/>
    <w:rsid w:val="007C55C9"/>
    <w:rsid w:val="007C61C1"/>
    <w:rsid w:val="007C6769"/>
    <w:rsid w:val="007C6E9F"/>
    <w:rsid w:val="007C76B8"/>
    <w:rsid w:val="007D00F5"/>
    <w:rsid w:val="007D0118"/>
    <w:rsid w:val="007D026E"/>
    <w:rsid w:val="007D082E"/>
    <w:rsid w:val="007D0B8A"/>
    <w:rsid w:val="007D1198"/>
    <w:rsid w:val="007D1569"/>
    <w:rsid w:val="007D1740"/>
    <w:rsid w:val="007D188E"/>
    <w:rsid w:val="007D244A"/>
    <w:rsid w:val="007D25EB"/>
    <w:rsid w:val="007D3317"/>
    <w:rsid w:val="007D3507"/>
    <w:rsid w:val="007D3873"/>
    <w:rsid w:val="007D398D"/>
    <w:rsid w:val="007D3C47"/>
    <w:rsid w:val="007D413B"/>
    <w:rsid w:val="007D48C4"/>
    <w:rsid w:val="007D4A5F"/>
    <w:rsid w:val="007D4EEA"/>
    <w:rsid w:val="007D5155"/>
    <w:rsid w:val="007D53B6"/>
    <w:rsid w:val="007D566F"/>
    <w:rsid w:val="007D5EE0"/>
    <w:rsid w:val="007D6534"/>
    <w:rsid w:val="007D66C6"/>
    <w:rsid w:val="007D6738"/>
    <w:rsid w:val="007D6841"/>
    <w:rsid w:val="007D6B66"/>
    <w:rsid w:val="007D706F"/>
    <w:rsid w:val="007D714B"/>
    <w:rsid w:val="007D71D0"/>
    <w:rsid w:val="007D7499"/>
    <w:rsid w:val="007D7A72"/>
    <w:rsid w:val="007E0109"/>
    <w:rsid w:val="007E0BD5"/>
    <w:rsid w:val="007E1A38"/>
    <w:rsid w:val="007E20A9"/>
    <w:rsid w:val="007E2451"/>
    <w:rsid w:val="007E32C9"/>
    <w:rsid w:val="007E33F4"/>
    <w:rsid w:val="007E38E3"/>
    <w:rsid w:val="007E3DD5"/>
    <w:rsid w:val="007E3E0F"/>
    <w:rsid w:val="007E40CC"/>
    <w:rsid w:val="007E447A"/>
    <w:rsid w:val="007E50C5"/>
    <w:rsid w:val="007E5876"/>
    <w:rsid w:val="007E5B6A"/>
    <w:rsid w:val="007E5DB0"/>
    <w:rsid w:val="007E7237"/>
    <w:rsid w:val="007E75B9"/>
    <w:rsid w:val="007E7813"/>
    <w:rsid w:val="007E7C81"/>
    <w:rsid w:val="007F05A0"/>
    <w:rsid w:val="007F07FC"/>
    <w:rsid w:val="007F08EB"/>
    <w:rsid w:val="007F0EE9"/>
    <w:rsid w:val="007F128B"/>
    <w:rsid w:val="007F139D"/>
    <w:rsid w:val="007F17DB"/>
    <w:rsid w:val="007F1E3B"/>
    <w:rsid w:val="007F1E54"/>
    <w:rsid w:val="007F1E9F"/>
    <w:rsid w:val="007F23AF"/>
    <w:rsid w:val="007F3010"/>
    <w:rsid w:val="007F3651"/>
    <w:rsid w:val="007F3951"/>
    <w:rsid w:val="007F3D3C"/>
    <w:rsid w:val="007F3E84"/>
    <w:rsid w:val="007F44F8"/>
    <w:rsid w:val="007F4504"/>
    <w:rsid w:val="007F474F"/>
    <w:rsid w:val="007F5C23"/>
    <w:rsid w:val="007F5FAC"/>
    <w:rsid w:val="007F6A36"/>
    <w:rsid w:val="007F6CB4"/>
    <w:rsid w:val="007F7DBE"/>
    <w:rsid w:val="0080027E"/>
    <w:rsid w:val="00801159"/>
    <w:rsid w:val="008015D1"/>
    <w:rsid w:val="008017BC"/>
    <w:rsid w:val="00802839"/>
    <w:rsid w:val="008028CF"/>
    <w:rsid w:val="0080322B"/>
    <w:rsid w:val="0080336B"/>
    <w:rsid w:val="008035C3"/>
    <w:rsid w:val="008035DD"/>
    <w:rsid w:val="00803AA3"/>
    <w:rsid w:val="00803F26"/>
    <w:rsid w:val="0080433B"/>
    <w:rsid w:val="00804B8B"/>
    <w:rsid w:val="00804D51"/>
    <w:rsid w:val="008051A7"/>
    <w:rsid w:val="0080549C"/>
    <w:rsid w:val="00805BC8"/>
    <w:rsid w:val="00806A4E"/>
    <w:rsid w:val="00806F63"/>
    <w:rsid w:val="00807934"/>
    <w:rsid w:val="00807F06"/>
    <w:rsid w:val="008105E2"/>
    <w:rsid w:val="00810824"/>
    <w:rsid w:val="00811196"/>
    <w:rsid w:val="00812254"/>
    <w:rsid w:val="0081360A"/>
    <w:rsid w:val="00813E85"/>
    <w:rsid w:val="00814396"/>
    <w:rsid w:val="008149C2"/>
    <w:rsid w:val="00814C8C"/>
    <w:rsid w:val="00814F15"/>
    <w:rsid w:val="0081533C"/>
    <w:rsid w:val="00815999"/>
    <w:rsid w:val="008161D7"/>
    <w:rsid w:val="008165A7"/>
    <w:rsid w:val="008165A8"/>
    <w:rsid w:val="00816E12"/>
    <w:rsid w:val="00816E40"/>
    <w:rsid w:val="0081758C"/>
    <w:rsid w:val="008176BC"/>
    <w:rsid w:val="00817968"/>
    <w:rsid w:val="0082003D"/>
    <w:rsid w:val="008204F6"/>
    <w:rsid w:val="00820661"/>
    <w:rsid w:val="008207CF"/>
    <w:rsid w:val="00821484"/>
    <w:rsid w:val="00821D59"/>
    <w:rsid w:val="00821E32"/>
    <w:rsid w:val="00821F90"/>
    <w:rsid w:val="0082235B"/>
    <w:rsid w:val="008232A7"/>
    <w:rsid w:val="008233B9"/>
    <w:rsid w:val="00823A5C"/>
    <w:rsid w:val="0082437F"/>
    <w:rsid w:val="008243CE"/>
    <w:rsid w:val="008247C9"/>
    <w:rsid w:val="008248D8"/>
    <w:rsid w:val="00824C2E"/>
    <w:rsid w:val="00824C98"/>
    <w:rsid w:val="00824DE8"/>
    <w:rsid w:val="00825DC7"/>
    <w:rsid w:val="00825F2C"/>
    <w:rsid w:val="0082681B"/>
    <w:rsid w:val="00826EEF"/>
    <w:rsid w:val="0082759F"/>
    <w:rsid w:val="00827960"/>
    <w:rsid w:val="00827CAB"/>
    <w:rsid w:val="00827D83"/>
    <w:rsid w:val="00830327"/>
    <w:rsid w:val="008303FE"/>
    <w:rsid w:val="008306F8"/>
    <w:rsid w:val="00830B8F"/>
    <w:rsid w:val="00831011"/>
    <w:rsid w:val="00831E09"/>
    <w:rsid w:val="0083216B"/>
    <w:rsid w:val="0083258F"/>
    <w:rsid w:val="008327F7"/>
    <w:rsid w:val="00833A49"/>
    <w:rsid w:val="00833F8C"/>
    <w:rsid w:val="008340C5"/>
    <w:rsid w:val="008340DB"/>
    <w:rsid w:val="0083428E"/>
    <w:rsid w:val="00835AB5"/>
    <w:rsid w:val="00835D89"/>
    <w:rsid w:val="0083622D"/>
    <w:rsid w:val="00836262"/>
    <w:rsid w:val="00836E3A"/>
    <w:rsid w:val="00836EA8"/>
    <w:rsid w:val="00837210"/>
    <w:rsid w:val="00841285"/>
    <w:rsid w:val="0084174B"/>
    <w:rsid w:val="0084189E"/>
    <w:rsid w:val="00841CFF"/>
    <w:rsid w:val="00841FC8"/>
    <w:rsid w:val="0084238D"/>
    <w:rsid w:val="008423EB"/>
    <w:rsid w:val="00842E95"/>
    <w:rsid w:val="00843068"/>
    <w:rsid w:val="00843B29"/>
    <w:rsid w:val="00843BC6"/>
    <w:rsid w:val="00843E8A"/>
    <w:rsid w:val="00843F81"/>
    <w:rsid w:val="00845047"/>
    <w:rsid w:val="008452FE"/>
    <w:rsid w:val="0084561A"/>
    <w:rsid w:val="008459E8"/>
    <w:rsid w:val="0084639F"/>
    <w:rsid w:val="008466AD"/>
    <w:rsid w:val="00846EEC"/>
    <w:rsid w:val="008472B8"/>
    <w:rsid w:val="00847AA0"/>
    <w:rsid w:val="00847E6A"/>
    <w:rsid w:val="00847F62"/>
    <w:rsid w:val="00850044"/>
    <w:rsid w:val="00850897"/>
    <w:rsid w:val="0085098B"/>
    <w:rsid w:val="00850C3E"/>
    <w:rsid w:val="00850D24"/>
    <w:rsid w:val="008521AA"/>
    <w:rsid w:val="008521F1"/>
    <w:rsid w:val="00852871"/>
    <w:rsid w:val="00852895"/>
    <w:rsid w:val="008529A2"/>
    <w:rsid w:val="00852F27"/>
    <w:rsid w:val="00853E71"/>
    <w:rsid w:val="00853FE3"/>
    <w:rsid w:val="008540DC"/>
    <w:rsid w:val="0085410E"/>
    <w:rsid w:val="00854254"/>
    <w:rsid w:val="0085439B"/>
    <w:rsid w:val="0085627C"/>
    <w:rsid w:val="00856BC9"/>
    <w:rsid w:val="00857363"/>
    <w:rsid w:val="008579B4"/>
    <w:rsid w:val="0086072A"/>
    <w:rsid w:val="00860A12"/>
    <w:rsid w:val="00861340"/>
    <w:rsid w:val="00861635"/>
    <w:rsid w:val="0086168D"/>
    <w:rsid w:val="00861C78"/>
    <w:rsid w:val="00861CB6"/>
    <w:rsid w:val="008620C4"/>
    <w:rsid w:val="0086239F"/>
    <w:rsid w:val="00864D88"/>
    <w:rsid w:val="00865124"/>
    <w:rsid w:val="00865A44"/>
    <w:rsid w:val="008666F0"/>
    <w:rsid w:val="00866751"/>
    <w:rsid w:val="00866E79"/>
    <w:rsid w:val="0086724B"/>
    <w:rsid w:val="00867B4F"/>
    <w:rsid w:val="008706E2"/>
    <w:rsid w:val="00870898"/>
    <w:rsid w:val="0087125E"/>
    <w:rsid w:val="0087160D"/>
    <w:rsid w:val="00871A6C"/>
    <w:rsid w:val="00872869"/>
    <w:rsid w:val="00872A6F"/>
    <w:rsid w:val="00872AA7"/>
    <w:rsid w:val="00872BAA"/>
    <w:rsid w:val="00872C4A"/>
    <w:rsid w:val="00872E5E"/>
    <w:rsid w:val="00873374"/>
    <w:rsid w:val="00873C41"/>
    <w:rsid w:val="00873C8D"/>
    <w:rsid w:val="008743F0"/>
    <w:rsid w:val="0087457C"/>
    <w:rsid w:val="00874B61"/>
    <w:rsid w:val="00875487"/>
    <w:rsid w:val="008755EA"/>
    <w:rsid w:val="0087560C"/>
    <w:rsid w:val="00875B45"/>
    <w:rsid w:val="00875CCB"/>
    <w:rsid w:val="00875E2E"/>
    <w:rsid w:val="00876354"/>
    <w:rsid w:val="00876D08"/>
    <w:rsid w:val="00876DA2"/>
    <w:rsid w:val="00876EF3"/>
    <w:rsid w:val="0087714A"/>
    <w:rsid w:val="008775D4"/>
    <w:rsid w:val="00880CB5"/>
    <w:rsid w:val="00880F1B"/>
    <w:rsid w:val="0088104E"/>
    <w:rsid w:val="008811BD"/>
    <w:rsid w:val="00881588"/>
    <w:rsid w:val="00881DBC"/>
    <w:rsid w:val="00881FCB"/>
    <w:rsid w:val="00882D8E"/>
    <w:rsid w:val="00882F5C"/>
    <w:rsid w:val="0088310F"/>
    <w:rsid w:val="008831A5"/>
    <w:rsid w:val="008833F3"/>
    <w:rsid w:val="00883625"/>
    <w:rsid w:val="00883F80"/>
    <w:rsid w:val="00884156"/>
    <w:rsid w:val="00884AE0"/>
    <w:rsid w:val="0088504B"/>
    <w:rsid w:val="00885226"/>
    <w:rsid w:val="00885F71"/>
    <w:rsid w:val="008876FF"/>
    <w:rsid w:val="00887742"/>
    <w:rsid w:val="00887D06"/>
    <w:rsid w:val="00887F58"/>
    <w:rsid w:val="00890427"/>
    <w:rsid w:val="0089059B"/>
    <w:rsid w:val="00890BB1"/>
    <w:rsid w:val="00890ECF"/>
    <w:rsid w:val="0089137D"/>
    <w:rsid w:val="00892502"/>
    <w:rsid w:val="00893722"/>
    <w:rsid w:val="008938CA"/>
    <w:rsid w:val="00893FFB"/>
    <w:rsid w:val="008941AF"/>
    <w:rsid w:val="0089461B"/>
    <w:rsid w:val="0089572C"/>
    <w:rsid w:val="00895D19"/>
    <w:rsid w:val="00895E16"/>
    <w:rsid w:val="0089672C"/>
    <w:rsid w:val="00896A44"/>
    <w:rsid w:val="0089765D"/>
    <w:rsid w:val="00897793"/>
    <w:rsid w:val="008A03E6"/>
    <w:rsid w:val="008A042D"/>
    <w:rsid w:val="008A0435"/>
    <w:rsid w:val="008A05F6"/>
    <w:rsid w:val="008A0D42"/>
    <w:rsid w:val="008A1310"/>
    <w:rsid w:val="008A1632"/>
    <w:rsid w:val="008A16B3"/>
    <w:rsid w:val="008A1D4A"/>
    <w:rsid w:val="008A20F6"/>
    <w:rsid w:val="008A21E4"/>
    <w:rsid w:val="008A2252"/>
    <w:rsid w:val="008A284E"/>
    <w:rsid w:val="008A2C38"/>
    <w:rsid w:val="008A2FF6"/>
    <w:rsid w:val="008A300A"/>
    <w:rsid w:val="008A3FC4"/>
    <w:rsid w:val="008A40DE"/>
    <w:rsid w:val="008A4206"/>
    <w:rsid w:val="008A44F4"/>
    <w:rsid w:val="008A4E87"/>
    <w:rsid w:val="008A4EC3"/>
    <w:rsid w:val="008A660A"/>
    <w:rsid w:val="008A67E8"/>
    <w:rsid w:val="008A6B6F"/>
    <w:rsid w:val="008A6F83"/>
    <w:rsid w:val="008A7249"/>
    <w:rsid w:val="008A765F"/>
    <w:rsid w:val="008A7C3B"/>
    <w:rsid w:val="008B05C3"/>
    <w:rsid w:val="008B094B"/>
    <w:rsid w:val="008B095E"/>
    <w:rsid w:val="008B0A86"/>
    <w:rsid w:val="008B10EF"/>
    <w:rsid w:val="008B1CBC"/>
    <w:rsid w:val="008B22B4"/>
    <w:rsid w:val="008B25C7"/>
    <w:rsid w:val="008B272B"/>
    <w:rsid w:val="008B2F76"/>
    <w:rsid w:val="008B3336"/>
    <w:rsid w:val="008B3A08"/>
    <w:rsid w:val="008B4965"/>
    <w:rsid w:val="008B4D3E"/>
    <w:rsid w:val="008B4F37"/>
    <w:rsid w:val="008B5820"/>
    <w:rsid w:val="008B6641"/>
    <w:rsid w:val="008B687E"/>
    <w:rsid w:val="008B6ED8"/>
    <w:rsid w:val="008B76D6"/>
    <w:rsid w:val="008B7887"/>
    <w:rsid w:val="008B78B1"/>
    <w:rsid w:val="008C0586"/>
    <w:rsid w:val="008C1A8A"/>
    <w:rsid w:val="008C1CCF"/>
    <w:rsid w:val="008C205C"/>
    <w:rsid w:val="008C22D1"/>
    <w:rsid w:val="008C230B"/>
    <w:rsid w:val="008C26E7"/>
    <w:rsid w:val="008C28BF"/>
    <w:rsid w:val="008C35F0"/>
    <w:rsid w:val="008C3E3E"/>
    <w:rsid w:val="008C403B"/>
    <w:rsid w:val="008C483B"/>
    <w:rsid w:val="008C48F2"/>
    <w:rsid w:val="008C520A"/>
    <w:rsid w:val="008C58E5"/>
    <w:rsid w:val="008C5AFC"/>
    <w:rsid w:val="008C6898"/>
    <w:rsid w:val="008C6903"/>
    <w:rsid w:val="008C6F12"/>
    <w:rsid w:val="008C77F3"/>
    <w:rsid w:val="008D0FDC"/>
    <w:rsid w:val="008D12A6"/>
    <w:rsid w:val="008D19FD"/>
    <w:rsid w:val="008D1ABD"/>
    <w:rsid w:val="008D1ADC"/>
    <w:rsid w:val="008D1D58"/>
    <w:rsid w:val="008D1E36"/>
    <w:rsid w:val="008D2027"/>
    <w:rsid w:val="008D2368"/>
    <w:rsid w:val="008D3531"/>
    <w:rsid w:val="008D3822"/>
    <w:rsid w:val="008D3A0D"/>
    <w:rsid w:val="008D3EB8"/>
    <w:rsid w:val="008D4098"/>
    <w:rsid w:val="008D495D"/>
    <w:rsid w:val="008D4D72"/>
    <w:rsid w:val="008D5517"/>
    <w:rsid w:val="008D5DE5"/>
    <w:rsid w:val="008D5E98"/>
    <w:rsid w:val="008D6D2E"/>
    <w:rsid w:val="008D6EB3"/>
    <w:rsid w:val="008D7648"/>
    <w:rsid w:val="008D7D89"/>
    <w:rsid w:val="008E013A"/>
    <w:rsid w:val="008E0C9E"/>
    <w:rsid w:val="008E114A"/>
    <w:rsid w:val="008E143E"/>
    <w:rsid w:val="008E1ACC"/>
    <w:rsid w:val="008E1DDA"/>
    <w:rsid w:val="008E21C0"/>
    <w:rsid w:val="008E25D6"/>
    <w:rsid w:val="008E2663"/>
    <w:rsid w:val="008E29DF"/>
    <w:rsid w:val="008E2BF5"/>
    <w:rsid w:val="008E2D05"/>
    <w:rsid w:val="008E3044"/>
    <w:rsid w:val="008E392B"/>
    <w:rsid w:val="008E3C09"/>
    <w:rsid w:val="008E4E4C"/>
    <w:rsid w:val="008E57CF"/>
    <w:rsid w:val="008E58D4"/>
    <w:rsid w:val="008E5B9F"/>
    <w:rsid w:val="008E5C6A"/>
    <w:rsid w:val="008E622B"/>
    <w:rsid w:val="008E699C"/>
    <w:rsid w:val="008E74D8"/>
    <w:rsid w:val="008E7BD4"/>
    <w:rsid w:val="008F0163"/>
    <w:rsid w:val="008F05B3"/>
    <w:rsid w:val="008F0A95"/>
    <w:rsid w:val="008F1128"/>
    <w:rsid w:val="008F1A21"/>
    <w:rsid w:val="008F20C0"/>
    <w:rsid w:val="008F2485"/>
    <w:rsid w:val="008F25C0"/>
    <w:rsid w:val="008F28B5"/>
    <w:rsid w:val="008F2DD8"/>
    <w:rsid w:val="008F3B2F"/>
    <w:rsid w:val="008F3C48"/>
    <w:rsid w:val="008F42B8"/>
    <w:rsid w:val="008F4510"/>
    <w:rsid w:val="008F5153"/>
    <w:rsid w:val="008F567D"/>
    <w:rsid w:val="008F633F"/>
    <w:rsid w:val="008F6884"/>
    <w:rsid w:val="008F6F1A"/>
    <w:rsid w:val="008F73E4"/>
    <w:rsid w:val="008F7897"/>
    <w:rsid w:val="009000BA"/>
    <w:rsid w:val="00900704"/>
    <w:rsid w:val="0090137A"/>
    <w:rsid w:val="009014CD"/>
    <w:rsid w:val="009015E8"/>
    <w:rsid w:val="00901610"/>
    <w:rsid w:val="0090172E"/>
    <w:rsid w:val="00901859"/>
    <w:rsid w:val="00901AF8"/>
    <w:rsid w:val="00903370"/>
    <w:rsid w:val="00903CC5"/>
    <w:rsid w:val="0090462E"/>
    <w:rsid w:val="009057ED"/>
    <w:rsid w:val="00905965"/>
    <w:rsid w:val="009064E8"/>
    <w:rsid w:val="00906588"/>
    <w:rsid w:val="00906CC4"/>
    <w:rsid w:val="00907A25"/>
    <w:rsid w:val="00907AF3"/>
    <w:rsid w:val="00910108"/>
    <w:rsid w:val="00910771"/>
    <w:rsid w:val="00910D14"/>
    <w:rsid w:val="00911A32"/>
    <w:rsid w:val="00912063"/>
    <w:rsid w:val="0091206F"/>
    <w:rsid w:val="009121D2"/>
    <w:rsid w:val="00912832"/>
    <w:rsid w:val="00912FD4"/>
    <w:rsid w:val="0091306C"/>
    <w:rsid w:val="0091349A"/>
    <w:rsid w:val="00913F79"/>
    <w:rsid w:val="00914203"/>
    <w:rsid w:val="00914399"/>
    <w:rsid w:val="00914E1F"/>
    <w:rsid w:val="0091530C"/>
    <w:rsid w:val="00915563"/>
    <w:rsid w:val="009158BF"/>
    <w:rsid w:val="00916557"/>
    <w:rsid w:val="009168AE"/>
    <w:rsid w:val="009177EF"/>
    <w:rsid w:val="009179E2"/>
    <w:rsid w:val="00920653"/>
    <w:rsid w:val="00920AA0"/>
    <w:rsid w:val="00920C80"/>
    <w:rsid w:val="009218E6"/>
    <w:rsid w:val="009219B0"/>
    <w:rsid w:val="00921A2A"/>
    <w:rsid w:val="00922993"/>
    <w:rsid w:val="00922F17"/>
    <w:rsid w:val="009233FC"/>
    <w:rsid w:val="00923D72"/>
    <w:rsid w:val="00923E08"/>
    <w:rsid w:val="0092458D"/>
    <w:rsid w:val="00924F7F"/>
    <w:rsid w:val="00925498"/>
    <w:rsid w:val="00925B00"/>
    <w:rsid w:val="00926B68"/>
    <w:rsid w:val="00926F09"/>
    <w:rsid w:val="00927290"/>
    <w:rsid w:val="00930529"/>
    <w:rsid w:val="00932026"/>
    <w:rsid w:val="009325EE"/>
    <w:rsid w:val="00933267"/>
    <w:rsid w:val="00933356"/>
    <w:rsid w:val="009333DD"/>
    <w:rsid w:val="009334C5"/>
    <w:rsid w:val="009334E7"/>
    <w:rsid w:val="009338D5"/>
    <w:rsid w:val="00933A4F"/>
    <w:rsid w:val="00933E08"/>
    <w:rsid w:val="00933FC4"/>
    <w:rsid w:val="0093404D"/>
    <w:rsid w:val="009342FC"/>
    <w:rsid w:val="0093542F"/>
    <w:rsid w:val="00935509"/>
    <w:rsid w:val="00936068"/>
    <w:rsid w:val="00936A0A"/>
    <w:rsid w:val="009370B3"/>
    <w:rsid w:val="009373A0"/>
    <w:rsid w:val="009375B3"/>
    <w:rsid w:val="009378D2"/>
    <w:rsid w:val="00937A81"/>
    <w:rsid w:val="009400EE"/>
    <w:rsid w:val="009405FB"/>
    <w:rsid w:val="009407FD"/>
    <w:rsid w:val="009408BF"/>
    <w:rsid w:val="00940B28"/>
    <w:rsid w:val="00940B83"/>
    <w:rsid w:val="00941179"/>
    <w:rsid w:val="00941828"/>
    <w:rsid w:val="00941AC6"/>
    <w:rsid w:val="009420A5"/>
    <w:rsid w:val="00942143"/>
    <w:rsid w:val="0094229B"/>
    <w:rsid w:val="00942D5D"/>
    <w:rsid w:val="00943409"/>
    <w:rsid w:val="00943806"/>
    <w:rsid w:val="00943871"/>
    <w:rsid w:val="0094446D"/>
    <w:rsid w:val="00944DB6"/>
    <w:rsid w:val="009456A5"/>
    <w:rsid w:val="00945877"/>
    <w:rsid w:val="00945E8D"/>
    <w:rsid w:val="00946351"/>
    <w:rsid w:val="0094694A"/>
    <w:rsid w:val="00946D86"/>
    <w:rsid w:val="0094725F"/>
    <w:rsid w:val="009474C7"/>
    <w:rsid w:val="0094765C"/>
    <w:rsid w:val="00947D8E"/>
    <w:rsid w:val="00950F5C"/>
    <w:rsid w:val="009517CC"/>
    <w:rsid w:val="009520F3"/>
    <w:rsid w:val="00952803"/>
    <w:rsid w:val="0095289A"/>
    <w:rsid w:val="0095291E"/>
    <w:rsid w:val="00952D37"/>
    <w:rsid w:val="00952D80"/>
    <w:rsid w:val="0095336A"/>
    <w:rsid w:val="00954491"/>
    <w:rsid w:val="00954F52"/>
    <w:rsid w:val="00954FE1"/>
    <w:rsid w:val="00955029"/>
    <w:rsid w:val="0095508B"/>
    <w:rsid w:val="00955831"/>
    <w:rsid w:val="009559EF"/>
    <w:rsid w:val="00955C24"/>
    <w:rsid w:val="00956E08"/>
    <w:rsid w:val="0095712C"/>
    <w:rsid w:val="0095724C"/>
    <w:rsid w:val="009575B5"/>
    <w:rsid w:val="0095773A"/>
    <w:rsid w:val="009579DA"/>
    <w:rsid w:val="00960241"/>
    <w:rsid w:val="00960576"/>
    <w:rsid w:val="00960905"/>
    <w:rsid w:val="00961023"/>
    <w:rsid w:val="009612EB"/>
    <w:rsid w:val="009615D4"/>
    <w:rsid w:val="00962760"/>
    <w:rsid w:val="00962905"/>
    <w:rsid w:val="009629D2"/>
    <w:rsid w:val="00962E33"/>
    <w:rsid w:val="00962F22"/>
    <w:rsid w:val="00963CD0"/>
    <w:rsid w:val="009643E2"/>
    <w:rsid w:val="00964607"/>
    <w:rsid w:val="00964747"/>
    <w:rsid w:val="00965111"/>
    <w:rsid w:val="009654DF"/>
    <w:rsid w:val="00965898"/>
    <w:rsid w:val="00965D90"/>
    <w:rsid w:val="00965E18"/>
    <w:rsid w:val="00965F49"/>
    <w:rsid w:val="0096680D"/>
    <w:rsid w:val="00966B9B"/>
    <w:rsid w:val="00966F57"/>
    <w:rsid w:val="0096714B"/>
    <w:rsid w:val="00967296"/>
    <w:rsid w:val="00967696"/>
    <w:rsid w:val="00970927"/>
    <w:rsid w:val="00970A20"/>
    <w:rsid w:val="00970C11"/>
    <w:rsid w:val="0097113F"/>
    <w:rsid w:val="009711C0"/>
    <w:rsid w:val="009711EF"/>
    <w:rsid w:val="0097163D"/>
    <w:rsid w:val="009719EE"/>
    <w:rsid w:val="009721F8"/>
    <w:rsid w:val="00972329"/>
    <w:rsid w:val="00972749"/>
    <w:rsid w:val="00972FE8"/>
    <w:rsid w:val="00973219"/>
    <w:rsid w:val="00973EC6"/>
    <w:rsid w:val="00973EF4"/>
    <w:rsid w:val="00974458"/>
    <w:rsid w:val="00974668"/>
    <w:rsid w:val="00974677"/>
    <w:rsid w:val="009758DB"/>
    <w:rsid w:val="00976023"/>
    <w:rsid w:val="00976497"/>
    <w:rsid w:val="00976CBD"/>
    <w:rsid w:val="009772E0"/>
    <w:rsid w:val="00977591"/>
    <w:rsid w:val="00977AF0"/>
    <w:rsid w:val="00980094"/>
    <w:rsid w:val="0098016B"/>
    <w:rsid w:val="00980461"/>
    <w:rsid w:val="009812B7"/>
    <w:rsid w:val="00981761"/>
    <w:rsid w:val="00981E85"/>
    <w:rsid w:val="00982064"/>
    <w:rsid w:val="009820F2"/>
    <w:rsid w:val="009821E4"/>
    <w:rsid w:val="00982498"/>
    <w:rsid w:val="00982623"/>
    <w:rsid w:val="00982C64"/>
    <w:rsid w:val="00982CD3"/>
    <w:rsid w:val="00983A48"/>
    <w:rsid w:val="00983F61"/>
    <w:rsid w:val="00984DFC"/>
    <w:rsid w:val="00985147"/>
    <w:rsid w:val="00985918"/>
    <w:rsid w:val="00985942"/>
    <w:rsid w:val="009864AF"/>
    <w:rsid w:val="009866A7"/>
    <w:rsid w:val="00987A82"/>
    <w:rsid w:val="009901F4"/>
    <w:rsid w:val="00990254"/>
    <w:rsid w:val="00990BEA"/>
    <w:rsid w:val="00991023"/>
    <w:rsid w:val="00991110"/>
    <w:rsid w:val="0099221B"/>
    <w:rsid w:val="00992285"/>
    <w:rsid w:val="0099253C"/>
    <w:rsid w:val="00993710"/>
    <w:rsid w:val="009941D0"/>
    <w:rsid w:val="00994C41"/>
    <w:rsid w:val="00994DAB"/>
    <w:rsid w:val="009952AC"/>
    <w:rsid w:val="0099532A"/>
    <w:rsid w:val="009958C4"/>
    <w:rsid w:val="00995C7C"/>
    <w:rsid w:val="009962BD"/>
    <w:rsid w:val="009969AC"/>
    <w:rsid w:val="009969C3"/>
    <w:rsid w:val="00996BB4"/>
    <w:rsid w:val="00996C57"/>
    <w:rsid w:val="0099704F"/>
    <w:rsid w:val="00997632"/>
    <w:rsid w:val="00997983"/>
    <w:rsid w:val="00997A1F"/>
    <w:rsid w:val="00997D1B"/>
    <w:rsid w:val="00997F48"/>
    <w:rsid w:val="009A027D"/>
    <w:rsid w:val="009A0CDB"/>
    <w:rsid w:val="009A1E83"/>
    <w:rsid w:val="009A1F83"/>
    <w:rsid w:val="009A26D2"/>
    <w:rsid w:val="009A2F17"/>
    <w:rsid w:val="009A3C2B"/>
    <w:rsid w:val="009A3FA3"/>
    <w:rsid w:val="009A4091"/>
    <w:rsid w:val="009A42D9"/>
    <w:rsid w:val="009A4910"/>
    <w:rsid w:val="009A50DF"/>
    <w:rsid w:val="009A56B2"/>
    <w:rsid w:val="009A5FD1"/>
    <w:rsid w:val="009A73A4"/>
    <w:rsid w:val="009A75FD"/>
    <w:rsid w:val="009B01CD"/>
    <w:rsid w:val="009B03D2"/>
    <w:rsid w:val="009B0BE0"/>
    <w:rsid w:val="009B0C8C"/>
    <w:rsid w:val="009B0FAC"/>
    <w:rsid w:val="009B10B7"/>
    <w:rsid w:val="009B1195"/>
    <w:rsid w:val="009B1B76"/>
    <w:rsid w:val="009B1D99"/>
    <w:rsid w:val="009B27A0"/>
    <w:rsid w:val="009B28CC"/>
    <w:rsid w:val="009B2B04"/>
    <w:rsid w:val="009B2B45"/>
    <w:rsid w:val="009B2B63"/>
    <w:rsid w:val="009B3DB0"/>
    <w:rsid w:val="009B40F8"/>
    <w:rsid w:val="009B414D"/>
    <w:rsid w:val="009B476C"/>
    <w:rsid w:val="009B4B85"/>
    <w:rsid w:val="009B4D5B"/>
    <w:rsid w:val="009B4E92"/>
    <w:rsid w:val="009B4F22"/>
    <w:rsid w:val="009B4FDD"/>
    <w:rsid w:val="009B5257"/>
    <w:rsid w:val="009B53D5"/>
    <w:rsid w:val="009B55E7"/>
    <w:rsid w:val="009B5A9A"/>
    <w:rsid w:val="009B5F37"/>
    <w:rsid w:val="009B5F81"/>
    <w:rsid w:val="009B6105"/>
    <w:rsid w:val="009B6BEC"/>
    <w:rsid w:val="009B6ECB"/>
    <w:rsid w:val="009C0103"/>
    <w:rsid w:val="009C0E8D"/>
    <w:rsid w:val="009C14CD"/>
    <w:rsid w:val="009C1A28"/>
    <w:rsid w:val="009C1CD2"/>
    <w:rsid w:val="009C27E2"/>
    <w:rsid w:val="009C4249"/>
    <w:rsid w:val="009C466B"/>
    <w:rsid w:val="009C4841"/>
    <w:rsid w:val="009C4C3F"/>
    <w:rsid w:val="009C4D55"/>
    <w:rsid w:val="009C514A"/>
    <w:rsid w:val="009C5174"/>
    <w:rsid w:val="009C5783"/>
    <w:rsid w:val="009C5C6A"/>
    <w:rsid w:val="009C5FCC"/>
    <w:rsid w:val="009C6075"/>
    <w:rsid w:val="009C60F7"/>
    <w:rsid w:val="009C69CA"/>
    <w:rsid w:val="009C6A37"/>
    <w:rsid w:val="009C7602"/>
    <w:rsid w:val="009C7F88"/>
    <w:rsid w:val="009D01C5"/>
    <w:rsid w:val="009D03D8"/>
    <w:rsid w:val="009D1BE2"/>
    <w:rsid w:val="009D1FF6"/>
    <w:rsid w:val="009D2456"/>
    <w:rsid w:val="009D24F5"/>
    <w:rsid w:val="009D2B1F"/>
    <w:rsid w:val="009D3068"/>
    <w:rsid w:val="009D3B20"/>
    <w:rsid w:val="009D4153"/>
    <w:rsid w:val="009D422E"/>
    <w:rsid w:val="009D4A0A"/>
    <w:rsid w:val="009D51F6"/>
    <w:rsid w:val="009D530D"/>
    <w:rsid w:val="009D5416"/>
    <w:rsid w:val="009D5427"/>
    <w:rsid w:val="009D6119"/>
    <w:rsid w:val="009D625C"/>
    <w:rsid w:val="009D7707"/>
    <w:rsid w:val="009D7E7B"/>
    <w:rsid w:val="009E14BB"/>
    <w:rsid w:val="009E14F9"/>
    <w:rsid w:val="009E1709"/>
    <w:rsid w:val="009E17BD"/>
    <w:rsid w:val="009E19A3"/>
    <w:rsid w:val="009E1C02"/>
    <w:rsid w:val="009E2951"/>
    <w:rsid w:val="009E2BF5"/>
    <w:rsid w:val="009E31CA"/>
    <w:rsid w:val="009E323D"/>
    <w:rsid w:val="009E33D4"/>
    <w:rsid w:val="009E3D61"/>
    <w:rsid w:val="009E3D70"/>
    <w:rsid w:val="009E3F36"/>
    <w:rsid w:val="009E3F9B"/>
    <w:rsid w:val="009E4D09"/>
    <w:rsid w:val="009E4DC0"/>
    <w:rsid w:val="009E5565"/>
    <w:rsid w:val="009E5677"/>
    <w:rsid w:val="009E6110"/>
    <w:rsid w:val="009E61A8"/>
    <w:rsid w:val="009E70FE"/>
    <w:rsid w:val="009E72BD"/>
    <w:rsid w:val="009E73A8"/>
    <w:rsid w:val="009E74F7"/>
    <w:rsid w:val="009F0275"/>
    <w:rsid w:val="009F0465"/>
    <w:rsid w:val="009F1436"/>
    <w:rsid w:val="009F14EC"/>
    <w:rsid w:val="009F198E"/>
    <w:rsid w:val="009F2037"/>
    <w:rsid w:val="009F23E5"/>
    <w:rsid w:val="009F2F9B"/>
    <w:rsid w:val="009F368C"/>
    <w:rsid w:val="009F3922"/>
    <w:rsid w:val="009F3A3B"/>
    <w:rsid w:val="009F490C"/>
    <w:rsid w:val="009F4A7E"/>
    <w:rsid w:val="009F4C56"/>
    <w:rsid w:val="009F4D02"/>
    <w:rsid w:val="009F4FEE"/>
    <w:rsid w:val="009F592E"/>
    <w:rsid w:val="009F59FD"/>
    <w:rsid w:val="009F5B19"/>
    <w:rsid w:val="009F5C1E"/>
    <w:rsid w:val="009F618C"/>
    <w:rsid w:val="009F638B"/>
    <w:rsid w:val="009F6621"/>
    <w:rsid w:val="009F6770"/>
    <w:rsid w:val="009F69AB"/>
    <w:rsid w:val="009F733B"/>
    <w:rsid w:val="009F7E66"/>
    <w:rsid w:val="00A0108C"/>
    <w:rsid w:val="00A01A2A"/>
    <w:rsid w:val="00A027B7"/>
    <w:rsid w:val="00A02887"/>
    <w:rsid w:val="00A02977"/>
    <w:rsid w:val="00A02C76"/>
    <w:rsid w:val="00A033C2"/>
    <w:rsid w:val="00A033EF"/>
    <w:rsid w:val="00A04A42"/>
    <w:rsid w:val="00A04F2F"/>
    <w:rsid w:val="00A062B4"/>
    <w:rsid w:val="00A06306"/>
    <w:rsid w:val="00A069A5"/>
    <w:rsid w:val="00A06C9A"/>
    <w:rsid w:val="00A073A1"/>
    <w:rsid w:val="00A0757A"/>
    <w:rsid w:val="00A076E1"/>
    <w:rsid w:val="00A10A13"/>
    <w:rsid w:val="00A112D8"/>
    <w:rsid w:val="00A1152B"/>
    <w:rsid w:val="00A115D3"/>
    <w:rsid w:val="00A1162E"/>
    <w:rsid w:val="00A119A2"/>
    <w:rsid w:val="00A119C4"/>
    <w:rsid w:val="00A11AB9"/>
    <w:rsid w:val="00A11C9A"/>
    <w:rsid w:val="00A12659"/>
    <w:rsid w:val="00A128B7"/>
    <w:rsid w:val="00A13254"/>
    <w:rsid w:val="00A13664"/>
    <w:rsid w:val="00A136D3"/>
    <w:rsid w:val="00A13C1D"/>
    <w:rsid w:val="00A13E95"/>
    <w:rsid w:val="00A141C0"/>
    <w:rsid w:val="00A14668"/>
    <w:rsid w:val="00A149DA"/>
    <w:rsid w:val="00A14B89"/>
    <w:rsid w:val="00A15F61"/>
    <w:rsid w:val="00A1637F"/>
    <w:rsid w:val="00A16C2D"/>
    <w:rsid w:val="00A170C5"/>
    <w:rsid w:val="00A1753A"/>
    <w:rsid w:val="00A176C2"/>
    <w:rsid w:val="00A179D7"/>
    <w:rsid w:val="00A20B2D"/>
    <w:rsid w:val="00A21298"/>
    <w:rsid w:val="00A21424"/>
    <w:rsid w:val="00A217CE"/>
    <w:rsid w:val="00A217F3"/>
    <w:rsid w:val="00A2216B"/>
    <w:rsid w:val="00A22325"/>
    <w:rsid w:val="00A22B70"/>
    <w:rsid w:val="00A236DA"/>
    <w:rsid w:val="00A238BA"/>
    <w:rsid w:val="00A23E02"/>
    <w:rsid w:val="00A2432C"/>
    <w:rsid w:val="00A2455E"/>
    <w:rsid w:val="00A25440"/>
    <w:rsid w:val="00A25658"/>
    <w:rsid w:val="00A27B55"/>
    <w:rsid w:val="00A3055E"/>
    <w:rsid w:val="00A3095E"/>
    <w:rsid w:val="00A30A16"/>
    <w:rsid w:val="00A30DF9"/>
    <w:rsid w:val="00A3188E"/>
    <w:rsid w:val="00A31AD4"/>
    <w:rsid w:val="00A3253C"/>
    <w:rsid w:val="00A326E3"/>
    <w:rsid w:val="00A32855"/>
    <w:rsid w:val="00A32EDB"/>
    <w:rsid w:val="00A341EE"/>
    <w:rsid w:val="00A344AC"/>
    <w:rsid w:val="00A34A0D"/>
    <w:rsid w:val="00A34BF2"/>
    <w:rsid w:val="00A34CA8"/>
    <w:rsid w:val="00A34F0D"/>
    <w:rsid w:val="00A35A7C"/>
    <w:rsid w:val="00A35B8C"/>
    <w:rsid w:val="00A35BDC"/>
    <w:rsid w:val="00A37444"/>
    <w:rsid w:val="00A377EE"/>
    <w:rsid w:val="00A37C59"/>
    <w:rsid w:val="00A40412"/>
    <w:rsid w:val="00A41076"/>
    <w:rsid w:val="00A416AD"/>
    <w:rsid w:val="00A41747"/>
    <w:rsid w:val="00A41C94"/>
    <w:rsid w:val="00A42456"/>
    <w:rsid w:val="00A438AB"/>
    <w:rsid w:val="00A43C45"/>
    <w:rsid w:val="00A43C9C"/>
    <w:rsid w:val="00A44BE8"/>
    <w:rsid w:val="00A44EF5"/>
    <w:rsid w:val="00A451C8"/>
    <w:rsid w:val="00A452F6"/>
    <w:rsid w:val="00A45B18"/>
    <w:rsid w:val="00A4608E"/>
    <w:rsid w:val="00A464D7"/>
    <w:rsid w:val="00A46A6B"/>
    <w:rsid w:val="00A471AE"/>
    <w:rsid w:val="00A4761B"/>
    <w:rsid w:val="00A50CD9"/>
    <w:rsid w:val="00A51374"/>
    <w:rsid w:val="00A51534"/>
    <w:rsid w:val="00A51A3F"/>
    <w:rsid w:val="00A52252"/>
    <w:rsid w:val="00A528A1"/>
    <w:rsid w:val="00A52D82"/>
    <w:rsid w:val="00A538F7"/>
    <w:rsid w:val="00A541FF"/>
    <w:rsid w:val="00A54422"/>
    <w:rsid w:val="00A546C6"/>
    <w:rsid w:val="00A54B82"/>
    <w:rsid w:val="00A550E4"/>
    <w:rsid w:val="00A5529A"/>
    <w:rsid w:val="00A553BB"/>
    <w:rsid w:val="00A556A8"/>
    <w:rsid w:val="00A55893"/>
    <w:rsid w:val="00A56E1E"/>
    <w:rsid w:val="00A56FEB"/>
    <w:rsid w:val="00A5703F"/>
    <w:rsid w:val="00A572FC"/>
    <w:rsid w:val="00A60302"/>
    <w:rsid w:val="00A60BD8"/>
    <w:rsid w:val="00A613EA"/>
    <w:rsid w:val="00A622B8"/>
    <w:rsid w:val="00A634F1"/>
    <w:rsid w:val="00A63870"/>
    <w:rsid w:val="00A63AB5"/>
    <w:rsid w:val="00A642F7"/>
    <w:rsid w:val="00A64659"/>
    <w:rsid w:val="00A64C7B"/>
    <w:rsid w:val="00A65761"/>
    <w:rsid w:val="00A65CFE"/>
    <w:rsid w:val="00A65DCB"/>
    <w:rsid w:val="00A66236"/>
    <w:rsid w:val="00A66817"/>
    <w:rsid w:val="00A668D5"/>
    <w:rsid w:val="00A66A71"/>
    <w:rsid w:val="00A66F02"/>
    <w:rsid w:val="00A6715F"/>
    <w:rsid w:val="00A67404"/>
    <w:rsid w:val="00A70252"/>
    <w:rsid w:val="00A70EA2"/>
    <w:rsid w:val="00A70F47"/>
    <w:rsid w:val="00A71B9D"/>
    <w:rsid w:val="00A72A4F"/>
    <w:rsid w:val="00A7305F"/>
    <w:rsid w:val="00A732F9"/>
    <w:rsid w:val="00A73976"/>
    <w:rsid w:val="00A73D70"/>
    <w:rsid w:val="00A74303"/>
    <w:rsid w:val="00A747D9"/>
    <w:rsid w:val="00A748AE"/>
    <w:rsid w:val="00A7520C"/>
    <w:rsid w:val="00A75653"/>
    <w:rsid w:val="00A757A3"/>
    <w:rsid w:val="00A75C5A"/>
    <w:rsid w:val="00A75DCB"/>
    <w:rsid w:val="00A75E83"/>
    <w:rsid w:val="00A76989"/>
    <w:rsid w:val="00A76D18"/>
    <w:rsid w:val="00A77389"/>
    <w:rsid w:val="00A77A65"/>
    <w:rsid w:val="00A802A6"/>
    <w:rsid w:val="00A805E1"/>
    <w:rsid w:val="00A80C9D"/>
    <w:rsid w:val="00A80E95"/>
    <w:rsid w:val="00A80EC3"/>
    <w:rsid w:val="00A81695"/>
    <w:rsid w:val="00A8183A"/>
    <w:rsid w:val="00A8199E"/>
    <w:rsid w:val="00A81B73"/>
    <w:rsid w:val="00A82313"/>
    <w:rsid w:val="00A825E3"/>
    <w:rsid w:val="00A82609"/>
    <w:rsid w:val="00A82FE2"/>
    <w:rsid w:val="00A835A6"/>
    <w:rsid w:val="00A83A91"/>
    <w:rsid w:val="00A83AD7"/>
    <w:rsid w:val="00A83D0E"/>
    <w:rsid w:val="00A842C3"/>
    <w:rsid w:val="00A84D7E"/>
    <w:rsid w:val="00A85177"/>
    <w:rsid w:val="00A85666"/>
    <w:rsid w:val="00A85F34"/>
    <w:rsid w:val="00A86051"/>
    <w:rsid w:val="00A8625F"/>
    <w:rsid w:val="00A862DE"/>
    <w:rsid w:val="00A864D8"/>
    <w:rsid w:val="00A86D84"/>
    <w:rsid w:val="00A87208"/>
    <w:rsid w:val="00A8728B"/>
    <w:rsid w:val="00A87468"/>
    <w:rsid w:val="00A87AB4"/>
    <w:rsid w:val="00A90151"/>
    <w:rsid w:val="00A90256"/>
    <w:rsid w:val="00A90320"/>
    <w:rsid w:val="00A90437"/>
    <w:rsid w:val="00A90A12"/>
    <w:rsid w:val="00A910C6"/>
    <w:rsid w:val="00A91551"/>
    <w:rsid w:val="00A9155D"/>
    <w:rsid w:val="00A9165A"/>
    <w:rsid w:val="00A9167B"/>
    <w:rsid w:val="00A91874"/>
    <w:rsid w:val="00A91B99"/>
    <w:rsid w:val="00A92C6E"/>
    <w:rsid w:val="00A92E4C"/>
    <w:rsid w:val="00A9359B"/>
    <w:rsid w:val="00A939F8"/>
    <w:rsid w:val="00A93B34"/>
    <w:rsid w:val="00A93C6C"/>
    <w:rsid w:val="00A9415B"/>
    <w:rsid w:val="00A94283"/>
    <w:rsid w:val="00A94B36"/>
    <w:rsid w:val="00A94CD0"/>
    <w:rsid w:val="00A95220"/>
    <w:rsid w:val="00A9545C"/>
    <w:rsid w:val="00A96336"/>
    <w:rsid w:val="00A96B41"/>
    <w:rsid w:val="00A96DBC"/>
    <w:rsid w:val="00A970A6"/>
    <w:rsid w:val="00A971AB"/>
    <w:rsid w:val="00A972F1"/>
    <w:rsid w:val="00AA065F"/>
    <w:rsid w:val="00AA072D"/>
    <w:rsid w:val="00AA0AF4"/>
    <w:rsid w:val="00AA0F2F"/>
    <w:rsid w:val="00AA0FA9"/>
    <w:rsid w:val="00AA163B"/>
    <w:rsid w:val="00AA1BE2"/>
    <w:rsid w:val="00AA210D"/>
    <w:rsid w:val="00AA31F5"/>
    <w:rsid w:val="00AA33F0"/>
    <w:rsid w:val="00AA3569"/>
    <w:rsid w:val="00AA37FF"/>
    <w:rsid w:val="00AA38A9"/>
    <w:rsid w:val="00AA40EF"/>
    <w:rsid w:val="00AA4210"/>
    <w:rsid w:val="00AA4320"/>
    <w:rsid w:val="00AA4B98"/>
    <w:rsid w:val="00AA506F"/>
    <w:rsid w:val="00AA5A1E"/>
    <w:rsid w:val="00AA5DEA"/>
    <w:rsid w:val="00AA5DF3"/>
    <w:rsid w:val="00AA5F19"/>
    <w:rsid w:val="00AA5FBB"/>
    <w:rsid w:val="00AA768F"/>
    <w:rsid w:val="00AB04D7"/>
    <w:rsid w:val="00AB053E"/>
    <w:rsid w:val="00AB093B"/>
    <w:rsid w:val="00AB0963"/>
    <w:rsid w:val="00AB0B51"/>
    <w:rsid w:val="00AB10D9"/>
    <w:rsid w:val="00AB10F4"/>
    <w:rsid w:val="00AB126C"/>
    <w:rsid w:val="00AB1995"/>
    <w:rsid w:val="00AB1DA3"/>
    <w:rsid w:val="00AB20F0"/>
    <w:rsid w:val="00AB225F"/>
    <w:rsid w:val="00AB25F9"/>
    <w:rsid w:val="00AB2BEA"/>
    <w:rsid w:val="00AB2D17"/>
    <w:rsid w:val="00AB3021"/>
    <w:rsid w:val="00AB33A7"/>
    <w:rsid w:val="00AB347C"/>
    <w:rsid w:val="00AB34AD"/>
    <w:rsid w:val="00AB3608"/>
    <w:rsid w:val="00AB421E"/>
    <w:rsid w:val="00AB46E2"/>
    <w:rsid w:val="00AB56AE"/>
    <w:rsid w:val="00AB6C01"/>
    <w:rsid w:val="00AB7347"/>
    <w:rsid w:val="00AB73F5"/>
    <w:rsid w:val="00AC11F8"/>
    <w:rsid w:val="00AC1952"/>
    <w:rsid w:val="00AC41A0"/>
    <w:rsid w:val="00AC41E0"/>
    <w:rsid w:val="00AC4F7C"/>
    <w:rsid w:val="00AC52E4"/>
    <w:rsid w:val="00AC587D"/>
    <w:rsid w:val="00AC5B6D"/>
    <w:rsid w:val="00AC65ED"/>
    <w:rsid w:val="00AC6947"/>
    <w:rsid w:val="00AC6958"/>
    <w:rsid w:val="00AC6C68"/>
    <w:rsid w:val="00AC7A77"/>
    <w:rsid w:val="00AC7E11"/>
    <w:rsid w:val="00AC7E29"/>
    <w:rsid w:val="00AD1081"/>
    <w:rsid w:val="00AD1148"/>
    <w:rsid w:val="00AD1AA2"/>
    <w:rsid w:val="00AD2377"/>
    <w:rsid w:val="00AD2BAE"/>
    <w:rsid w:val="00AD4273"/>
    <w:rsid w:val="00AD4A4A"/>
    <w:rsid w:val="00AD5E05"/>
    <w:rsid w:val="00AD6FFB"/>
    <w:rsid w:val="00AD7435"/>
    <w:rsid w:val="00AD7A30"/>
    <w:rsid w:val="00AD7DAB"/>
    <w:rsid w:val="00AD7E3E"/>
    <w:rsid w:val="00AE0629"/>
    <w:rsid w:val="00AE0837"/>
    <w:rsid w:val="00AE0BF6"/>
    <w:rsid w:val="00AE1856"/>
    <w:rsid w:val="00AE2104"/>
    <w:rsid w:val="00AE3499"/>
    <w:rsid w:val="00AE3F48"/>
    <w:rsid w:val="00AE44FC"/>
    <w:rsid w:val="00AE4557"/>
    <w:rsid w:val="00AE4726"/>
    <w:rsid w:val="00AE4E8F"/>
    <w:rsid w:val="00AE528A"/>
    <w:rsid w:val="00AE5307"/>
    <w:rsid w:val="00AE59FA"/>
    <w:rsid w:val="00AE5EDA"/>
    <w:rsid w:val="00AE6182"/>
    <w:rsid w:val="00AE643C"/>
    <w:rsid w:val="00AE6651"/>
    <w:rsid w:val="00AE69DF"/>
    <w:rsid w:val="00AE6D8E"/>
    <w:rsid w:val="00AE751E"/>
    <w:rsid w:val="00AE7824"/>
    <w:rsid w:val="00AE79E9"/>
    <w:rsid w:val="00AE7A7B"/>
    <w:rsid w:val="00AE7D1C"/>
    <w:rsid w:val="00AF03ED"/>
    <w:rsid w:val="00AF0E85"/>
    <w:rsid w:val="00AF10A4"/>
    <w:rsid w:val="00AF1128"/>
    <w:rsid w:val="00AF1987"/>
    <w:rsid w:val="00AF20B4"/>
    <w:rsid w:val="00AF28A2"/>
    <w:rsid w:val="00AF2E54"/>
    <w:rsid w:val="00AF378E"/>
    <w:rsid w:val="00AF3BD9"/>
    <w:rsid w:val="00AF3D0B"/>
    <w:rsid w:val="00AF479F"/>
    <w:rsid w:val="00AF565C"/>
    <w:rsid w:val="00AF5923"/>
    <w:rsid w:val="00AF77B6"/>
    <w:rsid w:val="00AF78ED"/>
    <w:rsid w:val="00B0032C"/>
    <w:rsid w:val="00B0036E"/>
    <w:rsid w:val="00B01318"/>
    <w:rsid w:val="00B01B01"/>
    <w:rsid w:val="00B023C4"/>
    <w:rsid w:val="00B028CF"/>
    <w:rsid w:val="00B03014"/>
    <w:rsid w:val="00B031C3"/>
    <w:rsid w:val="00B03735"/>
    <w:rsid w:val="00B03828"/>
    <w:rsid w:val="00B044BC"/>
    <w:rsid w:val="00B04C40"/>
    <w:rsid w:val="00B055B7"/>
    <w:rsid w:val="00B0664C"/>
    <w:rsid w:val="00B06989"/>
    <w:rsid w:val="00B06C6F"/>
    <w:rsid w:val="00B0768C"/>
    <w:rsid w:val="00B07BD9"/>
    <w:rsid w:val="00B103A4"/>
    <w:rsid w:val="00B108D3"/>
    <w:rsid w:val="00B112ED"/>
    <w:rsid w:val="00B1185B"/>
    <w:rsid w:val="00B11E8A"/>
    <w:rsid w:val="00B11F80"/>
    <w:rsid w:val="00B129A7"/>
    <w:rsid w:val="00B14187"/>
    <w:rsid w:val="00B14E9C"/>
    <w:rsid w:val="00B14FFC"/>
    <w:rsid w:val="00B159F9"/>
    <w:rsid w:val="00B160F7"/>
    <w:rsid w:val="00B16131"/>
    <w:rsid w:val="00B167E4"/>
    <w:rsid w:val="00B169A2"/>
    <w:rsid w:val="00B17FB0"/>
    <w:rsid w:val="00B20017"/>
    <w:rsid w:val="00B20051"/>
    <w:rsid w:val="00B211DA"/>
    <w:rsid w:val="00B2123B"/>
    <w:rsid w:val="00B21322"/>
    <w:rsid w:val="00B214E4"/>
    <w:rsid w:val="00B21865"/>
    <w:rsid w:val="00B21A13"/>
    <w:rsid w:val="00B21AC9"/>
    <w:rsid w:val="00B21E95"/>
    <w:rsid w:val="00B23188"/>
    <w:rsid w:val="00B23258"/>
    <w:rsid w:val="00B235EE"/>
    <w:rsid w:val="00B23603"/>
    <w:rsid w:val="00B2363F"/>
    <w:rsid w:val="00B23E44"/>
    <w:rsid w:val="00B2469C"/>
    <w:rsid w:val="00B2479C"/>
    <w:rsid w:val="00B2510D"/>
    <w:rsid w:val="00B252B6"/>
    <w:rsid w:val="00B25364"/>
    <w:rsid w:val="00B25939"/>
    <w:rsid w:val="00B25DF7"/>
    <w:rsid w:val="00B25F57"/>
    <w:rsid w:val="00B260D8"/>
    <w:rsid w:val="00B264D2"/>
    <w:rsid w:val="00B26E48"/>
    <w:rsid w:val="00B27149"/>
    <w:rsid w:val="00B2751B"/>
    <w:rsid w:val="00B27964"/>
    <w:rsid w:val="00B302FA"/>
    <w:rsid w:val="00B30B88"/>
    <w:rsid w:val="00B31050"/>
    <w:rsid w:val="00B31D13"/>
    <w:rsid w:val="00B31E74"/>
    <w:rsid w:val="00B32D6C"/>
    <w:rsid w:val="00B32F4A"/>
    <w:rsid w:val="00B34048"/>
    <w:rsid w:val="00B34144"/>
    <w:rsid w:val="00B34CF2"/>
    <w:rsid w:val="00B34CF8"/>
    <w:rsid w:val="00B35DFB"/>
    <w:rsid w:val="00B3686E"/>
    <w:rsid w:val="00B3749D"/>
    <w:rsid w:val="00B40642"/>
    <w:rsid w:val="00B414C7"/>
    <w:rsid w:val="00B41534"/>
    <w:rsid w:val="00B41808"/>
    <w:rsid w:val="00B430C6"/>
    <w:rsid w:val="00B43789"/>
    <w:rsid w:val="00B43BBC"/>
    <w:rsid w:val="00B43F4F"/>
    <w:rsid w:val="00B4423D"/>
    <w:rsid w:val="00B443CC"/>
    <w:rsid w:val="00B4469B"/>
    <w:rsid w:val="00B447C8"/>
    <w:rsid w:val="00B44B9B"/>
    <w:rsid w:val="00B45CCE"/>
    <w:rsid w:val="00B45E43"/>
    <w:rsid w:val="00B45F86"/>
    <w:rsid w:val="00B46718"/>
    <w:rsid w:val="00B46A7E"/>
    <w:rsid w:val="00B47419"/>
    <w:rsid w:val="00B47BA3"/>
    <w:rsid w:val="00B50AAB"/>
    <w:rsid w:val="00B50C75"/>
    <w:rsid w:val="00B50DB5"/>
    <w:rsid w:val="00B50F20"/>
    <w:rsid w:val="00B5189C"/>
    <w:rsid w:val="00B52B96"/>
    <w:rsid w:val="00B52E49"/>
    <w:rsid w:val="00B530B0"/>
    <w:rsid w:val="00B53B2B"/>
    <w:rsid w:val="00B543F3"/>
    <w:rsid w:val="00B54F08"/>
    <w:rsid w:val="00B5560A"/>
    <w:rsid w:val="00B564FD"/>
    <w:rsid w:val="00B56D0D"/>
    <w:rsid w:val="00B602D1"/>
    <w:rsid w:val="00B605BF"/>
    <w:rsid w:val="00B614DD"/>
    <w:rsid w:val="00B61E8E"/>
    <w:rsid w:val="00B621A6"/>
    <w:rsid w:val="00B62356"/>
    <w:rsid w:val="00B62AB8"/>
    <w:rsid w:val="00B62BFD"/>
    <w:rsid w:val="00B63B59"/>
    <w:rsid w:val="00B6435D"/>
    <w:rsid w:val="00B646DB"/>
    <w:rsid w:val="00B64CF4"/>
    <w:rsid w:val="00B655C8"/>
    <w:rsid w:val="00B65CF8"/>
    <w:rsid w:val="00B65DAA"/>
    <w:rsid w:val="00B66129"/>
    <w:rsid w:val="00B66685"/>
    <w:rsid w:val="00B66B2F"/>
    <w:rsid w:val="00B67362"/>
    <w:rsid w:val="00B67A85"/>
    <w:rsid w:val="00B702DA"/>
    <w:rsid w:val="00B703F4"/>
    <w:rsid w:val="00B71B54"/>
    <w:rsid w:val="00B720EC"/>
    <w:rsid w:val="00B72751"/>
    <w:rsid w:val="00B7279F"/>
    <w:rsid w:val="00B72957"/>
    <w:rsid w:val="00B73BDD"/>
    <w:rsid w:val="00B7408A"/>
    <w:rsid w:val="00B74203"/>
    <w:rsid w:val="00B74DDD"/>
    <w:rsid w:val="00B74F71"/>
    <w:rsid w:val="00B74F7F"/>
    <w:rsid w:val="00B751FB"/>
    <w:rsid w:val="00B75389"/>
    <w:rsid w:val="00B755FC"/>
    <w:rsid w:val="00B75711"/>
    <w:rsid w:val="00B75B08"/>
    <w:rsid w:val="00B75D1E"/>
    <w:rsid w:val="00B76032"/>
    <w:rsid w:val="00B7645F"/>
    <w:rsid w:val="00B7663C"/>
    <w:rsid w:val="00B76EF0"/>
    <w:rsid w:val="00B76F68"/>
    <w:rsid w:val="00B7768F"/>
    <w:rsid w:val="00B778CD"/>
    <w:rsid w:val="00B800FE"/>
    <w:rsid w:val="00B80823"/>
    <w:rsid w:val="00B80B48"/>
    <w:rsid w:val="00B80EF8"/>
    <w:rsid w:val="00B812D3"/>
    <w:rsid w:val="00B82F06"/>
    <w:rsid w:val="00B82FAC"/>
    <w:rsid w:val="00B8344B"/>
    <w:rsid w:val="00B838BB"/>
    <w:rsid w:val="00B8395D"/>
    <w:rsid w:val="00B839A2"/>
    <w:rsid w:val="00B83ABA"/>
    <w:rsid w:val="00B83CA4"/>
    <w:rsid w:val="00B8433F"/>
    <w:rsid w:val="00B84869"/>
    <w:rsid w:val="00B84B90"/>
    <w:rsid w:val="00B84D28"/>
    <w:rsid w:val="00B8541D"/>
    <w:rsid w:val="00B8562C"/>
    <w:rsid w:val="00B8568D"/>
    <w:rsid w:val="00B85A3C"/>
    <w:rsid w:val="00B862CB"/>
    <w:rsid w:val="00B86607"/>
    <w:rsid w:val="00B86BDB"/>
    <w:rsid w:val="00B872AB"/>
    <w:rsid w:val="00B87859"/>
    <w:rsid w:val="00B87D1D"/>
    <w:rsid w:val="00B87FD5"/>
    <w:rsid w:val="00B90486"/>
    <w:rsid w:val="00B90D9A"/>
    <w:rsid w:val="00B90EA7"/>
    <w:rsid w:val="00B91D47"/>
    <w:rsid w:val="00B91F3D"/>
    <w:rsid w:val="00B92486"/>
    <w:rsid w:val="00B94197"/>
    <w:rsid w:val="00B9425C"/>
    <w:rsid w:val="00B9506F"/>
    <w:rsid w:val="00B953E2"/>
    <w:rsid w:val="00B95579"/>
    <w:rsid w:val="00B95BFC"/>
    <w:rsid w:val="00B95DD2"/>
    <w:rsid w:val="00B96910"/>
    <w:rsid w:val="00B96C7B"/>
    <w:rsid w:val="00B9731B"/>
    <w:rsid w:val="00B973EB"/>
    <w:rsid w:val="00B97631"/>
    <w:rsid w:val="00B9792A"/>
    <w:rsid w:val="00B97A9A"/>
    <w:rsid w:val="00B97BAE"/>
    <w:rsid w:val="00BA01B0"/>
    <w:rsid w:val="00BA0796"/>
    <w:rsid w:val="00BA0888"/>
    <w:rsid w:val="00BA0B40"/>
    <w:rsid w:val="00BA0FC8"/>
    <w:rsid w:val="00BA151A"/>
    <w:rsid w:val="00BA1BA3"/>
    <w:rsid w:val="00BA1BD4"/>
    <w:rsid w:val="00BA2EB1"/>
    <w:rsid w:val="00BA3519"/>
    <w:rsid w:val="00BA39A5"/>
    <w:rsid w:val="00BA3AD3"/>
    <w:rsid w:val="00BA3CB8"/>
    <w:rsid w:val="00BA4AC2"/>
    <w:rsid w:val="00BA5368"/>
    <w:rsid w:val="00BA57F8"/>
    <w:rsid w:val="00BA5CE9"/>
    <w:rsid w:val="00BA68B1"/>
    <w:rsid w:val="00BA6AD7"/>
    <w:rsid w:val="00BA6FD6"/>
    <w:rsid w:val="00BA72A4"/>
    <w:rsid w:val="00BA7623"/>
    <w:rsid w:val="00BA76EF"/>
    <w:rsid w:val="00BA79D6"/>
    <w:rsid w:val="00BB07E4"/>
    <w:rsid w:val="00BB0BCF"/>
    <w:rsid w:val="00BB16ED"/>
    <w:rsid w:val="00BB248C"/>
    <w:rsid w:val="00BB252F"/>
    <w:rsid w:val="00BB344E"/>
    <w:rsid w:val="00BB354F"/>
    <w:rsid w:val="00BB37CB"/>
    <w:rsid w:val="00BB3A93"/>
    <w:rsid w:val="00BB49BB"/>
    <w:rsid w:val="00BB53EF"/>
    <w:rsid w:val="00BB5767"/>
    <w:rsid w:val="00BB5E61"/>
    <w:rsid w:val="00BB62E1"/>
    <w:rsid w:val="00BB6DE5"/>
    <w:rsid w:val="00BB7492"/>
    <w:rsid w:val="00BB7FFA"/>
    <w:rsid w:val="00BC073B"/>
    <w:rsid w:val="00BC0DCE"/>
    <w:rsid w:val="00BC0F6D"/>
    <w:rsid w:val="00BC127C"/>
    <w:rsid w:val="00BC131D"/>
    <w:rsid w:val="00BC16CE"/>
    <w:rsid w:val="00BC1F7B"/>
    <w:rsid w:val="00BC1FAF"/>
    <w:rsid w:val="00BC34FE"/>
    <w:rsid w:val="00BC4753"/>
    <w:rsid w:val="00BC5AD7"/>
    <w:rsid w:val="00BC601B"/>
    <w:rsid w:val="00BC6162"/>
    <w:rsid w:val="00BC6606"/>
    <w:rsid w:val="00BC6A91"/>
    <w:rsid w:val="00BC70EA"/>
    <w:rsid w:val="00BC7247"/>
    <w:rsid w:val="00BC7531"/>
    <w:rsid w:val="00BC7A79"/>
    <w:rsid w:val="00BC7C1B"/>
    <w:rsid w:val="00BC7EF2"/>
    <w:rsid w:val="00BD0202"/>
    <w:rsid w:val="00BD0334"/>
    <w:rsid w:val="00BD0C28"/>
    <w:rsid w:val="00BD0F24"/>
    <w:rsid w:val="00BD1455"/>
    <w:rsid w:val="00BD190D"/>
    <w:rsid w:val="00BD1ABF"/>
    <w:rsid w:val="00BD247F"/>
    <w:rsid w:val="00BD2D40"/>
    <w:rsid w:val="00BD3884"/>
    <w:rsid w:val="00BD3A60"/>
    <w:rsid w:val="00BD3C4D"/>
    <w:rsid w:val="00BD3D9F"/>
    <w:rsid w:val="00BD400C"/>
    <w:rsid w:val="00BD465F"/>
    <w:rsid w:val="00BD4EA1"/>
    <w:rsid w:val="00BD56F1"/>
    <w:rsid w:val="00BD5C43"/>
    <w:rsid w:val="00BD6598"/>
    <w:rsid w:val="00BD7BAC"/>
    <w:rsid w:val="00BD7BC0"/>
    <w:rsid w:val="00BD7C1E"/>
    <w:rsid w:val="00BE1192"/>
    <w:rsid w:val="00BE1C4C"/>
    <w:rsid w:val="00BE2417"/>
    <w:rsid w:val="00BE24AB"/>
    <w:rsid w:val="00BE33EC"/>
    <w:rsid w:val="00BE35FC"/>
    <w:rsid w:val="00BE42EF"/>
    <w:rsid w:val="00BE5019"/>
    <w:rsid w:val="00BE50EF"/>
    <w:rsid w:val="00BE555C"/>
    <w:rsid w:val="00BE6BD0"/>
    <w:rsid w:val="00BE6C28"/>
    <w:rsid w:val="00BE6C6B"/>
    <w:rsid w:val="00BE6D2C"/>
    <w:rsid w:val="00BE6F1C"/>
    <w:rsid w:val="00BE7331"/>
    <w:rsid w:val="00BE765B"/>
    <w:rsid w:val="00BF028D"/>
    <w:rsid w:val="00BF07DF"/>
    <w:rsid w:val="00BF0AA9"/>
    <w:rsid w:val="00BF0C8B"/>
    <w:rsid w:val="00BF0EF2"/>
    <w:rsid w:val="00BF1051"/>
    <w:rsid w:val="00BF11A0"/>
    <w:rsid w:val="00BF1485"/>
    <w:rsid w:val="00BF20B9"/>
    <w:rsid w:val="00BF2111"/>
    <w:rsid w:val="00BF2438"/>
    <w:rsid w:val="00BF2C94"/>
    <w:rsid w:val="00BF2E27"/>
    <w:rsid w:val="00BF3114"/>
    <w:rsid w:val="00BF39BB"/>
    <w:rsid w:val="00BF40D0"/>
    <w:rsid w:val="00BF4644"/>
    <w:rsid w:val="00BF6681"/>
    <w:rsid w:val="00BF68C8"/>
    <w:rsid w:val="00BF76E4"/>
    <w:rsid w:val="00BF7A4F"/>
    <w:rsid w:val="00C000ED"/>
    <w:rsid w:val="00C00571"/>
    <w:rsid w:val="00C01148"/>
    <w:rsid w:val="00C014C5"/>
    <w:rsid w:val="00C016A3"/>
    <w:rsid w:val="00C01BFD"/>
    <w:rsid w:val="00C01E68"/>
    <w:rsid w:val="00C01F70"/>
    <w:rsid w:val="00C0216E"/>
    <w:rsid w:val="00C02381"/>
    <w:rsid w:val="00C0317B"/>
    <w:rsid w:val="00C0340A"/>
    <w:rsid w:val="00C041D8"/>
    <w:rsid w:val="00C043F4"/>
    <w:rsid w:val="00C047D1"/>
    <w:rsid w:val="00C051BE"/>
    <w:rsid w:val="00C0525F"/>
    <w:rsid w:val="00C0560A"/>
    <w:rsid w:val="00C058DA"/>
    <w:rsid w:val="00C0590D"/>
    <w:rsid w:val="00C06E66"/>
    <w:rsid w:val="00C07F4F"/>
    <w:rsid w:val="00C100FE"/>
    <w:rsid w:val="00C10372"/>
    <w:rsid w:val="00C10614"/>
    <w:rsid w:val="00C10BCE"/>
    <w:rsid w:val="00C10ECE"/>
    <w:rsid w:val="00C11924"/>
    <w:rsid w:val="00C11FD8"/>
    <w:rsid w:val="00C12045"/>
    <w:rsid w:val="00C124E6"/>
    <w:rsid w:val="00C12D52"/>
    <w:rsid w:val="00C12F20"/>
    <w:rsid w:val="00C12F53"/>
    <w:rsid w:val="00C1343F"/>
    <w:rsid w:val="00C13A80"/>
    <w:rsid w:val="00C14016"/>
    <w:rsid w:val="00C14289"/>
    <w:rsid w:val="00C14324"/>
    <w:rsid w:val="00C14561"/>
    <w:rsid w:val="00C147E1"/>
    <w:rsid w:val="00C149D6"/>
    <w:rsid w:val="00C157F6"/>
    <w:rsid w:val="00C15EF4"/>
    <w:rsid w:val="00C1614C"/>
    <w:rsid w:val="00C170EE"/>
    <w:rsid w:val="00C1751F"/>
    <w:rsid w:val="00C1759E"/>
    <w:rsid w:val="00C17908"/>
    <w:rsid w:val="00C17B40"/>
    <w:rsid w:val="00C17B8C"/>
    <w:rsid w:val="00C20754"/>
    <w:rsid w:val="00C2128D"/>
    <w:rsid w:val="00C21BB3"/>
    <w:rsid w:val="00C21C17"/>
    <w:rsid w:val="00C21F0B"/>
    <w:rsid w:val="00C220D4"/>
    <w:rsid w:val="00C221A0"/>
    <w:rsid w:val="00C22803"/>
    <w:rsid w:val="00C2286F"/>
    <w:rsid w:val="00C22AC7"/>
    <w:rsid w:val="00C238D1"/>
    <w:rsid w:val="00C23BC8"/>
    <w:rsid w:val="00C24961"/>
    <w:rsid w:val="00C2511B"/>
    <w:rsid w:val="00C252CF"/>
    <w:rsid w:val="00C25C46"/>
    <w:rsid w:val="00C25E08"/>
    <w:rsid w:val="00C26103"/>
    <w:rsid w:val="00C26D63"/>
    <w:rsid w:val="00C27114"/>
    <w:rsid w:val="00C2758F"/>
    <w:rsid w:val="00C27DDF"/>
    <w:rsid w:val="00C30220"/>
    <w:rsid w:val="00C306D7"/>
    <w:rsid w:val="00C30F10"/>
    <w:rsid w:val="00C31302"/>
    <w:rsid w:val="00C3146E"/>
    <w:rsid w:val="00C31E23"/>
    <w:rsid w:val="00C32117"/>
    <w:rsid w:val="00C3265A"/>
    <w:rsid w:val="00C326F9"/>
    <w:rsid w:val="00C3290B"/>
    <w:rsid w:val="00C32E43"/>
    <w:rsid w:val="00C330B0"/>
    <w:rsid w:val="00C3366B"/>
    <w:rsid w:val="00C33D91"/>
    <w:rsid w:val="00C349DE"/>
    <w:rsid w:val="00C360AC"/>
    <w:rsid w:val="00C360FA"/>
    <w:rsid w:val="00C36699"/>
    <w:rsid w:val="00C36B3F"/>
    <w:rsid w:val="00C36EA8"/>
    <w:rsid w:val="00C36FFC"/>
    <w:rsid w:val="00C37A29"/>
    <w:rsid w:val="00C37AE0"/>
    <w:rsid w:val="00C40024"/>
    <w:rsid w:val="00C4016D"/>
    <w:rsid w:val="00C417DA"/>
    <w:rsid w:val="00C432BB"/>
    <w:rsid w:val="00C43BF4"/>
    <w:rsid w:val="00C44AFB"/>
    <w:rsid w:val="00C44C94"/>
    <w:rsid w:val="00C450DE"/>
    <w:rsid w:val="00C45282"/>
    <w:rsid w:val="00C457CB"/>
    <w:rsid w:val="00C45B16"/>
    <w:rsid w:val="00C45F37"/>
    <w:rsid w:val="00C463A4"/>
    <w:rsid w:val="00C4695B"/>
    <w:rsid w:val="00C47BA3"/>
    <w:rsid w:val="00C47C3D"/>
    <w:rsid w:val="00C47E6A"/>
    <w:rsid w:val="00C51DCB"/>
    <w:rsid w:val="00C51E52"/>
    <w:rsid w:val="00C52030"/>
    <w:rsid w:val="00C5286D"/>
    <w:rsid w:val="00C53648"/>
    <w:rsid w:val="00C5372B"/>
    <w:rsid w:val="00C5394E"/>
    <w:rsid w:val="00C54018"/>
    <w:rsid w:val="00C54036"/>
    <w:rsid w:val="00C5419D"/>
    <w:rsid w:val="00C547EA"/>
    <w:rsid w:val="00C5490B"/>
    <w:rsid w:val="00C54A40"/>
    <w:rsid w:val="00C5563B"/>
    <w:rsid w:val="00C55E3B"/>
    <w:rsid w:val="00C564F5"/>
    <w:rsid w:val="00C5710F"/>
    <w:rsid w:val="00C572A3"/>
    <w:rsid w:val="00C57559"/>
    <w:rsid w:val="00C575B3"/>
    <w:rsid w:val="00C57F04"/>
    <w:rsid w:val="00C57F47"/>
    <w:rsid w:val="00C6038F"/>
    <w:rsid w:val="00C6116C"/>
    <w:rsid w:val="00C61BEA"/>
    <w:rsid w:val="00C61FCD"/>
    <w:rsid w:val="00C622C7"/>
    <w:rsid w:val="00C62E67"/>
    <w:rsid w:val="00C63351"/>
    <w:rsid w:val="00C6363C"/>
    <w:rsid w:val="00C637EC"/>
    <w:rsid w:val="00C63DC6"/>
    <w:rsid w:val="00C64775"/>
    <w:rsid w:val="00C647A6"/>
    <w:rsid w:val="00C64E61"/>
    <w:rsid w:val="00C65FC5"/>
    <w:rsid w:val="00C66981"/>
    <w:rsid w:val="00C66E6A"/>
    <w:rsid w:val="00C6712B"/>
    <w:rsid w:val="00C67AA3"/>
    <w:rsid w:val="00C70BCF"/>
    <w:rsid w:val="00C70D80"/>
    <w:rsid w:val="00C70EFC"/>
    <w:rsid w:val="00C71688"/>
    <w:rsid w:val="00C71DE4"/>
    <w:rsid w:val="00C71E8F"/>
    <w:rsid w:val="00C724D6"/>
    <w:rsid w:val="00C72EE6"/>
    <w:rsid w:val="00C753A7"/>
    <w:rsid w:val="00C7544F"/>
    <w:rsid w:val="00C755C2"/>
    <w:rsid w:val="00C75706"/>
    <w:rsid w:val="00C75C56"/>
    <w:rsid w:val="00C7669F"/>
    <w:rsid w:val="00C7765E"/>
    <w:rsid w:val="00C776A3"/>
    <w:rsid w:val="00C77C0C"/>
    <w:rsid w:val="00C77F54"/>
    <w:rsid w:val="00C813B6"/>
    <w:rsid w:val="00C822C1"/>
    <w:rsid w:val="00C82563"/>
    <w:rsid w:val="00C83950"/>
    <w:rsid w:val="00C83F7C"/>
    <w:rsid w:val="00C85254"/>
    <w:rsid w:val="00C853A9"/>
    <w:rsid w:val="00C854D7"/>
    <w:rsid w:val="00C8552C"/>
    <w:rsid w:val="00C855B3"/>
    <w:rsid w:val="00C86224"/>
    <w:rsid w:val="00C86394"/>
    <w:rsid w:val="00C87536"/>
    <w:rsid w:val="00C87F88"/>
    <w:rsid w:val="00C87FAB"/>
    <w:rsid w:val="00C9007D"/>
    <w:rsid w:val="00C902D6"/>
    <w:rsid w:val="00C90661"/>
    <w:rsid w:val="00C90C6D"/>
    <w:rsid w:val="00C90D43"/>
    <w:rsid w:val="00C91632"/>
    <w:rsid w:val="00C91805"/>
    <w:rsid w:val="00C91DF4"/>
    <w:rsid w:val="00C920FF"/>
    <w:rsid w:val="00C9228C"/>
    <w:rsid w:val="00C926DD"/>
    <w:rsid w:val="00C92738"/>
    <w:rsid w:val="00C92E00"/>
    <w:rsid w:val="00C92FD5"/>
    <w:rsid w:val="00C93270"/>
    <w:rsid w:val="00C932F3"/>
    <w:rsid w:val="00C936BA"/>
    <w:rsid w:val="00C93969"/>
    <w:rsid w:val="00C9413E"/>
    <w:rsid w:val="00C94D53"/>
    <w:rsid w:val="00C95653"/>
    <w:rsid w:val="00C95A93"/>
    <w:rsid w:val="00C95E12"/>
    <w:rsid w:val="00C95F4B"/>
    <w:rsid w:val="00C95F62"/>
    <w:rsid w:val="00C978C3"/>
    <w:rsid w:val="00C97BE1"/>
    <w:rsid w:val="00C97E07"/>
    <w:rsid w:val="00C97FB7"/>
    <w:rsid w:val="00CA03C8"/>
    <w:rsid w:val="00CA0503"/>
    <w:rsid w:val="00CA0A00"/>
    <w:rsid w:val="00CA0A89"/>
    <w:rsid w:val="00CA0B3F"/>
    <w:rsid w:val="00CA0D68"/>
    <w:rsid w:val="00CA0FCB"/>
    <w:rsid w:val="00CA1AC3"/>
    <w:rsid w:val="00CA1E62"/>
    <w:rsid w:val="00CA3ABF"/>
    <w:rsid w:val="00CA45A5"/>
    <w:rsid w:val="00CA52E4"/>
    <w:rsid w:val="00CA5AC2"/>
    <w:rsid w:val="00CA5EFF"/>
    <w:rsid w:val="00CA647A"/>
    <w:rsid w:val="00CA6C4C"/>
    <w:rsid w:val="00CA759B"/>
    <w:rsid w:val="00CA7E15"/>
    <w:rsid w:val="00CB013D"/>
    <w:rsid w:val="00CB0434"/>
    <w:rsid w:val="00CB08FE"/>
    <w:rsid w:val="00CB0D6E"/>
    <w:rsid w:val="00CB11C9"/>
    <w:rsid w:val="00CB1330"/>
    <w:rsid w:val="00CB1CC6"/>
    <w:rsid w:val="00CB1F61"/>
    <w:rsid w:val="00CB2741"/>
    <w:rsid w:val="00CB2879"/>
    <w:rsid w:val="00CB3467"/>
    <w:rsid w:val="00CB3F43"/>
    <w:rsid w:val="00CB4586"/>
    <w:rsid w:val="00CB4939"/>
    <w:rsid w:val="00CB4A18"/>
    <w:rsid w:val="00CB4BAF"/>
    <w:rsid w:val="00CB5170"/>
    <w:rsid w:val="00CB57CD"/>
    <w:rsid w:val="00CB5871"/>
    <w:rsid w:val="00CB5EA2"/>
    <w:rsid w:val="00CB7331"/>
    <w:rsid w:val="00CB78BD"/>
    <w:rsid w:val="00CB7D98"/>
    <w:rsid w:val="00CC0D27"/>
    <w:rsid w:val="00CC0F54"/>
    <w:rsid w:val="00CC1240"/>
    <w:rsid w:val="00CC13D5"/>
    <w:rsid w:val="00CC18B6"/>
    <w:rsid w:val="00CC1C4C"/>
    <w:rsid w:val="00CC2373"/>
    <w:rsid w:val="00CC358E"/>
    <w:rsid w:val="00CC35A7"/>
    <w:rsid w:val="00CC36FB"/>
    <w:rsid w:val="00CC3BC6"/>
    <w:rsid w:val="00CC3DE4"/>
    <w:rsid w:val="00CC459B"/>
    <w:rsid w:val="00CC49BA"/>
    <w:rsid w:val="00CC4A57"/>
    <w:rsid w:val="00CC4AAD"/>
    <w:rsid w:val="00CC4D53"/>
    <w:rsid w:val="00CC4E67"/>
    <w:rsid w:val="00CC512E"/>
    <w:rsid w:val="00CC56BA"/>
    <w:rsid w:val="00CC5926"/>
    <w:rsid w:val="00CC5A68"/>
    <w:rsid w:val="00CC5B24"/>
    <w:rsid w:val="00CC5EF4"/>
    <w:rsid w:val="00CC5F5B"/>
    <w:rsid w:val="00CC66B8"/>
    <w:rsid w:val="00CC6A0C"/>
    <w:rsid w:val="00CC6AD0"/>
    <w:rsid w:val="00CC6B51"/>
    <w:rsid w:val="00CC6D78"/>
    <w:rsid w:val="00CC767F"/>
    <w:rsid w:val="00CC7E59"/>
    <w:rsid w:val="00CD033B"/>
    <w:rsid w:val="00CD03AB"/>
    <w:rsid w:val="00CD0ECA"/>
    <w:rsid w:val="00CD146C"/>
    <w:rsid w:val="00CD149F"/>
    <w:rsid w:val="00CD151C"/>
    <w:rsid w:val="00CD1D77"/>
    <w:rsid w:val="00CD2558"/>
    <w:rsid w:val="00CD3672"/>
    <w:rsid w:val="00CD37C2"/>
    <w:rsid w:val="00CD401E"/>
    <w:rsid w:val="00CD4AC2"/>
    <w:rsid w:val="00CD5192"/>
    <w:rsid w:val="00CD5C0C"/>
    <w:rsid w:val="00CD5F68"/>
    <w:rsid w:val="00CD6154"/>
    <w:rsid w:val="00CD61EB"/>
    <w:rsid w:val="00CD628A"/>
    <w:rsid w:val="00CD6CAF"/>
    <w:rsid w:val="00CD71BD"/>
    <w:rsid w:val="00CD773B"/>
    <w:rsid w:val="00CD7740"/>
    <w:rsid w:val="00CD7826"/>
    <w:rsid w:val="00CD7CFA"/>
    <w:rsid w:val="00CD7F44"/>
    <w:rsid w:val="00CE07FE"/>
    <w:rsid w:val="00CE0838"/>
    <w:rsid w:val="00CE08F7"/>
    <w:rsid w:val="00CE1433"/>
    <w:rsid w:val="00CE198B"/>
    <w:rsid w:val="00CE2234"/>
    <w:rsid w:val="00CE282A"/>
    <w:rsid w:val="00CE3076"/>
    <w:rsid w:val="00CE30B1"/>
    <w:rsid w:val="00CE396B"/>
    <w:rsid w:val="00CE3BF6"/>
    <w:rsid w:val="00CE3E55"/>
    <w:rsid w:val="00CE43AF"/>
    <w:rsid w:val="00CE4D3A"/>
    <w:rsid w:val="00CE4DBD"/>
    <w:rsid w:val="00CE50C6"/>
    <w:rsid w:val="00CE5C77"/>
    <w:rsid w:val="00CE5FCA"/>
    <w:rsid w:val="00CE6081"/>
    <w:rsid w:val="00CE64FD"/>
    <w:rsid w:val="00CE6E14"/>
    <w:rsid w:val="00CE71AB"/>
    <w:rsid w:val="00CE7236"/>
    <w:rsid w:val="00CE7583"/>
    <w:rsid w:val="00CE7590"/>
    <w:rsid w:val="00CE7B99"/>
    <w:rsid w:val="00CE7DBC"/>
    <w:rsid w:val="00CE7DD9"/>
    <w:rsid w:val="00CE7FDC"/>
    <w:rsid w:val="00CF02F0"/>
    <w:rsid w:val="00CF03F9"/>
    <w:rsid w:val="00CF126B"/>
    <w:rsid w:val="00CF17DD"/>
    <w:rsid w:val="00CF1B2A"/>
    <w:rsid w:val="00CF216E"/>
    <w:rsid w:val="00CF22DE"/>
    <w:rsid w:val="00CF27C3"/>
    <w:rsid w:val="00CF28E6"/>
    <w:rsid w:val="00CF3179"/>
    <w:rsid w:val="00CF3199"/>
    <w:rsid w:val="00CF33C5"/>
    <w:rsid w:val="00CF3760"/>
    <w:rsid w:val="00CF408C"/>
    <w:rsid w:val="00CF4496"/>
    <w:rsid w:val="00CF451A"/>
    <w:rsid w:val="00CF4541"/>
    <w:rsid w:val="00CF48E5"/>
    <w:rsid w:val="00CF4BC6"/>
    <w:rsid w:val="00CF4FEF"/>
    <w:rsid w:val="00CF50D9"/>
    <w:rsid w:val="00CF52E6"/>
    <w:rsid w:val="00CF5459"/>
    <w:rsid w:val="00CF5587"/>
    <w:rsid w:val="00CF5651"/>
    <w:rsid w:val="00CF5677"/>
    <w:rsid w:val="00CF5918"/>
    <w:rsid w:val="00CF6A98"/>
    <w:rsid w:val="00CF7174"/>
    <w:rsid w:val="00CF7F06"/>
    <w:rsid w:val="00D0090A"/>
    <w:rsid w:val="00D00AC4"/>
    <w:rsid w:val="00D01615"/>
    <w:rsid w:val="00D021DA"/>
    <w:rsid w:val="00D02433"/>
    <w:rsid w:val="00D02475"/>
    <w:rsid w:val="00D02DBA"/>
    <w:rsid w:val="00D0352E"/>
    <w:rsid w:val="00D03578"/>
    <w:rsid w:val="00D03965"/>
    <w:rsid w:val="00D03BE5"/>
    <w:rsid w:val="00D055A8"/>
    <w:rsid w:val="00D06BC0"/>
    <w:rsid w:val="00D07169"/>
    <w:rsid w:val="00D07A33"/>
    <w:rsid w:val="00D10DC3"/>
    <w:rsid w:val="00D10F14"/>
    <w:rsid w:val="00D1281C"/>
    <w:rsid w:val="00D143D7"/>
    <w:rsid w:val="00D144EA"/>
    <w:rsid w:val="00D14611"/>
    <w:rsid w:val="00D15113"/>
    <w:rsid w:val="00D15218"/>
    <w:rsid w:val="00D15315"/>
    <w:rsid w:val="00D1578E"/>
    <w:rsid w:val="00D15B7C"/>
    <w:rsid w:val="00D15B7D"/>
    <w:rsid w:val="00D15C91"/>
    <w:rsid w:val="00D15E09"/>
    <w:rsid w:val="00D15E21"/>
    <w:rsid w:val="00D1677F"/>
    <w:rsid w:val="00D16F74"/>
    <w:rsid w:val="00D172F6"/>
    <w:rsid w:val="00D17AB1"/>
    <w:rsid w:val="00D17C5B"/>
    <w:rsid w:val="00D20750"/>
    <w:rsid w:val="00D20EB7"/>
    <w:rsid w:val="00D218B5"/>
    <w:rsid w:val="00D22114"/>
    <w:rsid w:val="00D22200"/>
    <w:rsid w:val="00D23225"/>
    <w:rsid w:val="00D23E87"/>
    <w:rsid w:val="00D24AA0"/>
    <w:rsid w:val="00D2582C"/>
    <w:rsid w:val="00D30791"/>
    <w:rsid w:val="00D30B41"/>
    <w:rsid w:val="00D30DFC"/>
    <w:rsid w:val="00D31E3E"/>
    <w:rsid w:val="00D32EDB"/>
    <w:rsid w:val="00D330CA"/>
    <w:rsid w:val="00D3316D"/>
    <w:rsid w:val="00D33D7D"/>
    <w:rsid w:val="00D34801"/>
    <w:rsid w:val="00D34CE6"/>
    <w:rsid w:val="00D34EAF"/>
    <w:rsid w:val="00D350EE"/>
    <w:rsid w:val="00D35243"/>
    <w:rsid w:val="00D355B0"/>
    <w:rsid w:val="00D36889"/>
    <w:rsid w:val="00D36F6E"/>
    <w:rsid w:val="00D37882"/>
    <w:rsid w:val="00D37AE2"/>
    <w:rsid w:val="00D37B40"/>
    <w:rsid w:val="00D4037F"/>
    <w:rsid w:val="00D40EF8"/>
    <w:rsid w:val="00D412E9"/>
    <w:rsid w:val="00D4142E"/>
    <w:rsid w:val="00D41681"/>
    <w:rsid w:val="00D42028"/>
    <w:rsid w:val="00D4217F"/>
    <w:rsid w:val="00D424CB"/>
    <w:rsid w:val="00D425AF"/>
    <w:rsid w:val="00D43D79"/>
    <w:rsid w:val="00D44057"/>
    <w:rsid w:val="00D4419A"/>
    <w:rsid w:val="00D44735"/>
    <w:rsid w:val="00D44D67"/>
    <w:rsid w:val="00D45816"/>
    <w:rsid w:val="00D461D8"/>
    <w:rsid w:val="00D466A6"/>
    <w:rsid w:val="00D46C84"/>
    <w:rsid w:val="00D46FD9"/>
    <w:rsid w:val="00D47EB9"/>
    <w:rsid w:val="00D47FA4"/>
    <w:rsid w:val="00D50CCD"/>
    <w:rsid w:val="00D50D67"/>
    <w:rsid w:val="00D50E5B"/>
    <w:rsid w:val="00D51709"/>
    <w:rsid w:val="00D51930"/>
    <w:rsid w:val="00D51D46"/>
    <w:rsid w:val="00D52073"/>
    <w:rsid w:val="00D522C5"/>
    <w:rsid w:val="00D5256C"/>
    <w:rsid w:val="00D52724"/>
    <w:rsid w:val="00D52D26"/>
    <w:rsid w:val="00D5307A"/>
    <w:rsid w:val="00D53185"/>
    <w:rsid w:val="00D5482B"/>
    <w:rsid w:val="00D54D42"/>
    <w:rsid w:val="00D56105"/>
    <w:rsid w:val="00D56482"/>
    <w:rsid w:val="00D573D9"/>
    <w:rsid w:val="00D60649"/>
    <w:rsid w:val="00D61240"/>
    <w:rsid w:val="00D615ED"/>
    <w:rsid w:val="00D617FA"/>
    <w:rsid w:val="00D61E88"/>
    <w:rsid w:val="00D61F7A"/>
    <w:rsid w:val="00D62E7A"/>
    <w:rsid w:val="00D62EC5"/>
    <w:rsid w:val="00D6328F"/>
    <w:rsid w:val="00D637BD"/>
    <w:rsid w:val="00D63AD9"/>
    <w:rsid w:val="00D63D2B"/>
    <w:rsid w:val="00D644A1"/>
    <w:rsid w:val="00D65BC1"/>
    <w:rsid w:val="00D65C36"/>
    <w:rsid w:val="00D65CDE"/>
    <w:rsid w:val="00D65FB1"/>
    <w:rsid w:val="00D65FE6"/>
    <w:rsid w:val="00D6650A"/>
    <w:rsid w:val="00D665A9"/>
    <w:rsid w:val="00D67C6A"/>
    <w:rsid w:val="00D70313"/>
    <w:rsid w:val="00D70519"/>
    <w:rsid w:val="00D70618"/>
    <w:rsid w:val="00D7092A"/>
    <w:rsid w:val="00D71068"/>
    <w:rsid w:val="00D713AD"/>
    <w:rsid w:val="00D71791"/>
    <w:rsid w:val="00D717E9"/>
    <w:rsid w:val="00D72809"/>
    <w:rsid w:val="00D72D6F"/>
    <w:rsid w:val="00D7308C"/>
    <w:rsid w:val="00D734BC"/>
    <w:rsid w:val="00D73649"/>
    <w:rsid w:val="00D73C17"/>
    <w:rsid w:val="00D74337"/>
    <w:rsid w:val="00D74CC2"/>
    <w:rsid w:val="00D74D85"/>
    <w:rsid w:val="00D75660"/>
    <w:rsid w:val="00D7602E"/>
    <w:rsid w:val="00D76210"/>
    <w:rsid w:val="00D76587"/>
    <w:rsid w:val="00D76A77"/>
    <w:rsid w:val="00D76F52"/>
    <w:rsid w:val="00D772E3"/>
    <w:rsid w:val="00D77397"/>
    <w:rsid w:val="00D80058"/>
    <w:rsid w:val="00D80256"/>
    <w:rsid w:val="00D8046C"/>
    <w:rsid w:val="00D80F54"/>
    <w:rsid w:val="00D82058"/>
    <w:rsid w:val="00D82508"/>
    <w:rsid w:val="00D829A2"/>
    <w:rsid w:val="00D82A72"/>
    <w:rsid w:val="00D831B4"/>
    <w:rsid w:val="00D83518"/>
    <w:rsid w:val="00D83923"/>
    <w:rsid w:val="00D83D57"/>
    <w:rsid w:val="00D854BC"/>
    <w:rsid w:val="00D8558D"/>
    <w:rsid w:val="00D85611"/>
    <w:rsid w:val="00D856B6"/>
    <w:rsid w:val="00D85D84"/>
    <w:rsid w:val="00D86247"/>
    <w:rsid w:val="00D862D7"/>
    <w:rsid w:val="00D8639F"/>
    <w:rsid w:val="00D86552"/>
    <w:rsid w:val="00D86765"/>
    <w:rsid w:val="00D872E4"/>
    <w:rsid w:val="00D87641"/>
    <w:rsid w:val="00D905E9"/>
    <w:rsid w:val="00D9064A"/>
    <w:rsid w:val="00D90BB0"/>
    <w:rsid w:val="00D913B6"/>
    <w:rsid w:val="00D91508"/>
    <w:rsid w:val="00D91C69"/>
    <w:rsid w:val="00D91E84"/>
    <w:rsid w:val="00D92479"/>
    <w:rsid w:val="00D92D6C"/>
    <w:rsid w:val="00D93C69"/>
    <w:rsid w:val="00D93D3B"/>
    <w:rsid w:val="00D93EC5"/>
    <w:rsid w:val="00D94095"/>
    <w:rsid w:val="00D9419D"/>
    <w:rsid w:val="00D94BCB"/>
    <w:rsid w:val="00D94BF3"/>
    <w:rsid w:val="00D94EAC"/>
    <w:rsid w:val="00D9526A"/>
    <w:rsid w:val="00D958F5"/>
    <w:rsid w:val="00D95B7F"/>
    <w:rsid w:val="00D960BB"/>
    <w:rsid w:val="00D966FD"/>
    <w:rsid w:val="00D96916"/>
    <w:rsid w:val="00D96CC7"/>
    <w:rsid w:val="00D96E92"/>
    <w:rsid w:val="00D96F65"/>
    <w:rsid w:val="00D97E11"/>
    <w:rsid w:val="00DA006A"/>
    <w:rsid w:val="00DA0EA4"/>
    <w:rsid w:val="00DA136C"/>
    <w:rsid w:val="00DA138D"/>
    <w:rsid w:val="00DA14D0"/>
    <w:rsid w:val="00DA172E"/>
    <w:rsid w:val="00DA179B"/>
    <w:rsid w:val="00DA208C"/>
    <w:rsid w:val="00DA2716"/>
    <w:rsid w:val="00DA2981"/>
    <w:rsid w:val="00DA2C23"/>
    <w:rsid w:val="00DA2E2F"/>
    <w:rsid w:val="00DA3017"/>
    <w:rsid w:val="00DA3370"/>
    <w:rsid w:val="00DA33FB"/>
    <w:rsid w:val="00DA370E"/>
    <w:rsid w:val="00DA3723"/>
    <w:rsid w:val="00DA37CA"/>
    <w:rsid w:val="00DA37DB"/>
    <w:rsid w:val="00DA3895"/>
    <w:rsid w:val="00DA3FD7"/>
    <w:rsid w:val="00DA42C4"/>
    <w:rsid w:val="00DA4A9E"/>
    <w:rsid w:val="00DA5484"/>
    <w:rsid w:val="00DA5C5B"/>
    <w:rsid w:val="00DA5F38"/>
    <w:rsid w:val="00DA6A34"/>
    <w:rsid w:val="00DA75B1"/>
    <w:rsid w:val="00DB08C4"/>
    <w:rsid w:val="00DB0C3E"/>
    <w:rsid w:val="00DB0F40"/>
    <w:rsid w:val="00DB1656"/>
    <w:rsid w:val="00DB2961"/>
    <w:rsid w:val="00DB2D4A"/>
    <w:rsid w:val="00DB2FAD"/>
    <w:rsid w:val="00DB3013"/>
    <w:rsid w:val="00DB3326"/>
    <w:rsid w:val="00DB33A9"/>
    <w:rsid w:val="00DB38DD"/>
    <w:rsid w:val="00DB3DF4"/>
    <w:rsid w:val="00DB4190"/>
    <w:rsid w:val="00DB4A29"/>
    <w:rsid w:val="00DB4C6F"/>
    <w:rsid w:val="00DB56BB"/>
    <w:rsid w:val="00DB5925"/>
    <w:rsid w:val="00DB7004"/>
    <w:rsid w:val="00DB7342"/>
    <w:rsid w:val="00DB7E8D"/>
    <w:rsid w:val="00DC00E5"/>
    <w:rsid w:val="00DC032B"/>
    <w:rsid w:val="00DC0622"/>
    <w:rsid w:val="00DC06EE"/>
    <w:rsid w:val="00DC1012"/>
    <w:rsid w:val="00DC1090"/>
    <w:rsid w:val="00DC14D6"/>
    <w:rsid w:val="00DC17DE"/>
    <w:rsid w:val="00DC18D8"/>
    <w:rsid w:val="00DC19D2"/>
    <w:rsid w:val="00DC1B37"/>
    <w:rsid w:val="00DC2117"/>
    <w:rsid w:val="00DC3223"/>
    <w:rsid w:val="00DC334A"/>
    <w:rsid w:val="00DC4306"/>
    <w:rsid w:val="00DC4863"/>
    <w:rsid w:val="00DC4AC6"/>
    <w:rsid w:val="00DC4BF3"/>
    <w:rsid w:val="00DC51C2"/>
    <w:rsid w:val="00DC5D1A"/>
    <w:rsid w:val="00DC5DFF"/>
    <w:rsid w:val="00DC6B3C"/>
    <w:rsid w:val="00DC6E55"/>
    <w:rsid w:val="00DC6F0E"/>
    <w:rsid w:val="00DC74CB"/>
    <w:rsid w:val="00DC772B"/>
    <w:rsid w:val="00DC77BB"/>
    <w:rsid w:val="00DC78E8"/>
    <w:rsid w:val="00DC7A40"/>
    <w:rsid w:val="00DC7CA6"/>
    <w:rsid w:val="00DC7D1E"/>
    <w:rsid w:val="00DD0983"/>
    <w:rsid w:val="00DD1014"/>
    <w:rsid w:val="00DD134A"/>
    <w:rsid w:val="00DD1BCA"/>
    <w:rsid w:val="00DD211F"/>
    <w:rsid w:val="00DD21B7"/>
    <w:rsid w:val="00DD2421"/>
    <w:rsid w:val="00DD2785"/>
    <w:rsid w:val="00DD2B01"/>
    <w:rsid w:val="00DD2CBC"/>
    <w:rsid w:val="00DD48F0"/>
    <w:rsid w:val="00DD4914"/>
    <w:rsid w:val="00DD4B2C"/>
    <w:rsid w:val="00DD504A"/>
    <w:rsid w:val="00DD50CA"/>
    <w:rsid w:val="00DD56B5"/>
    <w:rsid w:val="00DD5ECB"/>
    <w:rsid w:val="00DD6473"/>
    <w:rsid w:val="00DD7770"/>
    <w:rsid w:val="00DD785B"/>
    <w:rsid w:val="00DD7F47"/>
    <w:rsid w:val="00DE0665"/>
    <w:rsid w:val="00DE0CDC"/>
    <w:rsid w:val="00DE1267"/>
    <w:rsid w:val="00DE142C"/>
    <w:rsid w:val="00DE1E5C"/>
    <w:rsid w:val="00DE1F91"/>
    <w:rsid w:val="00DE1FFF"/>
    <w:rsid w:val="00DE33D8"/>
    <w:rsid w:val="00DE4331"/>
    <w:rsid w:val="00DE46EF"/>
    <w:rsid w:val="00DE47A4"/>
    <w:rsid w:val="00DE73FB"/>
    <w:rsid w:val="00DE7508"/>
    <w:rsid w:val="00DE7597"/>
    <w:rsid w:val="00DE7705"/>
    <w:rsid w:val="00DE79AC"/>
    <w:rsid w:val="00DE7ABF"/>
    <w:rsid w:val="00DE7D71"/>
    <w:rsid w:val="00DE7D75"/>
    <w:rsid w:val="00DE7F57"/>
    <w:rsid w:val="00DE7FFD"/>
    <w:rsid w:val="00DF14AD"/>
    <w:rsid w:val="00DF189C"/>
    <w:rsid w:val="00DF198F"/>
    <w:rsid w:val="00DF1BD9"/>
    <w:rsid w:val="00DF1BFB"/>
    <w:rsid w:val="00DF20DC"/>
    <w:rsid w:val="00DF274E"/>
    <w:rsid w:val="00DF2980"/>
    <w:rsid w:val="00DF2BB2"/>
    <w:rsid w:val="00DF2BFE"/>
    <w:rsid w:val="00DF2C8C"/>
    <w:rsid w:val="00DF3B47"/>
    <w:rsid w:val="00DF3B79"/>
    <w:rsid w:val="00DF3E4B"/>
    <w:rsid w:val="00DF4938"/>
    <w:rsid w:val="00DF4E3E"/>
    <w:rsid w:val="00DF56ED"/>
    <w:rsid w:val="00DF57BA"/>
    <w:rsid w:val="00DF57D9"/>
    <w:rsid w:val="00DF5B07"/>
    <w:rsid w:val="00DF60B9"/>
    <w:rsid w:val="00DF63B7"/>
    <w:rsid w:val="00DF6D33"/>
    <w:rsid w:val="00DF70AF"/>
    <w:rsid w:val="00DF7391"/>
    <w:rsid w:val="00DF7A99"/>
    <w:rsid w:val="00DF7F52"/>
    <w:rsid w:val="00E005B9"/>
    <w:rsid w:val="00E006ED"/>
    <w:rsid w:val="00E00995"/>
    <w:rsid w:val="00E00FCB"/>
    <w:rsid w:val="00E010CD"/>
    <w:rsid w:val="00E01123"/>
    <w:rsid w:val="00E01167"/>
    <w:rsid w:val="00E013F5"/>
    <w:rsid w:val="00E01786"/>
    <w:rsid w:val="00E017F2"/>
    <w:rsid w:val="00E01872"/>
    <w:rsid w:val="00E01EA1"/>
    <w:rsid w:val="00E01FD3"/>
    <w:rsid w:val="00E020CB"/>
    <w:rsid w:val="00E02F87"/>
    <w:rsid w:val="00E032C7"/>
    <w:rsid w:val="00E0453D"/>
    <w:rsid w:val="00E04697"/>
    <w:rsid w:val="00E04725"/>
    <w:rsid w:val="00E04ADC"/>
    <w:rsid w:val="00E04E59"/>
    <w:rsid w:val="00E05A30"/>
    <w:rsid w:val="00E05AE4"/>
    <w:rsid w:val="00E05E43"/>
    <w:rsid w:val="00E05F24"/>
    <w:rsid w:val="00E05F51"/>
    <w:rsid w:val="00E05FA6"/>
    <w:rsid w:val="00E068E2"/>
    <w:rsid w:val="00E06A96"/>
    <w:rsid w:val="00E07A52"/>
    <w:rsid w:val="00E100DB"/>
    <w:rsid w:val="00E1092E"/>
    <w:rsid w:val="00E11BA9"/>
    <w:rsid w:val="00E11D32"/>
    <w:rsid w:val="00E122AD"/>
    <w:rsid w:val="00E123C9"/>
    <w:rsid w:val="00E138C6"/>
    <w:rsid w:val="00E13994"/>
    <w:rsid w:val="00E13F37"/>
    <w:rsid w:val="00E141F1"/>
    <w:rsid w:val="00E1475E"/>
    <w:rsid w:val="00E1494D"/>
    <w:rsid w:val="00E152F5"/>
    <w:rsid w:val="00E15469"/>
    <w:rsid w:val="00E15665"/>
    <w:rsid w:val="00E15A2F"/>
    <w:rsid w:val="00E15F33"/>
    <w:rsid w:val="00E1663F"/>
    <w:rsid w:val="00E173EC"/>
    <w:rsid w:val="00E17949"/>
    <w:rsid w:val="00E17EDB"/>
    <w:rsid w:val="00E17F99"/>
    <w:rsid w:val="00E202DB"/>
    <w:rsid w:val="00E208DF"/>
    <w:rsid w:val="00E20D38"/>
    <w:rsid w:val="00E20FA1"/>
    <w:rsid w:val="00E2125E"/>
    <w:rsid w:val="00E21D7D"/>
    <w:rsid w:val="00E220FC"/>
    <w:rsid w:val="00E222C2"/>
    <w:rsid w:val="00E22702"/>
    <w:rsid w:val="00E22855"/>
    <w:rsid w:val="00E229EA"/>
    <w:rsid w:val="00E23BD7"/>
    <w:rsid w:val="00E2419D"/>
    <w:rsid w:val="00E24A2A"/>
    <w:rsid w:val="00E24E57"/>
    <w:rsid w:val="00E24F18"/>
    <w:rsid w:val="00E253D6"/>
    <w:rsid w:val="00E25474"/>
    <w:rsid w:val="00E2688B"/>
    <w:rsid w:val="00E270C9"/>
    <w:rsid w:val="00E2736F"/>
    <w:rsid w:val="00E273F8"/>
    <w:rsid w:val="00E2773A"/>
    <w:rsid w:val="00E2777E"/>
    <w:rsid w:val="00E278E9"/>
    <w:rsid w:val="00E27BAB"/>
    <w:rsid w:val="00E27CD0"/>
    <w:rsid w:val="00E27E6F"/>
    <w:rsid w:val="00E302A6"/>
    <w:rsid w:val="00E3032A"/>
    <w:rsid w:val="00E30B4E"/>
    <w:rsid w:val="00E31B93"/>
    <w:rsid w:val="00E32282"/>
    <w:rsid w:val="00E325C1"/>
    <w:rsid w:val="00E326B8"/>
    <w:rsid w:val="00E32827"/>
    <w:rsid w:val="00E32EE5"/>
    <w:rsid w:val="00E32F93"/>
    <w:rsid w:val="00E330CB"/>
    <w:rsid w:val="00E34427"/>
    <w:rsid w:val="00E34819"/>
    <w:rsid w:val="00E35338"/>
    <w:rsid w:val="00E35700"/>
    <w:rsid w:val="00E363DA"/>
    <w:rsid w:val="00E36E14"/>
    <w:rsid w:val="00E36FD0"/>
    <w:rsid w:val="00E3718E"/>
    <w:rsid w:val="00E379F7"/>
    <w:rsid w:val="00E37B33"/>
    <w:rsid w:val="00E413FD"/>
    <w:rsid w:val="00E41A9A"/>
    <w:rsid w:val="00E42894"/>
    <w:rsid w:val="00E4310B"/>
    <w:rsid w:val="00E4322F"/>
    <w:rsid w:val="00E43272"/>
    <w:rsid w:val="00E439FF"/>
    <w:rsid w:val="00E43B9C"/>
    <w:rsid w:val="00E44FC8"/>
    <w:rsid w:val="00E45082"/>
    <w:rsid w:val="00E451EB"/>
    <w:rsid w:val="00E4530E"/>
    <w:rsid w:val="00E45C4A"/>
    <w:rsid w:val="00E45C61"/>
    <w:rsid w:val="00E45FB4"/>
    <w:rsid w:val="00E4605C"/>
    <w:rsid w:val="00E463AC"/>
    <w:rsid w:val="00E46711"/>
    <w:rsid w:val="00E47107"/>
    <w:rsid w:val="00E47FBD"/>
    <w:rsid w:val="00E500BC"/>
    <w:rsid w:val="00E50833"/>
    <w:rsid w:val="00E50A54"/>
    <w:rsid w:val="00E50C90"/>
    <w:rsid w:val="00E5132A"/>
    <w:rsid w:val="00E513DC"/>
    <w:rsid w:val="00E5185D"/>
    <w:rsid w:val="00E51A92"/>
    <w:rsid w:val="00E53341"/>
    <w:rsid w:val="00E53387"/>
    <w:rsid w:val="00E5366B"/>
    <w:rsid w:val="00E54836"/>
    <w:rsid w:val="00E54ACD"/>
    <w:rsid w:val="00E54B0A"/>
    <w:rsid w:val="00E54B2B"/>
    <w:rsid w:val="00E54B56"/>
    <w:rsid w:val="00E55270"/>
    <w:rsid w:val="00E5558F"/>
    <w:rsid w:val="00E56C76"/>
    <w:rsid w:val="00E56E7D"/>
    <w:rsid w:val="00E57030"/>
    <w:rsid w:val="00E57445"/>
    <w:rsid w:val="00E6006E"/>
    <w:rsid w:val="00E607BC"/>
    <w:rsid w:val="00E61148"/>
    <w:rsid w:val="00E615FD"/>
    <w:rsid w:val="00E61632"/>
    <w:rsid w:val="00E61643"/>
    <w:rsid w:val="00E61767"/>
    <w:rsid w:val="00E6211E"/>
    <w:rsid w:val="00E621EB"/>
    <w:rsid w:val="00E622DC"/>
    <w:rsid w:val="00E6299F"/>
    <w:rsid w:val="00E63335"/>
    <w:rsid w:val="00E63852"/>
    <w:rsid w:val="00E6423F"/>
    <w:rsid w:val="00E6487B"/>
    <w:rsid w:val="00E64EA0"/>
    <w:rsid w:val="00E6500D"/>
    <w:rsid w:val="00E6564A"/>
    <w:rsid w:val="00E65AB6"/>
    <w:rsid w:val="00E65F72"/>
    <w:rsid w:val="00E664C5"/>
    <w:rsid w:val="00E668FE"/>
    <w:rsid w:val="00E66CF0"/>
    <w:rsid w:val="00E66E8B"/>
    <w:rsid w:val="00E676F6"/>
    <w:rsid w:val="00E702E3"/>
    <w:rsid w:val="00E7045A"/>
    <w:rsid w:val="00E7076E"/>
    <w:rsid w:val="00E70DD7"/>
    <w:rsid w:val="00E71121"/>
    <w:rsid w:val="00E71495"/>
    <w:rsid w:val="00E718C0"/>
    <w:rsid w:val="00E71912"/>
    <w:rsid w:val="00E71F64"/>
    <w:rsid w:val="00E72331"/>
    <w:rsid w:val="00E72E0C"/>
    <w:rsid w:val="00E72EE0"/>
    <w:rsid w:val="00E7308F"/>
    <w:rsid w:val="00E73340"/>
    <w:rsid w:val="00E73402"/>
    <w:rsid w:val="00E734FF"/>
    <w:rsid w:val="00E73549"/>
    <w:rsid w:val="00E73619"/>
    <w:rsid w:val="00E73659"/>
    <w:rsid w:val="00E7374B"/>
    <w:rsid w:val="00E7393B"/>
    <w:rsid w:val="00E741FB"/>
    <w:rsid w:val="00E74428"/>
    <w:rsid w:val="00E7478D"/>
    <w:rsid w:val="00E74FD0"/>
    <w:rsid w:val="00E75DEF"/>
    <w:rsid w:val="00E75EB6"/>
    <w:rsid w:val="00E7621F"/>
    <w:rsid w:val="00E7799E"/>
    <w:rsid w:val="00E77DB0"/>
    <w:rsid w:val="00E80079"/>
    <w:rsid w:val="00E80335"/>
    <w:rsid w:val="00E80532"/>
    <w:rsid w:val="00E805BB"/>
    <w:rsid w:val="00E80849"/>
    <w:rsid w:val="00E80F30"/>
    <w:rsid w:val="00E81760"/>
    <w:rsid w:val="00E81837"/>
    <w:rsid w:val="00E81A75"/>
    <w:rsid w:val="00E81EA0"/>
    <w:rsid w:val="00E82046"/>
    <w:rsid w:val="00E8223A"/>
    <w:rsid w:val="00E82794"/>
    <w:rsid w:val="00E82A6A"/>
    <w:rsid w:val="00E83129"/>
    <w:rsid w:val="00E83E12"/>
    <w:rsid w:val="00E83F9C"/>
    <w:rsid w:val="00E846C6"/>
    <w:rsid w:val="00E84732"/>
    <w:rsid w:val="00E84B1F"/>
    <w:rsid w:val="00E860F2"/>
    <w:rsid w:val="00E8620E"/>
    <w:rsid w:val="00E86A66"/>
    <w:rsid w:val="00E87A1D"/>
    <w:rsid w:val="00E90041"/>
    <w:rsid w:val="00E90193"/>
    <w:rsid w:val="00E91A7E"/>
    <w:rsid w:val="00E91C8E"/>
    <w:rsid w:val="00E91FED"/>
    <w:rsid w:val="00E926F6"/>
    <w:rsid w:val="00E92964"/>
    <w:rsid w:val="00E93EDB"/>
    <w:rsid w:val="00E940D2"/>
    <w:rsid w:val="00E94DEF"/>
    <w:rsid w:val="00E952CE"/>
    <w:rsid w:val="00E95A85"/>
    <w:rsid w:val="00E96224"/>
    <w:rsid w:val="00E96459"/>
    <w:rsid w:val="00E96A92"/>
    <w:rsid w:val="00E96B79"/>
    <w:rsid w:val="00E96C14"/>
    <w:rsid w:val="00E96CED"/>
    <w:rsid w:val="00E971E3"/>
    <w:rsid w:val="00E97BE7"/>
    <w:rsid w:val="00EA0435"/>
    <w:rsid w:val="00EA0B57"/>
    <w:rsid w:val="00EA0E2B"/>
    <w:rsid w:val="00EA0FF8"/>
    <w:rsid w:val="00EA1585"/>
    <w:rsid w:val="00EA1943"/>
    <w:rsid w:val="00EA2BEC"/>
    <w:rsid w:val="00EA2F16"/>
    <w:rsid w:val="00EA3411"/>
    <w:rsid w:val="00EA38A1"/>
    <w:rsid w:val="00EA3D0F"/>
    <w:rsid w:val="00EA3F66"/>
    <w:rsid w:val="00EA4099"/>
    <w:rsid w:val="00EA4245"/>
    <w:rsid w:val="00EA4885"/>
    <w:rsid w:val="00EA4BB3"/>
    <w:rsid w:val="00EA52B0"/>
    <w:rsid w:val="00EA5EB0"/>
    <w:rsid w:val="00EA612C"/>
    <w:rsid w:val="00EA64C0"/>
    <w:rsid w:val="00EA70DA"/>
    <w:rsid w:val="00EA716F"/>
    <w:rsid w:val="00EB09A7"/>
    <w:rsid w:val="00EB0D4C"/>
    <w:rsid w:val="00EB119A"/>
    <w:rsid w:val="00EB1AEE"/>
    <w:rsid w:val="00EB207B"/>
    <w:rsid w:val="00EB2701"/>
    <w:rsid w:val="00EB29F4"/>
    <w:rsid w:val="00EB308B"/>
    <w:rsid w:val="00EB337D"/>
    <w:rsid w:val="00EB356C"/>
    <w:rsid w:val="00EB39D0"/>
    <w:rsid w:val="00EB3AB9"/>
    <w:rsid w:val="00EB3F9D"/>
    <w:rsid w:val="00EB44F0"/>
    <w:rsid w:val="00EB47E1"/>
    <w:rsid w:val="00EB5928"/>
    <w:rsid w:val="00EB5DC6"/>
    <w:rsid w:val="00EB6978"/>
    <w:rsid w:val="00EB6CD5"/>
    <w:rsid w:val="00EB6D0F"/>
    <w:rsid w:val="00EB7172"/>
    <w:rsid w:val="00EC0174"/>
    <w:rsid w:val="00EC06F1"/>
    <w:rsid w:val="00EC0764"/>
    <w:rsid w:val="00EC0B7C"/>
    <w:rsid w:val="00EC15A0"/>
    <w:rsid w:val="00EC1780"/>
    <w:rsid w:val="00EC1FA1"/>
    <w:rsid w:val="00EC25BE"/>
    <w:rsid w:val="00EC2A2C"/>
    <w:rsid w:val="00EC2C77"/>
    <w:rsid w:val="00EC2FC2"/>
    <w:rsid w:val="00EC4067"/>
    <w:rsid w:val="00EC4449"/>
    <w:rsid w:val="00EC5051"/>
    <w:rsid w:val="00EC52B3"/>
    <w:rsid w:val="00EC5E17"/>
    <w:rsid w:val="00EC68B6"/>
    <w:rsid w:val="00EC69A4"/>
    <w:rsid w:val="00EC6B08"/>
    <w:rsid w:val="00EC73F5"/>
    <w:rsid w:val="00EC7553"/>
    <w:rsid w:val="00EC76DB"/>
    <w:rsid w:val="00ED06FE"/>
    <w:rsid w:val="00ED0C67"/>
    <w:rsid w:val="00ED12C0"/>
    <w:rsid w:val="00ED1420"/>
    <w:rsid w:val="00ED1958"/>
    <w:rsid w:val="00ED1D36"/>
    <w:rsid w:val="00ED268F"/>
    <w:rsid w:val="00ED297D"/>
    <w:rsid w:val="00ED2AF3"/>
    <w:rsid w:val="00ED4088"/>
    <w:rsid w:val="00ED4185"/>
    <w:rsid w:val="00ED4879"/>
    <w:rsid w:val="00ED4983"/>
    <w:rsid w:val="00ED4DA9"/>
    <w:rsid w:val="00ED517D"/>
    <w:rsid w:val="00ED533F"/>
    <w:rsid w:val="00ED55EF"/>
    <w:rsid w:val="00ED63AC"/>
    <w:rsid w:val="00ED6605"/>
    <w:rsid w:val="00ED6DD9"/>
    <w:rsid w:val="00ED7398"/>
    <w:rsid w:val="00ED7923"/>
    <w:rsid w:val="00ED7AAD"/>
    <w:rsid w:val="00ED7D07"/>
    <w:rsid w:val="00EE012D"/>
    <w:rsid w:val="00EE0164"/>
    <w:rsid w:val="00EE01BD"/>
    <w:rsid w:val="00EE03F8"/>
    <w:rsid w:val="00EE06E5"/>
    <w:rsid w:val="00EE07CF"/>
    <w:rsid w:val="00EE0C30"/>
    <w:rsid w:val="00EE0E3F"/>
    <w:rsid w:val="00EE0E5C"/>
    <w:rsid w:val="00EE1D1F"/>
    <w:rsid w:val="00EE23D2"/>
    <w:rsid w:val="00EE2E47"/>
    <w:rsid w:val="00EE2FDF"/>
    <w:rsid w:val="00EE3594"/>
    <w:rsid w:val="00EE369C"/>
    <w:rsid w:val="00EE3776"/>
    <w:rsid w:val="00EE3D1C"/>
    <w:rsid w:val="00EE3D32"/>
    <w:rsid w:val="00EE44F4"/>
    <w:rsid w:val="00EE4544"/>
    <w:rsid w:val="00EE46A6"/>
    <w:rsid w:val="00EE49AC"/>
    <w:rsid w:val="00EE4A54"/>
    <w:rsid w:val="00EE4AC7"/>
    <w:rsid w:val="00EE5879"/>
    <w:rsid w:val="00EE6F14"/>
    <w:rsid w:val="00EE6FEB"/>
    <w:rsid w:val="00EE704A"/>
    <w:rsid w:val="00EE70AF"/>
    <w:rsid w:val="00EE735D"/>
    <w:rsid w:val="00EE77F3"/>
    <w:rsid w:val="00EE7BB1"/>
    <w:rsid w:val="00EF07DF"/>
    <w:rsid w:val="00EF12DD"/>
    <w:rsid w:val="00EF1E62"/>
    <w:rsid w:val="00EF23B8"/>
    <w:rsid w:val="00EF2444"/>
    <w:rsid w:val="00EF2864"/>
    <w:rsid w:val="00EF2A2E"/>
    <w:rsid w:val="00EF2D67"/>
    <w:rsid w:val="00EF39D8"/>
    <w:rsid w:val="00EF3C35"/>
    <w:rsid w:val="00EF3E46"/>
    <w:rsid w:val="00EF3F23"/>
    <w:rsid w:val="00EF41B1"/>
    <w:rsid w:val="00EF42BA"/>
    <w:rsid w:val="00EF48D3"/>
    <w:rsid w:val="00EF4E2A"/>
    <w:rsid w:val="00EF5B76"/>
    <w:rsid w:val="00EF669C"/>
    <w:rsid w:val="00EF6A9D"/>
    <w:rsid w:val="00EF6B58"/>
    <w:rsid w:val="00EF6C20"/>
    <w:rsid w:val="00EF6F85"/>
    <w:rsid w:val="00EF72CA"/>
    <w:rsid w:val="00EF768A"/>
    <w:rsid w:val="00EF7AE6"/>
    <w:rsid w:val="00F00E58"/>
    <w:rsid w:val="00F0117C"/>
    <w:rsid w:val="00F01662"/>
    <w:rsid w:val="00F01665"/>
    <w:rsid w:val="00F01E94"/>
    <w:rsid w:val="00F01FF6"/>
    <w:rsid w:val="00F023EF"/>
    <w:rsid w:val="00F027A2"/>
    <w:rsid w:val="00F02B08"/>
    <w:rsid w:val="00F02E92"/>
    <w:rsid w:val="00F03090"/>
    <w:rsid w:val="00F0319C"/>
    <w:rsid w:val="00F03CDE"/>
    <w:rsid w:val="00F04382"/>
    <w:rsid w:val="00F04C89"/>
    <w:rsid w:val="00F04DCC"/>
    <w:rsid w:val="00F04E9B"/>
    <w:rsid w:val="00F04EA7"/>
    <w:rsid w:val="00F04F6F"/>
    <w:rsid w:val="00F05102"/>
    <w:rsid w:val="00F05140"/>
    <w:rsid w:val="00F05475"/>
    <w:rsid w:val="00F06351"/>
    <w:rsid w:val="00F07424"/>
    <w:rsid w:val="00F075E8"/>
    <w:rsid w:val="00F078AE"/>
    <w:rsid w:val="00F10587"/>
    <w:rsid w:val="00F10769"/>
    <w:rsid w:val="00F11352"/>
    <w:rsid w:val="00F11451"/>
    <w:rsid w:val="00F1232E"/>
    <w:rsid w:val="00F12C4D"/>
    <w:rsid w:val="00F1534E"/>
    <w:rsid w:val="00F162D4"/>
    <w:rsid w:val="00F16A55"/>
    <w:rsid w:val="00F17127"/>
    <w:rsid w:val="00F173EF"/>
    <w:rsid w:val="00F17AE4"/>
    <w:rsid w:val="00F20291"/>
    <w:rsid w:val="00F2058B"/>
    <w:rsid w:val="00F20EE8"/>
    <w:rsid w:val="00F22098"/>
    <w:rsid w:val="00F2296F"/>
    <w:rsid w:val="00F23022"/>
    <w:rsid w:val="00F23238"/>
    <w:rsid w:val="00F2328E"/>
    <w:rsid w:val="00F23AC0"/>
    <w:rsid w:val="00F24DF4"/>
    <w:rsid w:val="00F2500A"/>
    <w:rsid w:val="00F25AE6"/>
    <w:rsid w:val="00F25CD6"/>
    <w:rsid w:val="00F25DFE"/>
    <w:rsid w:val="00F2615A"/>
    <w:rsid w:val="00F26333"/>
    <w:rsid w:val="00F26D57"/>
    <w:rsid w:val="00F272A0"/>
    <w:rsid w:val="00F27540"/>
    <w:rsid w:val="00F2790D"/>
    <w:rsid w:val="00F27BC2"/>
    <w:rsid w:val="00F3140C"/>
    <w:rsid w:val="00F31F1C"/>
    <w:rsid w:val="00F3209B"/>
    <w:rsid w:val="00F3214C"/>
    <w:rsid w:val="00F32219"/>
    <w:rsid w:val="00F32381"/>
    <w:rsid w:val="00F32526"/>
    <w:rsid w:val="00F32571"/>
    <w:rsid w:val="00F32B71"/>
    <w:rsid w:val="00F33476"/>
    <w:rsid w:val="00F33F8D"/>
    <w:rsid w:val="00F35412"/>
    <w:rsid w:val="00F35923"/>
    <w:rsid w:val="00F35DCA"/>
    <w:rsid w:val="00F35E5E"/>
    <w:rsid w:val="00F35FE5"/>
    <w:rsid w:val="00F36133"/>
    <w:rsid w:val="00F36333"/>
    <w:rsid w:val="00F37332"/>
    <w:rsid w:val="00F37963"/>
    <w:rsid w:val="00F37AD1"/>
    <w:rsid w:val="00F37CB6"/>
    <w:rsid w:val="00F37F65"/>
    <w:rsid w:val="00F4010B"/>
    <w:rsid w:val="00F4070B"/>
    <w:rsid w:val="00F40F39"/>
    <w:rsid w:val="00F4116A"/>
    <w:rsid w:val="00F41979"/>
    <w:rsid w:val="00F42475"/>
    <w:rsid w:val="00F42546"/>
    <w:rsid w:val="00F427B8"/>
    <w:rsid w:val="00F43297"/>
    <w:rsid w:val="00F43362"/>
    <w:rsid w:val="00F43465"/>
    <w:rsid w:val="00F43F3B"/>
    <w:rsid w:val="00F44A06"/>
    <w:rsid w:val="00F46133"/>
    <w:rsid w:val="00F467F6"/>
    <w:rsid w:val="00F46AE9"/>
    <w:rsid w:val="00F46AFC"/>
    <w:rsid w:val="00F46D3E"/>
    <w:rsid w:val="00F46E42"/>
    <w:rsid w:val="00F4702C"/>
    <w:rsid w:val="00F47F88"/>
    <w:rsid w:val="00F502D8"/>
    <w:rsid w:val="00F505B8"/>
    <w:rsid w:val="00F507DE"/>
    <w:rsid w:val="00F51CE6"/>
    <w:rsid w:val="00F51F5A"/>
    <w:rsid w:val="00F5251A"/>
    <w:rsid w:val="00F52E99"/>
    <w:rsid w:val="00F52F6D"/>
    <w:rsid w:val="00F53074"/>
    <w:rsid w:val="00F534E2"/>
    <w:rsid w:val="00F53AFD"/>
    <w:rsid w:val="00F53EFE"/>
    <w:rsid w:val="00F55334"/>
    <w:rsid w:val="00F553D6"/>
    <w:rsid w:val="00F55BA6"/>
    <w:rsid w:val="00F56C14"/>
    <w:rsid w:val="00F56C35"/>
    <w:rsid w:val="00F56D33"/>
    <w:rsid w:val="00F57D07"/>
    <w:rsid w:val="00F603CB"/>
    <w:rsid w:val="00F6045A"/>
    <w:rsid w:val="00F60BA2"/>
    <w:rsid w:val="00F6101F"/>
    <w:rsid w:val="00F614EB"/>
    <w:rsid w:val="00F6197D"/>
    <w:rsid w:val="00F620F9"/>
    <w:rsid w:val="00F623B1"/>
    <w:rsid w:val="00F627A2"/>
    <w:rsid w:val="00F62844"/>
    <w:rsid w:val="00F62A67"/>
    <w:rsid w:val="00F63063"/>
    <w:rsid w:val="00F634F6"/>
    <w:rsid w:val="00F6354E"/>
    <w:rsid w:val="00F63551"/>
    <w:rsid w:val="00F63874"/>
    <w:rsid w:val="00F64177"/>
    <w:rsid w:val="00F64908"/>
    <w:rsid w:val="00F6523C"/>
    <w:rsid w:val="00F65658"/>
    <w:rsid w:val="00F70B84"/>
    <w:rsid w:val="00F70BC3"/>
    <w:rsid w:val="00F7152A"/>
    <w:rsid w:val="00F7173E"/>
    <w:rsid w:val="00F71D4C"/>
    <w:rsid w:val="00F720EB"/>
    <w:rsid w:val="00F722EC"/>
    <w:rsid w:val="00F72463"/>
    <w:rsid w:val="00F72473"/>
    <w:rsid w:val="00F725A2"/>
    <w:rsid w:val="00F73253"/>
    <w:rsid w:val="00F733D9"/>
    <w:rsid w:val="00F73D58"/>
    <w:rsid w:val="00F746BC"/>
    <w:rsid w:val="00F74B8A"/>
    <w:rsid w:val="00F74D0B"/>
    <w:rsid w:val="00F74DE5"/>
    <w:rsid w:val="00F7545B"/>
    <w:rsid w:val="00F7604A"/>
    <w:rsid w:val="00F76764"/>
    <w:rsid w:val="00F76BD7"/>
    <w:rsid w:val="00F7726A"/>
    <w:rsid w:val="00F77B4D"/>
    <w:rsid w:val="00F800FE"/>
    <w:rsid w:val="00F804CB"/>
    <w:rsid w:val="00F8070D"/>
    <w:rsid w:val="00F80C81"/>
    <w:rsid w:val="00F80CE4"/>
    <w:rsid w:val="00F814CA"/>
    <w:rsid w:val="00F8170A"/>
    <w:rsid w:val="00F821F7"/>
    <w:rsid w:val="00F82281"/>
    <w:rsid w:val="00F8244C"/>
    <w:rsid w:val="00F82DEB"/>
    <w:rsid w:val="00F82E45"/>
    <w:rsid w:val="00F82F72"/>
    <w:rsid w:val="00F82FDB"/>
    <w:rsid w:val="00F8395A"/>
    <w:rsid w:val="00F83C5C"/>
    <w:rsid w:val="00F83DD2"/>
    <w:rsid w:val="00F83E03"/>
    <w:rsid w:val="00F8441E"/>
    <w:rsid w:val="00F845CC"/>
    <w:rsid w:val="00F851AB"/>
    <w:rsid w:val="00F85E22"/>
    <w:rsid w:val="00F86225"/>
    <w:rsid w:val="00F864E5"/>
    <w:rsid w:val="00F8666B"/>
    <w:rsid w:val="00F87444"/>
    <w:rsid w:val="00F878A4"/>
    <w:rsid w:val="00F87B07"/>
    <w:rsid w:val="00F87E3B"/>
    <w:rsid w:val="00F909D1"/>
    <w:rsid w:val="00F9198E"/>
    <w:rsid w:val="00F91DA6"/>
    <w:rsid w:val="00F92797"/>
    <w:rsid w:val="00F938FF"/>
    <w:rsid w:val="00F94494"/>
    <w:rsid w:val="00F94880"/>
    <w:rsid w:val="00F94F12"/>
    <w:rsid w:val="00F9503D"/>
    <w:rsid w:val="00F9559A"/>
    <w:rsid w:val="00F956C3"/>
    <w:rsid w:val="00F957DB"/>
    <w:rsid w:val="00F95898"/>
    <w:rsid w:val="00F95B16"/>
    <w:rsid w:val="00F95EFA"/>
    <w:rsid w:val="00F95FB0"/>
    <w:rsid w:val="00F964D0"/>
    <w:rsid w:val="00F96D93"/>
    <w:rsid w:val="00F96D9A"/>
    <w:rsid w:val="00F9750A"/>
    <w:rsid w:val="00FA01CC"/>
    <w:rsid w:val="00FA1877"/>
    <w:rsid w:val="00FA1E8D"/>
    <w:rsid w:val="00FA1FDE"/>
    <w:rsid w:val="00FA2740"/>
    <w:rsid w:val="00FA2812"/>
    <w:rsid w:val="00FA33D2"/>
    <w:rsid w:val="00FA3A85"/>
    <w:rsid w:val="00FA3BEF"/>
    <w:rsid w:val="00FA47F1"/>
    <w:rsid w:val="00FA4F34"/>
    <w:rsid w:val="00FA4FDF"/>
    <w:rsid w:val="00FA5211"/>
    <w:rsid w:val="00FA5543"/>
    <w:rsid w:val="00FA69F0"/>
    <w:rsid w:val="00FA6B1E"/>
    <w:rsid w:val="00FA71E6"/>
    <w:rsid w:val="00FA7509"/>
    <w:rsid w:val="00FA772B"/>
    <w:rsid w:val="00FB016C"/>
    <w:rsid w:val="00FB038B"/>
    <w:rsid w:val="00FB05CF"/>
    <w:rsid w:val="00FB065B"/>
    <w:rsid w:val="00FB0D43"/>
    <w:rsid w:val="00FB113A"/>
    <w:rsid w:val="00FB11EF"/>
    <w:rsid w:val="00FB17F3"/>
    <w:rsid w:val="00FB31BD"/>
    <w:rsid w:val="00FB376C"/>
    <w:rsid w:val="00FB3EC3"/>
    <w:rsid w:val="00FB40C2"/>
    <w:rsid w:val="00FB4263"/>
    <w:rsid w:val="00FB4267"/>
    <w:rsid w:val="00FB44B7"/>
    <w:rsid w:val="00FB4D29"/>
    <w:rsid w:val="00FB4E93"/>
    <w:rsid w:val="00FB4EF7"/>
    <w:rsid w:val="00FB522D"/>
    <w:rsid w:val="00FB585F"/>
    <w:rsid w:val="00FB5F7C"/>
    <w:rsid w:val="00FB6098"/>
    <w:rsid w:val="00FB61C9"/>
    <w:rsid w:val="00FB6399"/>
    <w:rsid w:val="00FB6E1C"/>
    <w:rsid w:val="00FB6EEC"/>
    <w:rsid w:val="00FB73B8"/>
    <w:rsid w:val="00FB7432"/>
    <w:rsid w:val="00FB7440"/>
    <w:rsid w:val="00FB746C"/>
    <w:rsid w:val="00FB747C"/>
    <w:rsid w:val="00FB74A7"/>
    <w:rsid w:val="00FC0258"/>
    <w:rsid w:val="00FC0305"/>
    <w:rsid w:val="00FC06A3"/>
    <w:rsid w:val="00FC0875"/>
    <w:rsid w:val="00FC1B90"/>
    <w:rsid w:val="00FC1E2A"/>
    <w:rsid w:val="00FC2D8B"/>
    <w:rsid w:val="00FC32CF"/>
    <w:rsid w:val="00FC3DE2"/>
    <w:rsid w:val="00FC438F"/>
    <w:rsid w:val="00FC43CD"/>
    <w:rsid w:val="00FC4B82"/>
    <w:rsid w:val="00FC4B97"/>
    <w:rsid w:val="00FC4BC8"/>
    <w:rsid w:val="00FC500D"/>
    <w:rsid w:val="00FC5A82"/>
    <w:rsid w:val="00FC677C"/>
    <w:rsid w:val="00FC6957"/>
    <w:rsid w:val="00FC6B43"/>
    <w:rsid w:val="00FC6C2D"/>
    <w:rsid w:val="00FD0010"/>
    <w:rsid w:val="00FD0139"/>
    <w:rsid w:val="00FD0151"/>
    <w:rsid w:val="00FD0654"/>
    <w:rsid w:val="00FD0C73"/>
    <w:rsid w:val="00FD11FA"/>
    <w:rsid w:val="00FD1655"/>
    <w:rsid w:val="00FD20EC"/>
    <w:rsid w:val="00FD254A"/>
    <w:rsid w:val="00FD2BAC"/>
    <w:rsid w:val="00FD2DBF"/>
    <w:rsid w:val="00FD3160"/>
    <w:rsid w:val="00FD3306"/>
    <w:rsid w:val="00FD34E1"/>
    <w:rsid w:val="00FD36B1"/>
    <w:rsid w:val="00FD3FE4"/>
    <w:rsid w:val="00FD40E8"/>
    <w:rsid w:val="00FD43AF"/>
    <w:rsid w:val="00FD50ED"/>
    <w:rsid w:val="00FD52C3"/>
    <w:rsid w:val="00FD52DD"/>
    <w:rsid w:val="00FD57B0"/>
    <w:rsid w:val="00FD58E3"/>
    <w:rsid w:val="00FD5CC1"/>
    <w:rsid w:val="00FD5F13"/>
    <w:rsid w:val="00FD5F2C"/>
    <w:rsid w:val="00FD6828"/>
    <w:rsid w:val="00FD6A3D"/>
    <w:rsid w:val="00FD6FF6"/>
    <w:rsid w:val="00FD73E5"/>
    <w:rsid w:val="00FD7416"/>
    <w:rsid w:val="00FD768F"/>
    <w:rsid w:val="00FD7B5D"/>
    <w:rsid w:val="00FD7CBA"/>
    <w:rsid w:val="00FD7F31"/>
    <w:rsid w:val="00FD7F9A"/>
    <w:rsid w:val="00FE0E3E"/>
    <w:rsid w:val="00FE1084"/>
    <w:rsid w:val="00FE1366"/>
    <w:rsid w:val="00FE1390"/>
    <w:rsid w:val="00FE1643"/>
    <w:rsid w:val="00FE1BBB"/>
    <w:rsid w:val="00FE1F70"/>
    <w:rsid w:val="00FE346F"/>
    <w:rsid w:val="00FE3D43"/>
    <w:rsid w:val="00FE3F7B"/>
    <w:rsid w:val="00FE414C"/>
    <w:rsid w:val="00FE45F0"/>
    <w:rsid w:val="00FE56FC"/>
    <w:rsid w:val="00FE57FA"/>
    <w:rsid w:val="00FE59FD"/>
    <w:rsid w:val="00FE5E88"/>
    <w:rsid w:val="00FE673E"/>
    <w:rsid w:val="00FE6A5F"/>
    <w:rsid w:val="00FE752A"/>
    <w:rsid w:val="00FE75FC"/>
    <w:rsid w:val="00FE7D70"/>
    <w:rsid w:val="00FE7F80"/>
    <w:rsid w:val="00FE7F98"/>
    <w:rsid w:val="00FF00F7"/>
    <w:rsid w:val="00FF08F8"/>
    <w:rsid w:val="00FF0EF7"/>
    <w:rsid w:val="00FF0F15"/>
    <w:rsid w:val="00FF1BBA"/>
    <w:rsid w:val="00FF2550"/>
    <w:rsid w:val="00FF2A36"/>
    <w:rsid w:val="00FF2E7F"/>
    <w:rsid w:val="00FF306D"/>
    <w:rsid w:val="00FF318E"/>
    <w:rsid w:val="00FF385F"/>
    <w:rsid w:val="00FF3E3A"/>
    <w:rsid w:val="00FF4184"/>
    <w:rsid w:val="00FF4340"/>
    <w:rsid w:val="00FF43FF"/>
    <w:rsid w:val="00FF44EE"/>
    <w:rsid w:val="00FF4522"/>
    <w:rsid w:val="00FF4F65"/>
    <w:rsid w:val="00FF52E2"/>
    <w:rsid w:val="00FF55D6"/>
    <w:rsid w:val="00FF5B2B"/>
    <w:rsid w:val="00FF6872"/>
    <w:rsid w:val="00FF6C33"/>
    <w:rsid w:val="00FF6DA0"/>
    <w:rsid w:val="00FF781B"/>
    <w:rsid w:val="00FF78B2"/>
    <w:rsid w:val="03A6F5C8"/>
    <w:rsid w:val="07E657B8"/>
    <w:rsid w:val="106EE124"/>
    <w:rsid w:val="18CA6CF0"/>
    <w:rsid w:val="19B0B3B2"/>
    <w:rsid w:val="1BA7AE07"/>
    <w:rsid w:val="1E99C062"/>
    <w:rsid w:val="32678D08"/>
    <w:rsid w:val="3D02C9B9"/>
    <w:rsid w:val="4A684547"/>
    <w:rsid w:val="4F4EDE18"/>
    <w:rsid w:val="530C87A3"/>
    <w:rsid w:val="57F59453"/>
    <w:rsid w:val="63D2E047"/>
    <w:rsid w:val="653DEC70"/>
    <w:rsid w:val="731BB3D6"/>
    <w:rsid w:val="765E9DAA"/>
    <w:rsid w:val="7B02B36B"/>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331BE5"/>
  <w15:chartTrackingRefBased/>
  <w15:docId w15:val="{5A00FDCE-953A-4A55-B5DE-242F4CCE8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lsdException w:name="List 4" w:semiHidden="1" w:unhideWhenUsed="1"/>
    <w:lsdException w:name="List 5" w:semiHidden="1"/>
    <w:lsdException w:name="List Bullet 2" w:semiHidden="1" w:unhideWhenUsed="1" w:qFormat="1"/>
    <w:lsdException w:name="List Bullet 3" w:semiHidden="1" w:unhideWhenUsed="1" w:qFormat="1"/>
    <w:lsdException w:name="List Bullet 4" w:semiHidden="1" w:uiPriority="13"/>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qFormat="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2"/>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0"/>
    <w:unhideWhenUsed/>
    <w:qFormat/>
    <w:rsid w:val="00F83C5C"/>
    <w:pPr>
      <w:spacing w:before="120" w:after="120" w:line="280" w:lineRule="atLeast"/>
    </w:pPr>
    <w:rPr>
      <w:sz w:val="20"/>
      <w:szCs w:val="20"/>
    </w:rPr>
  </w:style>
  <w:style w:type="paragraph" w:styleId="Heading1">
    <w:name w:val="heading 1"/>
    <w:basedOn w:val="Normal"/>
    <w:next w:val="BodyText"/>
    <w:link w:val="Heading1Char"/>
    <w:uiPriority w:val="9"/>
    <w:qFormat/>
    <w:rsid w:val="00F83C5C"/>
    <w:pPr>
      <w:numPr>
        <w:numId w:val="13"/>
      </w:numPr>
      <w:pBdr>
        <w:top w:val="single" w:sz="4" w:space="31" w:color="265A9A" w:themeColor="background2"/>
        <w:left w:val="single" w:sz="4" w:space="26" w:color="265A9A" w:themeColor="background2"/>
        <w:bottom w:val="single" w:sz="4" w:space="26" w:color="265A9A" w:themeColor="background2"/>
        <w:right w:val="single" w:sz="4" w:space="26" w:color="265A9A" w:themeColor="background2"/>
      </w:pBdr>
      <w:shd w:val="clear" w:color="auto" w:fill="265A9A" w:themeFill="background2"/>
      <w:spacing w:before="240" w:after="480" w:line="504" w:lineRule="atLeast"/>
      <w:ind w:right="567"/>
      <w:outlineLvl w:val="0"/>
    </w:pPr>
    <w:rPr>
      <w:rFonts w:asciiTheme="majorHAnsi" w:hAnsiTheme="majorHAnsi"/>
      <w:color w:val="FFFFFF" w:themeColor="background1"/>
      <w:sz w:val="42"/>
    </w:rPr>
  </w:style>
  <w:style w:type="paragraph" w:styleId="Heading2">
    <w:name w:val="heading 2"/>
    <w:basedOn w:val="Normal"/>
    <w:next w:val="BodyText"/>
    <w:link w:val="Heading2Char"/>
    <w:uiPriority w:val="9"/>
    <w:qFormat/>
    <w:rsid w:val="00F83C5C"/>
    <w:pPr>
      <w:keepNext/>
      <w:keepLines/>
      <w:numPr>
        <w:ilvl w:val="2"/>
        <w:numId w:val="13"/>
      </w:numPr>
      <w:spacing w:before="480" w:line="340" w:lineRule="atLeast"/>
      <w:outlineLvl w:val="1"/>
    </w:pPr>
    <w:rPr>
      <w:rFonts w:asciiTheme="majorHAnsi" w:eastAsiaTheme="majorEastAsia" w:hAnsiTheme="majorHAnsi" w:cstheme="majorBidi"/>
      <w:sz w:val="30"/>
      <w:szCs w:val="60"/>
    </w:rPr>
  </w:style>
  <w:style w:type="paragraph" w:styleId="Heading3">
    <w:name w:val="heading 3"/>
    <w:basedOn w:val="Normal"/>
    <w:next w:val="BodyText"/>
    <w:link w:val="Heading3Char"/>
    <w:uiPriority w:val="9"/>
    <w:qFormat/>
    <w:rsid w:val="00F83C5C"/>
    <w:pPr>
      <w:keepNext/>
      <w:keepLines/>
      <w:spacing w:before="240" w:line="300" w:lineRule="atLeast"/>
      <w:outlineLvl w:val="2"/>
    </w:pPr>
    <w:rPr>
      <w:rFonts w:asciiTheme="majorHAnsi" w:eastAsiaTheme="majorEastAsia" w:hAnsiTheme="majorHAnsi" w:cstheme="majorBidi"/>
      <w:color w:val="2D9AC2" w:themeColor="text2" w:themeShade="BF"/>
      <w:sz w:val="26"/>
      <w:szCs w:val="37"/>
    </w:rPr>
  </w:style>
  <w:style w:type="paragraph" w:styleId="Heading4">
    <w:name w:val="heading 4"/>
    <w:basedOn w:val="Normal"/>
    <w:next w:val="BodyText"/>
    <w:link w:val="Heading4Char"/>
    <w:uiPriority w:val="9"/>
    <w:qFormat/>
    <w:rsid w:val="00F83C5C"/>
    <w:pPr>
      <w:keepNext/>
      <w:keepLines/>
      <w:spacing w:before="240" w:line="264" w:lineRule="atLeast"/>
      <w:outlineLvl w:val="3"/>
    </w:pPr>
    <w:rPr>
      <w:rFonts w:asciiTheme="majorHAnsi" w:eastAsiaTheme="majorEastAsia" w:hAnsiTheme="majorHAnsi" w:cstheme="majorBidi"/>
      <w:iCs/>
      <w:color w:val="265A9A" w:themeColor="background2"/>
      <w:sz w:val="22"/>
      <w:szCs w:val="33"/>
    </w:rPr>
  </w:style>
  <w:style w:type="paragraph" w:styleId="Heading5">
    <w:name w:val="heading 5"/>
    <w:basedOn w:val="Normal"/>
    <w:next w:val="BodyText"/>
    <w:link w:val="Heading5Char"/>
    <w:uiPriority w:val="9"/>
    <w:qFormat/>
    <w:rsid w:val="00F83C5C"/>
    <w:pPr>
      <w:keepNext/>
      <w:keepLines/>
      <w:spacing w:line="264" w:lineRule="atLeast"/>
      <w:outlineLvl w:val="4"/>
    </w:pPr>
    <w:rPr>
      <w:rFonts w:eastAsiaTheme="majorEastAsia" w:cstheme="majorBidi"/>
      <w:b/>
      <w:color w:val="265A9A" w:themeColor="background2"/>
      <w:sz w:val="22"/>
      <w:szCs w:val="29"/>
    </w:rPr>
  </w:style>
  <w:style w:type="paragraph" w:styleId="Heading6">
    <w:name w:val="heading 6"/>
    <w:basedOn w:val="Normal"/>
    <w:next w:val="BodyText"/>
    <w:link w:val="Heading6Char"/>
    <w:uiPriority w:val="9"/>
    <w:rsid w:val="00F83C5C"/>
    <w:pPr>
      <w:keepNext/>
      <w:keepLines/>
      <w:spacing w:line="240" w:lineRule="atLeast"/>
      <w:outlineLvl w:val="5"/>
    </w:pPr>
    <w:rPr>
      <w:rFonts w:eastAsiaTheme="majorEastAsia" w:cstheme="minorHAnsi"/>
      <w:b/>
      <w:bCs/>
      <w:i/>
      <w:color w:val="265A9A" w:themeColor="background2"/>
      <w:szCs w:val="24"/>
    </w:rPr>
  </w:style>
  <w:style w:type="paragraph" w:styleId="Heading7">
    <w:name w:val="heading 7"/>
    <w:basedOn w:val="Normal"/>
    <w:next w:val="Normal"/>
    <w:link w:val="Heading7Char"/>
    <w:uiPriority w:val="9"/>
    <w:semiHidden/>
    <w:qFormat/>
    <w:rsid w:val="00F83C5C"/>
    <w:pPr>
      <w:keepNext/>
      <w:keepLines/>
      <w:spacing w:line="240" w:lineRule="atLeast"/>
      <w:outlineLvl w:val="6"/>
    </w:pPr>
    <w:rPr>
      <w:rFonts w:eastAsiaTheme="majorEastAsia" w:cstheme="minorHAnsi"/>
      <w:b/>
      <w:bCs/>
      <w:i/>
      <w:iCs/>
      <w:color w:val="265A9A" w:themeColor="background2"/>
      <w:szCs w:val="22"/>
    </w:rPr>
  </w:style>
  <w:style w:type="paragraph" w:styleId="Heading8">
    <w:name w:val="heading 8"/>
    <w:basedOn w:val="Normal"/>
    <w:next w:val="Normal"/>
    <w:link w:val="Heading8Char"/>
    <w:uiPriority w:val="9"/>
    <w:semiHidden/>
    <w:qFormat/>
    <w:rsid w:val="00F83C5C"/>
    <w:pPr>
      <w:keepNext/>
      <w:keepLines/>
      <w:spacing w:after="0" w:line="293" w:lineRule="auto"/>
      <w:outlineLvl w:val="7"/>
    </w:pPr>
    <w:rPr>
      <w:rFonts w:eastAsiaTheme="majorEastAsia" w:cstheme="majorBidi"/>
      <w:b/>
      <w:sz w:val="18"/>
      <w:szCs w:val="21"/>
    </w:rPr>
  </w:style>
  <w:style w:type="paragraph" w:styleId="Heading9">
    <w:name w:val="heading 9"/>
    <w:basedOn w:val="Normal"/>
    <w:next w:val="Normal"/>
    <w:link w:val="Heading9Char"/>
    <w:uiPriority w:val="9"/>
    <w:semiHidden/>
    <w:rsid w:val="00F83C5C"/>
    <w:pPr>
      <w:spacing w:line="240" w:lineRule="auto"/>
      <w:outlineLvl w:val="8"/>
    </w:pPr>
    <w:rPr>
      <w:rFonts w:asciiTheme="majorHAnsi" w:hAnsiTheme="majorHAnsi"/>
      <w:color w:val="4D7028" w:themeColor="accent2"/>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83C5C"/>
    <w:rPr>
      <w:color w:val="808080"/>
    </w:rPr>
  </w:style>
  <w:style w:type="paragraph" w:styleId="Date">
    <w:name w:val="Date"/>
    <w:basedOn w:val="Normal"/>
    <w:next w:val="Normal"/>
    <w:link w:val="DateChar"/>
    <w:uiPriority w:val="99"/>
    <w:unhideWhenUsed/>
    <w:rsid w:val="00F83C5C"/>
    <w:pPr>
      <w:spacing w:after="360" w:line="293" w:lineRule="auto"/>
    </w:pPr>
  </w:style>
  <w:style w:type="character" w:customStyle="1" w:styleId="DateChar">
    <w:name w:val="Date Char"/>
    <w:basedOn w:val="DefaultParagraphFont"/>
    <w:link w:val="Date"/>
    <w:uiPriority w:val="99"/>
    <w:rsid w:val="00F83C5C"/>
    <w:rPr>
      <w:sz w:val="20"/>
      <w:szCs w:val="20"/>
    </w:rPr>
  </w:style>
  <w:style w:type="paragraph" w:styleId="NoSpacing">
    <w:name w:val="No Spacing"/>
    <w:basedOn w:val="Normal"/>
    <w:link w:val="NoSpacingChar"/>
    <w:uiPriority w:val="10"/>
    <w:qFormat/>
    <w:rsid w:val="00F83C5C"/>
    <w:pPr>
      <w:spacing w:before="0" w:after="0"/>
    </w:pPr>
  </w:style>
  <w:style w:type="paragraph" w:styleId="ListBullet">
    <w:name w:val="List Bullet"/>
    <w:basedOn w:val="Normal"/>
    <w:link w:val="ListBulletChar"/>
    <w:uiPriority w:val="1"/>
    <w:qFormat/>
    <w:rsid w:val="00415A0E"/>
    <w:pPr>
      <w:numPr>
        <w:numId w:val="17"/>
      </w:numPr>
      <w:contextualSpacing/>
    </w:pPr>
  </w:style>
  <w:style w:type="paragraph" w:styleId="ListBullet2">
    <w:name w:val="List Bullet 2"/>
    <w:basedOn w:val="Normal"/>
    <w:uiPriority w:val="1"/>
    <w:qFormat/>
    <w:rsid w:val="00415A0E"/>
    <w:pPr>
      <w:numPr>
        <w:ilvl w:val="1"/>
        <w:numId w:val="17"/>
      </w:numPr>
      <w:contextualSpacing/>
    </w:pPr>
  </w:style>
  <w:style w:type="paragraph" w:styleId="ListNumber">
    <w:name w:val="List Number"/>
    <w:basedOn w:val="Normal"/>
    <w:uiPriority w:val="2"/>
    <w:qFormat/>
    <w:rsid w:val="00F83C5C"/>
    <w:pPr>
      <w:numPr>
        <w:numId w:val="14"/>
      </w:numPr>
      <w:spacing w:before="60"/>
      <w:contextualSpacing/>
    </w:pPr>
  </w:style>
  <w:style w:type="numbering" w:customStyle="1" w:styleId="Bullets">
    <w:name w:val="Bullets"/>
    <w:uiPriority w:val="99"/>
    <w:rsid w:val="00F83C5C"/>
    <w:pPr>
      <w:numPr>
        <w:numId w:val="5"/>
      </w:numPr>
    </w:pPr>
  </w:style>
  <w:style w:type="character" w:customStyle="1" w:styleId="Heading1Char">
    <w:name w:val="Heading 1 Char"/>
    <w:basedOn w:val="DefaultParagraphFont"/>
    <w:link w:val="Heading1"/>
    <w:uiPriority w:val="9"/>
    <w:rsid w:val="00F83C5C"/>
    <w:rPr>
      <w:rFonts w:asciiTheme="majorHAnsi" w:hAnsiTheme="majorHAnsi"/>
      <w:color w:val="FFFFFF" w:themeColor="background1"/>
      <w:sz w:val="42"/>
      <w:szCs w:val="20"/>
      <w:shd w:val="clear" w:color="auto" w:fill="265A9A" w:themeFill="background2"/>
    </w:rPr>
  </w:style>
  <w:style w:type="paragraph" w:styleId="ListNumber2">
    <w:name w:val="List Number 2"/>
    <w:basedOn w:val="Normal"/>
    <w:uiPriority w:val="13"/>
    <w:qFormat/>
    <w:rsid w:val="00F83C5C"/>
    <w:pPr>
      <w:numPr>
        <w:ilvl w:val="1"/>
        <w:numId w:val="14"/>
      </w:numPr>
      <w:spacing w:before="60"/>
      <w:contextualSpacing/>
    </w:pPr>
  </w:style>
  <w:style w:type="character" w:customStyle="1" w:styleId="Heading2Char">
    <w:name w:val="Heading 2 Char"/>
    <w:basedOn w:val="DefaultParagraphFont"/>
    <w:link w:val="Heading2"/>
    <w:uiPriority w:val="9"/>
    <w:rsid w:val="00F83C5C"/>
    <w:rPr>
      <w:rFonts w:asciiTheme="majorHAnsi" w:eastAsiaTheme="majorEastAsia" w:hAnsiTheme="majorHAnsi" w:cstheme="majorBidi"/>
      <w:sz w:val="30"/>
      <w:szCs w:val="60"/>
    </w:rPr>
  </w:style>
  <w:style w:type="paragraph" w:styleId="ListParagraph">
    <w:name w:val="List Paragraph"/>
    <w:basedOn w:val="Normal"/>
    <w:link w:val="ListParagraphChar"/>
    <w:uiPriority w:val="34"/>
    <w:rsid w:val="00F83C5C"/>
    <w:pPr>
      <w:spacing w:line="293" w:lineRule="auto"/>
      <w:ind w:left="284"/>
      <w:contextualSpacing/>
    </w:pPr>
  </w:style>
  <w:style w:type="paragraph" w:styleId="Header">
    <w:name w:val="header"/>
    <w:basedOn w:val="Normal"/>
    <w:link w:val="HeaderChar"/>
    <w:uiPriority w:val="99"/>
    <w:unhideWhenUsed/>
    <w:rsid w:val="00F83C5C"/>
    <w:pPr>
      <w:tabs>
        <w:tab w:val="center" w:pos="4513"/>
        <w:tab w:val="right" w:pos="9026"/>
      </w:tabs>
      <w:spacing w:after="0" w:line="240" w:lineRule="auto"/>
    </w:pPr>
    <w:rPr>
      <w:sz w:val="16"/>
    </w:rPr>
  </w:style>
  <w:style w:type="character" w:customStyle="1" w:styleId="HeaderChar">
    <w:name w:val="Header Char"/>
    <w:basedOn w:val="DefaultParagraphFont"/>
    <w:link w:val="Header"/>
    <w:uiPriority w:val="99"/>
    <w:rsid w:val="00F83C5C"/>
    <w:rPr>
      <w:sz w:val="16"/>
      <w:szCs w:val="20"/>
    </w:rPr>
  </w:style>
  <w:style w:type="paragraph" w:styleId="Footer">
    <w:name w:val="footer"/>
    <w:basedOn w:val="Normal"/>
    <w:link w:val="FooterChar"/>
    <w:uiPriority w:val="11"/>
    <w:rsid w:val="00F83C5C"/>
    <w:pPr>
      <w:tabs>
        <w:tab w:val="center" w:pos="4513"/>
        <w:tab w:val="right" w:pos="9026"/>
      </w:tabs>
      <w:spacing w:after="0" w:line="240" w:lineRule="auto"/>
      <w:contextualSpacing/>
    </w:pPr>
    <w:rPr>
      <w:rFonts w:asciiTheme="majorHAnsi" w:hAnsiTheme="majorHAnsi"/>
      <w:sz w:val="17"/>
      <w:szCs w:val="22"/>
    </w:rPr>
  </w:style>
  <w:style w:type="character" w:customStyle="1" w:styleId="FooterChar">
    <w:name w:val="Footer Char"/>
    <w:basedOn w:val="DefaultParagraphFont"/>
    <w:link w:val="Footer"/>
    <w:uiPriority w:val="11"/>
    <w:rsid w:val="00F83C5C"/>
    <w:rPr>
      <w:rFonts w:asciiTheme="majorHAnsi" w:hAnsiTheme="majorHAnsi"/>
      <w:sz w:val="17"/>
    </w:rPr>
  </w:style>
  <w:style w:type="numbering" w:customStyle="1" w:styleId="Numbering">
    <w:name w:val="Numbering"/>
    <w:uiPriority w:val="99"/>
    <w:rsid w:val="00F83C5C"/>
    <w:pPr>
      <w:numPr>
        <w:numId w:val="14"/>
      </w:numPr>
    </w:pPr>
  </w:style>
  <w:style w:type="paragraph" w:styleId="ListBullet3">
    <w:name w:val="List Bullet 3"/>
    <w:basedOn w:val="Normal"/>
    <w:uiPriority w:val="1"/>
    <w:qFormat/>
    <w:rsid w:val="00AE528A"/>
    <w:pPr>
      <w:numPr>
        <w:ilvl w:val="2"/>
        <w:numId w:val="17"/>
      </w:numPr>
      <w:contextualSpacing/>
    </w:pPr>
  </w:style>
  <w:style w:type="paragraph" w:styleId="ListContinue2">
    <w:name w:val="List Continue 2"/>
    <w:basedOn w:val="Normal"/>
    <w:uiPriority w:val="3"/>
    <w:unhideWhenUsed/>
    <w:qFormat/>
    <w:rsid w:val="00F83C5C"/>
    <w:pPr>
      <w:spacing w:before="60"/>
      <w:ind w:left="454"/>
    </w:pPr>
  </w:style>
  <w:style w:type="paragraph" w:styleId="ListNumber3">
    <w:name w:val="List Number 3"/>
    <w:basedOn w:val="Normal"/>
    <w:uiPriority w:val="13"/>
    <w:qFormat/>
    <w:rsid w:val="00F83C5C"/>
    <w:pPr>
      <w:numPr>
        <w:ilvl w:val="2"/>
        <w:numId w:val="14"/>
      </w:numPr>
      <w:spacing w:before="60"/>
      <w:contextualSpacing/>
    </w:pPr>
  </w:style>
  <w:style w:type="paragraph" w:styleId="ListNumber4">
    <w:name w:val="List Number 4"/>
    <w:basedOn w:val="Normal"/>
    <w:uiPriority w:val="13"/>
    <w:semiHidden/>
    <w:qFormat/>
    <w:rsid w:val="00F83C5C"/>
    <w:pPr>
      <w:numPr>
        <w:ilvl w:val="3"/>
        <w:numId w:val="14"/>
      </w:numPr>
      <w:spacing w:after="200" w:line="293" w:lineRule="auto"/>
      <w:contextualSpacing/>
    </w:pPr>
  </w:style>
  <w:style w:type="paragraph" w:styleId="ListNumber5">
    <w:name w:val="List Number 5"/>
    <w:basedOn w:val="Normal"/>
    <w:uiPriority w:val="13"/>
    <w:semiHidden/>
    <w:rsid w:val="00F83C5C"/>
    <w:pPr>
      <w:numPr>
        <w:ilvl w:val="4"/>
        <w:numId w:val="14"/>
      </w:numPr>
      <w:spacing w:after="200" w:line="293" w:lineRule="auto"/>
      <w:contextualSpacing/>
    </w:pPr>
  </w:style>
  <w:style w:type="paragraph" w:styleId="ListContinue">
    <w:name w:val="List Continue"/>
    <w:basedOn w:val="Normal"/>
    <w:uiPriority w:val="3"/>
    <w:unhideWhenUsed/>
    <w:qFormat/>
    <w:rsid w:val="00F83C5C"/>
    <w:pPr>
      <w:spacing w:before="60"/>
      <w:ind w:left="227"/>
    </w:pPr>
  </w:style>
  <w:style w:type="paragraph" w:styleId="ListContinue3">
    <w:name w:val="List Continue 3"/>
    <w:basedOn w:val="Normal"/>
    <w:uiPriority w:val="3"/>
    <w:unhideWhenUsed/>
    <w:qFormat/>
    <w:rsid w:val="00F83C5C"/>
    <w:pPr>
      <w:spacing w:before="60"/>
      <w:ind w:left="907"/>
    </w:pPr>
  </w:style>
  <w:style w:type="paragraph" w:styleId="ListContinue4">
    <w:name w:val="List Continue 4"/>
    <w:basedOn w:val="Normal"/>
    <w:uiPriority w:val="3"/>
    <w:unhideWhenUsed/>
    <w:qFormat/>
    <w:rsid w:val="00F83C5C"/>
    <w:pPr>
      <w:spacing w:line="293" w:lineRule="auto"/>
      <w:ind w:left="907"/>
      <w:contextualSpacing/>
    </w:pPr>
  </w:style>
  <w:style w:type="character" w:customStyle="1" w:styleId="Heading3Char">
    <w:name w:val="Heading 3 Char"/>
    <w:basedOn w:val="DefaultParagraphFont"/>
    <w:link w:val="Heading3"/>
    <w:uiPriority w:val="9"/>
    <w:rsid w:val="00F83C5C"/>
    <w:rPr>
      <w:rFonts w:asciiTheme="majorHAnsi" w:eastAsiaTheme="majorEastAsia" w:hAnsiTheme="majorHAnsi" w:cstheme="majorBidi"/>
      <w:color w:val="2D9AC2" w:themeColor="text2" w:themeShade="BF"/>
      <w:sz w:val="26"/>
      <w:szCs w:val="37"/>
    </w:rPr>
  </w:style>
  <w:style w:type="character" w:customStyle="1" w:styleId="Heading4Char">
    <w:name w:val="Heading 4 Char"/>
    <w:basedOn w:val="DefaultParagraphFont"/>
    <w:link w:val="Heading4"/>
    <w:uiPriority w:val="9"/>
    <w:rsid w:val="00F83C5C"/>
    <w:rPr>
      <w:rFonts w:asciiTheme="majorHAnsi" w:eastAsiaTheme="majorEastAsia" w:hAnsiTheme="majorHAnsi" w:cstheme="majorBidi"/>
      <w:iCs/>
      <w:color w:val="265A9A" w:themeColor="background2"/>
      <w:szCs w:val="33"/>
    </w:rPr>
  </w:style>
  <w:style w:type="character" w:customStyle="1" w:styleId="Heading5Char">
    <w:name w:val="Heading 5 Char"/>
    <w:basedOn w:val="DefaultParagraphFont"/>
    <w:link w:val="Heading5"/>
    <w:uiPriority w:val="9"/>
    <w:rsid w:val="00F83C5C"/>
    <w:rPr>
      <w:rFonts w:eastAsiaTheme="majorEastAsia" w:cstheme="majorBidi"/>
      <w:b/>
      <w:color w:val="265A9A" w:themeColor="background2"/>
      <w:szCs w:val="29"/>
    </w:rPr>
  </w:style>
  <w:style w:type="numbering" w:customStyle="1" w:styleId="ListHeadings">
    <w:name w:val="List Headings"/>
    <w:uiPriority w:val="99"/>
    <w:rsid w:val="00F83C5C"/>
    <w:pPr>
      <w:numPr>
        <w:numId w:val="12"/>
      </w:numPr>
    </w:pPr>
  </w:style>
  <w:style w:type="paragraph" w:styleId="Title">
    <w:name w:val="Title"/>
    <w:basedOn w:val="Heading1"/>
    <w:next w:val="Normal"/>
    <w:link w:val="TitleChar"/>
    <w:uiPriority w:val="39"/>
    <w:rsid w:val="00F83C5C"/>
    <w:pPr>
      <w:numPr>
        <w:numId w:val="0"/>
      </w:numPr>
      <w:pBdr>
        <w:top w:val="none" w:sz="0" w:space="0" w:color="auto"/>
        <w:left w:val="none" w:sz="0" w:space="0" w:color="auto"/>
        <w:bottom w:val="none" w:sz="0" w:space="0" w:color="auto"/>
        <w:right w:val="none" w:sz="0" w:space="0" w:color="auto"/>
      </w:pBdr>
      <w:shd w:val="clear" w:color="auto" w:fill="auto"/>
      <w:spacing w:before="560" w:line="204" w:lineRule="auto"/>
      <w:ind w:right="2268"/>
      <w:contextualSpacing/>
    </w:pPr>
    <w:rPr>
      <w:rFonts w:eastAsiaTheme="majorEastAsia" w:cstheme="majorBidi"/>
      <w:kern w:val="28"/>
      <w:sz w:val="52"/>
      <w:szCs w:val="56"/>
    </w:rPr>
  </w:style>
  <w:style w:type="character" w:customStyle="1" w:styleId="TitleChar">
    <w:name w:val="Title Char"/>
    <w:basedOn w:val="DefaultParagraphFont"/>
    <w:link w:val="Title"/>
    <w:uiPriority w:val="39"/>
    <w:rsid w:val="00F83C5C"/>
    <w:rPr>
      <w:rFonts w:asciiTheme="majorHAnsi" w:eastAsiaTheme="majorEastAsia" w:hAnsiTheme="majorHAnsi" w:cstheme="majorBidi"/>
      <w:color w:val="FFFFFF" w:themeColor="background1"/>
      <w:kern w:val="28"/>
      <w:sz w:val="52"/>
      <w:szCs w:val="56"/>
    </w:rPr>
  </w:style>
  <w:style w:type="paragraph" w:customStyle="1" w:styleId="Pull-outQuote">
    <w:name w:val="Pull-out Quote"/>
    <w:basedOn w:val="Normal"/>
    <w:link w:val="Pull-outQuoteChar"/>
    <w:uiPriority w:val="99"/>
    <w:semiHidden/>
    <w:rsid w:val="00F83C5C"/>
    <w:pPr>
      <w:pBdr>
        <w:top w:val="single" w:sz="4" w:space="4" w:color="66BCDB" w:themeColor="text2"/>
        <w:left w:val="single" w:sz="4" w:space="4" w:color="66BCDB" w:themeColor="text2"/>
        <w:bottom w:val="single" w:sz="4" w:space="4" w:color="66BCDB" w:themeColor="text2"/>
        <w:right w:val="single" w:sz="4" w:space="4" w:color="66BCDB" w:themeColor="text2"/>
      </w:pBdr>
      <w:shd w:val="clear" w:color="auto" w:fill="66BCDB" w:themeFill="text2"/>
      <w:spacing w:line="293" w:lineRule="auto"/>
      <w:ind w:left="113" w:right="113"/>
    </w:pPr>
    <w:rPr>
      <w:color w:val="FFFFFF" w:themeColor="background1"/>
    </w:rPr>
  </w:style>
  <w:style w:type="paragraph" w:customStyle="1" w:styleId="Pull-outQuoteHeading">
    <w:name w:val="Pull-out Quote Heading"/>
    <w:basedOn w:val="Pull-outQuote"/>
    <w:next w:val="Pull-outQuote"/>
    <w:link w:val="Pull-outQuoteHeadingChar"/>
    <w:uiPriority w:val="99"/>
    <w:semiHidden/>
    <w:rsid w:val="00F83C5C"/>
    <w:rPr>
      <w:b/>
    </w:rPr>
  </w:style>
  <w:style w:type="character" w:customStyle="1" w:styleId="Pull-outQuoteChar">
    <w:name w:val="Pull-out Quote Char"/>
    <w:basedOn w:val="DefaultParagraphFont"/>
    <w:link w:val="Pull-outQuote"/>
    <w:uiPriority w:val="99"/>
    <w:semiHidden/>
    <w:rsid w:val="00F83C5C"/>
    <w:rPr>
      <w:color w:val="FFFFFF" w:themeColor="background1"/>
      <w:sz w:val="20"/>
      <w:szCs w:val="20"/>
      <w:shd w:val="clear" w:color="auto" w:fill="66BCDB" w:themeFill="text2"/>
    </w:rPr>
  </w:style>
  <w:style w:type="character" w:customStyle="1" w:styleId="Pull-outQuoteHeadingChar">
    <w:name w:val="Pull-out Quote Heading Char"/>
    <w:basedOn w:val="Pull-outQuoteChar"/>
    <w:link w:val="Pull-outQuoteHeading"/>
    <w:uiPriority w:val="99"/>
    <w:semiHidden/>
    <w:rsid w:val="00F83C5C"/>
    <w:rPr>
      <w:b/>
      <w:color w:val="FFFFFF" w:themeColor="background1"/>
      <w:sz w:val="20"/>
      <w:szCs w:val="20"/>
      <w:shd w:val="clear" w:color="auto" w:fill="66BCDB" w:themeFill="text2"/>
    </w:rPr>
  </w:style>
  <w:style w:type="paragraph" w:customStyle="1" w:styleId="NumberedHeading1">
    <w:name w:val="Numbered Heading 1"/>
    <w:basedOn w:val="Heading1"/>
    <w:next w:val="Normal"/>
    <w:link w:val="NumberedHeading1Char"/>
    <w:uiPriority w:val="9"/>
    <w:semiHidden/>
    <w:rsid w:val="00F83C5C"/>
  </w:style>
  <w:style w:type="paragraph" w:customStyle="1" w:styleId="NumberedHeading2">
    <w:name w:val="Numbered Heading 2"/>
    <w:basedOn w:val="Heading2"/>
    <w:next w:val="Normal"/>
    <w:link w:val="NumberedHeading2Char"/>
    <w:uiPriority w:val="9"/>
    <w:semiHidden/>
    <w:rsid w:val="00F83C5C"/>
  </w:style>
  <w:style w:type="character" w:customStyle="1" w:styleId="NumberedHeading1Char">
    <w:name w:val="Numbered Heading 1 Char"/>
    <w:basedOn w:val="Heading1Char"/>
    <w:link w:val="NumberedHeading1"/>
    <w:uiPriority w:val="9"/>
    <w:semiHidden/>
    <w:rsid w:val="00F83C5C"/>
    <w:rPr>
      <w:rFonts w:asciiTheme="majorHAnsi" w:hAnsiTheme="majorHAnsi"/>
      <w:color w:val="FFFFFF" w:themeColor="background1"/>
      <w:sz w:val="42"/>
      <w:szCs w:val="20"/>
      <w:shd w:val="clear" w:color="auto" w:fill="265A9A" w:themeFill="background2"/>
    </w:rPr>
  </w:style>
  <w:style w:type="character" w:customStyle="1" w:styleId="NumberedHeading2Char">
    <w:name w:val="Numbered Heading 2 Char"/>
    <w:basedOn w:val="Heading2Char"/>
    <w:link w:val="NumberedHeading2"/>
    <w:uiPriority w:val="9"/>
    <w:semiHidden/>
    <w:rsid w:val="00F83C5C"/>
    <w:rPr>
      <w:rFonts w:asciiTheme="majorHAnsi" w:eastAsiaTheme="majorEastAsia" w:hAnsiTheme="majorHAnsi" w:cstheme="majorBidi"/>
      <w:sz w:val="30"/>
      <w:szCs w:val="60"/>
    </w:rPr>
  </w:style>
  <w:style w:type="paragraph" w:styleId="ListContinue5">
    <w:name w:val="List Continue 5"/>
    <w:basedOn w:val="Normal"/>
    <w:uiPriority w:val="3"/>
    <w:unhideWhenUsed/>
    <w:qFormat/>
    <w:rsid w:val="00F83C5C"/>
    <w:pPr>
      <w:ind w:left="1134"/>
      <w:contextualSpacing/>
    </w:pPr>
  </w:style>
  <w:style w:type="table" w:styleId="TableGrid">
    <w:name w:val="Table Grid"/>
    <w:basedOn w:val="TableNormal"/>
    <w:uiPriority w:val="39"/>
    <w:rsid w:val="00F83C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4"/>
    <w:qFormat/>
    <w:rsid w:val="00F83C5C"/>
    <w:pPr>
      <w:spacing w:before="0" w:after="40"/>
    </w:pPr>
    <w:rPr>
      <w:rFonts w:asciiTheme="majorHAnsi" w:hAnsiTheme="majorHAnsi"/>
      <w:iCs/>
      <w:color w:val="000000" w:themeColor="text1"/>
      <w:szCs w:val="18"/>
    </w:rPr>
  </w:style>
  <w:style w:type="paragraph" w:styleId="List">
    <w:name w:val="List"/>
    <w:basedOn w:val="Normal"/>
    <w:uiPriority w:val="99"/>
    <w:semiHidden/>
    <w:qFormat/>
    <w:rsid w:val="00F83C5C"/>
    <w:pPr>
      <w:numPr>
        <w:numId w:val="9"/>
      </w:numPr>
      <w:spacing w:before="60"/>
    </w:pPr>
  </w:style>
  <w:style w:type="paragraph" w:styleId="List2">
    <w:name w:val="List 2"/>
    <w:basedOn w:val="Normal"/>
    <w:uiPriority w:val="99"/>
    <w:semiHidden/>
    <w:qFormat/>
    <w:rsid w:val="00F83C5C"/>
    <w:pPr>
      <w:numPr>
        <w:ilvl w:val="1"/>
        <w:numId w:val="9"/>
      </w:numPr>
      <w:spacing w:before="60"/>
    </w:pPr>
  </w:style>
  <w:style w:type="numbering" w:customStyle="1" w:styleId="LetteredList">
    <w:name w:val="Lettered List"/>
    <w:uiPriority w:val="99"/>
    <w:rsid w:val="00F83C5C"/>
    <w:pPr>
      <w:numPr>
        <w:numId w:val="8"/>
      </w:numPr>
    </w:pPr>
  </w:style>
  <w:style w:type="paragraph" w:styleId="Subtitle">
    <w:name w:val="Subtitle"/>
    <w:basedOn w:val="Normal"/>
    <w:next w:val="Normal"/>
    <w:link w:val="SubtitleChar"/>
    <w:uiPriority w:val="39"/>
    <w:rsid w:val="00F83C5C"/>
    <w:pPr>
      <w:numPr>
        <w:ilvl w:val="1"/>
      </w:numPr>
      <w:spacing w:before="240" w:after="240" w:line="240" w:lineRule="auto"/>
    </w:pPr>
    <w:rPr>
      <w:rFonts w:eastAsiaTheme="minorEastAsia"/>
      <w:color w:val="FFFFFF" w:themeColor="background1"/>
      <w:sz w:val="52"/>
    </w:rPr>
  </w:style>
  <w:style w:type="character" w:customStyle="1" w:styleId="SubtitleChar">
    <w:name w:val="Subtitle Char"/>
    <w:basedOn w:val="DefaultParagraphFont"/>
    <w:link w:val="Subtitle"/>
    <w:uiPriority w:val="39"/>
    <w:rsid w:val="00F83C5C"/>
    <w:rPr>
      <w:rFonts w:eastAsiaTheme="minorEastAsia"/>
      <w:color w:val="FFFFFF" w:themeColor="background1"/>
      <w:sz w:val="52"/>
      <w:szCs w:val="20"/>
    </w:rPr>
  </w:style>
  <w:style w:type="character" w:styleId="Strong">
    <w:name w:val="Strong"/>
    <w:basedOn w:val="DefaultParagraphFont"/>
    <w:uiPriority w:val="22"/>
    <w:qFormat/>
    <w:rsid w:val="00F83C5C"/>
    <w:rPr>
      <w:rFonts w:asciiTheme="minorHAnsi" w:hAnsiTheme="minorHAnsi"/>
      <w:b/>
      <w:bCs/>
    </w:rPr>
  </w:style>
  <w:style w:type="paragraph" w:customStyle="1" w:styleId="Header-Keyline">
    <w:name w:val="Header - Keyline"/>
    <w:basedOn w:val="Header"/>
    <w:link w:val="Header-KeylineChar"/>
    <w:uiPriority w:val="99"/>
    <w:rsid w:val="00F83C5C"/>
    <w:pPr>
      <w:pBdr>
        <w:bottom w:val="single" w:sz="4" w:space="31" w:color="66BCDB" w:themeColor="text2"/>
      </w:pBdr>
      <w:spacing w:after="600"/>
    </w:pPr>
  </w:style>
  <w:style w:type="character" w:customStyle="1" w:styleId="Heading6Char">
    <w:name w:val="Heading 6 Char"/>
    <w:basedOn w:val="DefaultParagraphFont"/>
    <w:link w:val="Heading6"/>
    <w:uiPriority w:val="9"/>
    <w:rsid w:val="00F83C5C"/>
    <w:rPr>
      <w:rFonts w:eastAsiaTheme="majorEastAsia" w:cstheme="minorHAnsi"/>
      <w:b/>
      <w:bCs/>
      <w:i/>
      <w:color w:val="265A9A" w:themeColor="background2"/>
      <w:sz w:val="20"/>
      <w:szCs w:val="24"/>
    </w:rPr>
  </w:style>
  <w:style w:type="character" w:customStyle="1" w:styleId="Header-KeylineChar">
    <w:name w:val="Header - Keyline Char"/>
    <w:basedOn w:val="HeaderChar"/>
    <w:link w:val="Header-Keyline"/>
    <w:uiPriority w:val="99"/>
    <w:rsid w:val="00F83C5C"/>
    <w:rPr>
      <w:sz w:val="16"/>
      <w:szCs w:val="20"/>
    </w:rPr>
  </w:style>
  <w:style w:type="character" w:customStyle="1" w:styleId="Heading7Char">
    <w:name w:val="Heading 7 Char"/>
    <w:basedOn w:val="DefaultParagraphFont"/>
    <w:link w:val="Heading7"/>
    <w:uiPriority w:val="9"/>
    <w:semiHidden/>
    <w:rsid w:val="00F83C5C"/>
    <w:rPr>
      <w:rFonts w:eastAsiaTheme="majorEastAsia" w:cstheme="minorHAnsi"/>
      <w:b/>
      <w:bCs/>
      <w:i/>
      <w:iCs/>
      <w:color w:val="265A9A" w:themeColor="background2"/>
      <w:sz w:val="20"/>
    </w:rPr>
  </w:style>
  <w:style w:type="character" w:customStyle="1" w:styleId="Heading8Char">
    <w:name w:val="Heading 8 Char"/>
    <w:basedOn w:val="DefaultParagraphFont"/>
    <w:link w:val="Heading8"/>
    <w:uiPriority w:val="9"/>
    <w:semiHidden/>
    <w:rsid w:val="00F83C5C"/>
    <w:rPr>
      <w:rFonts w:eastAsiaTheme="majorEastAsia" w:cstheme="majorBidi"/>
      <w:b/>
      <w:sz w:val="18"/>
      <w:szCs w:val="21"/>
    </w:rPr>
  </w:style>
  <w:style w:type="table" w:customStyle="1" w:styleId="ProductivityCommissionTable1">
    <w:name w:val="Productivity Commission Table 1"/>
    <w:basedOn w:val="TableNormal"/>
    <w:uiPriority w:val="99"/>
    <w:rsid w:val="00F83C5C"/>
    <w:pPr>
      <w:spacing w:after="0" w:line="240" w:lineRule="auto"/>
    </w:pPr>
    <w:tblPr>
      <w:tblStyleRowBandSize w:val="1"/>
      <w:tblBorders>
        <w:top w:val="single" w:sz="4" w:space="0" w:color="BFBFBF"/>
        <w:bottom w:val="single" w:sz="4" w:space="0" w:color="B3B3B3"/>
        <w:insideH w:val="single" w:sz="4" w:space="0" w:color="B3B3B3"/>
      </w:tblBorders>
      <w:tblCellMar>
        <w:top w:w="45" w:type="dxa"/>
        <w:left w:w="0" w:type="dxa"/>
        <w:bottom w:w="45" w:type="dxa"/>
      </w:tblCellMar>
    </w:tblPr>
    <w:tblStylePr w:type="firstRow">
      <w:rPr>
        <w:b/>
        <w:color w:val="265A9A" w:themeColor="background2"/>
      </w:rPr>
    </w:tblStylePr>
    <w:tblStylePr w:type="firstCol">
      <w:rPr>
        <w:b/>
        <w:color w:val="265A9A" w:themeColor="background2"/>
      </w:rPr>
    </w:tblStylePr>
    <w:tblStylePr w:type="band1Horz">
      <w:tblPr/>
      <w:tcPr>
        <w:shd w:val="clear" w:color="auto" w:fill="F1F1F2"/>
      </w:tcPr>
    </w:tblStylePr>
  </w:style>
  <w:style w:type="character" w:customStyle="1" w:styleId="Heading9Char">
    <w:name w:val="Heading 9 Char"/>
    <w:basedOn w:val="DefaultParagraphFont"/>
    <w:link w:val="Heading9"/>
    <w:uiPriority w:val="9"/>
    <w:semiHidden/>
    <w:rsid w:val="00F83C5C"/>
    <w:rPr>
      <w:rFonts w:asciiTheme="majorHAnsi" w:hAnsiTheme="majorHAnsi"/>
      <w:color w:val="4D7028" w:themeColor="accent2"/>
      <w:sz w:val="18"/>
      <w:szCs w:val="18"/>
    </w:rPr>
  </w:style>
  <w:style w:type="table" w:customStyle="1" w:styleId="ProductivityCommissionTable3">
    <w:name w:val="Productivity Commission Table 3"/>
    <w:basedOn w:val="TableNormal"/>
    <w:uiPriority w:val="99"/>
    <w:rsid w:val="00F83C5C"/>
    <w:pPr>
      <w:spacing w:after="0" w:line="240" w:lineRule="auto"/>
      <w:jc w:val="right"/>
    </w:pPr>
    <w:tblPr>
      <w:tblCellMar>
        <w:top w:w="45" w:type="dxa"/>
        <w:left w:w="0" w:type="dxa"/>
        <w:bottom w:w="45" w:type="dxa"/>
        <w:right w:w="28" w:type="dxa"/>
      </w:tblCellMar>
    </w:tblPr>
    <w:tblStylePr w:type="firstRow">
      <w:rPr>
        <w:b/>
        <w:color w:val="66BCDB" w:themeColor="text2"/>
      </w:rPr>
      <w:tblPr/>
      <w:tcPr>
        <w:tcBorders>
          <w:top w:val="nil"/>
          <w:left w:val="nil"/>
          <w:bottom w:val="single" w:sz="4" w:space="0" w:color="F4B123" w:themeColor="accent3"/>
          <w:right w:val="nil"/>
          <w:insideH w:val="nil"/>
          <w:insideV w:val="nil"/>
          <w:tl2br w:val="nil"/>
          <w:tr2bl w:val="nil"/>
        </w:tcBorders>
      </w:tcPr>
    </w:tblStylePr>
    <w:tblStylePr w:type="lastRow">
      <w:rPr>
        <w:b/>
      </w:rPr>
      <w:tblPr/>
      <w:tcPr>
        <w:tcBorders>
          <w:top w:val="single" w:sz="4" w:space="0" w:color="F4B123" w:themeColor="accent3"/>
          <w:left w:val="nil"/>
          <w:bottom w:val="single" w:sz="4" w:space="0" w:color="F4B123" w:themeColor="accent3"/>
          <w:right w:val="nil"/>
          <w:insideH w:val="nil"/>
          <w:insideV w:val="nil"/>
          <w:tl2br w:val="nil"/>
          <w:tr2bl w:val="nil"/>
        </w:tcBorders>
      </w:tcPr>
    </w:tblStylePr>
    <w:tblStylePr w:type="firstCol">
      <w:pPr>
        <w:jc w:val="left"/>
      </w:pPr>
    </w:tblStylePr>
  </w:style>
  <w:style w:type="paragraph" w:styleId="TOCHeading">
    <w:name w:val="TOC Heading"/>
    <w:next w:val="Normal"/>
    <w:uiPriority w:val="39"/>
    <w:unhideWhenUsed/>
    <w:qFormat/>
    <w:rsid w:val="00F83C5C"/>
    <w:pPr>
      <w:spacing w:before="240" w:after="240" w:line="500" w:lineRule="atLeast"/>
      <w:outlineLvl w:val="0"/>
    </w:pPr>
    <w:rPr>
      <w:rFonts w:asciiTheme="majorHAnsi" w:hAnsiTheme="majorHAnsi"/>
      <w:color w:val="265A9A" w:themeColor="background2"/>
      <w:sz w:val="42"/>
      <w:szCs w:val="20"/>
    </w:rPr>
  </w:style>
  <w:style w:type="paragraph" w:styleId="FootnoteText">
    <w:name w:val="footnote text"/>
    <w:basedOn w:val="Normal"/>
    <w:link w:val="FootnoteTextChar"/>
    <w:uiPriority w:val="99"/>
    <w:rsid w:val="00241424"/>
    <w:pPr>
      <w:spacing w:before="60" w:after="0" w:line="240" w:lineRule="exact"/>
      <w:contextualSpacing/>
    </w:pPr>
    <w:rPr>
      <w:sz w:val="18"/>
    </w:rPr>
  </w:style>
  <w:style w:type="paragraph" w:styleId="TOC1">
    <w:name w:val="toc 1"/>
    <w:basedOn w:val="Normal"/>
    <w:next w:val="BodyText"/>
    <w:link w:val="TOC1Char"/>
    <w:autoRedefine/>
    <w:uiPriority w:val="39"/>
    <w:unhideWhenUsed/>
    <w:rsid w:val="001F67C1"/>
    <w:pPr>
      <w:tabs>
        <w:tab w:val="left" w:pos="567"/>
        <w:tab w:val="right" w:pos="7938"/>
      </w:tabs>
      <w:spacing w:after="100" w:line="293" w:lineRule="auto"/>
      <w:ind w:left="567" w:right="1701" w:hanging="567"/>
    </w:pPr>
    <w:rPr>
      <w:rFonts w:asciiTheme="majorHAnsi" w:hAnsiTheme="majorHAnsi"/>
      <w:color w:val="265A9A" w:themeColor="background2"/>
    </w:rPr>
  </w:style>
  <w:style w:type="character" w:customStyle="1" w:styleId="FootnoteTextChar">
    <w:name w:val="Footnote Text Char"/>
    <w:basedOn w:val="DefaultParagraphFont"/>
    <w:link w:val="FootnoteText"/>
    <w:uiPriority w:val="99"/>
    <w:rsid w:val="00241424"/>
    <w:rPr>
      <w:sz w:val="18"/>
      <w:szCs w:val="20"/>
    </w:rPr>
  </w:style>
  <w:style w:type="character" w:styleId="FootnoteReference">
    <w:name w:val="footnote reference"/>
    <w:basedOn w:val="DefaultParagraphFont"/>
    <w:uiPriority w:val="99"/>
    <w:unhideWhenUsed/>
    <w:rsid w:val="00F83C5C"/>
    <w:rPr>
      <w:vertAlign w:val="superscript"/>
    </w:rPr>
  </w:style>
  <w:style w:type="character" w:styleId="Hyperlink">
    <w:name w:val="Hyperlink"/>
    <w:basedOn w:val="DefaultParagraphFont"/>
    <w:uiPriority w:val="99"/>
    <w:unhideWhenUsed/>
    <w:rsid w:val="00F83C5C"/>
    <w:rPr>
      <w:color w:val="000000" w:themeColor="hyperlink"/>
      <w:u w:val="single"/>
    </w:rPr>
  </w:style>
  <w:style w:type="character" w:styleId="HTMLVariable">
    <w:name w:val="HTML Variable"/>
    <w:basedOn w:val="DefaultParagraphFont"/>
    <w:uiPriority w:val="99"/>
    <w:unhideWhenUsed/>
    <w:rsid w:val="00F83C5C"/>
    <w:rPr>
      <w:i/>
      <w:iCs/>
    </w:rPr>
  </w:style>
  <w:style w:type="paragraph" w:styleId="TOC2">
    <w:name w:val="toc 2"/>
    <w:basedOn w:val="Normal"/>
    <w:next w:val="Normal"/>
    <w:autoRedefine/>
    <w:uiPriority w:val="39"/>
    <w:unhideWhenUsed/>
    <w:rsid w:val="00F83C5C"/>
    <w:pPr>
      <w:tabs>
        <w:tab w:val="left" w:pos="567"/>
        <w:tab w:val="left" w:pos="1134"/>
        <w:tab w:val="right" w:pos="7938"/>
      </w:tabs>
      <w:spacing w:after="100" w:line="293" w:lineRule="auto"/>
      <w:ind w:left="567" w:right="1701"/>
    </w:pPr>
    <w:rPr>
      <w:noProof/>
    </w:rPr>
  </w:style>
  <w:style w:type="paragraph" w:styleId="TOC3">
    <w:name w:val="toc 3"/>
    <w:basedOn w:val="Normal"/>
    <w:next w:val="Normal"/>
    <w:autoRedefine/>
    <w:uiPriority w:val="39"/>
    <w:unhideWhenUsed/>
    <w:rsid w:val="00F83C5C"/>
    <w:pPr>
      <w:tabs>
        <w:tab w:val="right" w:pos="7938"/>
      </w:tabs>
      <w:spacing w:after="100" w:line="293" w:lineRule="auto"/>
      <w:ind w:right="1701"/>
    </w:pPr>
    <w:rPr>
      <w:rFonts w:asciiTheme="majorHAnsi" w:hAnsiTheme="majorHAnsi"/>
      <w:color w:val="265A9A" w:themeColor="background2"/>
    </w:rPr>
  </w:style>
  <w:style w:type="paragraph" w:customStyle="1" w:styleId="Subtitle2">
    <w:name w:val="Subtitle 2"/>
    <w:basedOn w:val="Normal"/>
    <w:link w:val="Subtitle2Char"/>
    <w:uiPriority w:val="39"/>
    <w:rsid w:val="00F83C5C"/>
    <w:pPr>
      <w:spacing w:before="180" w:line="293" w:lineRule="auto"/>
    </w:pPr>
    <w:rPr>
      <w:rFonts w:asciiTheme="majorHAnsi" w:hAnsiTheme="majorHAnsi"/>
      <w:color w:val="FFFFFF" w:themeColor="background1"/>
      <w:spacing w:val="6"/>
      <w:sz w:val="28"/>
    </w:rPr>
  </w:style>
  <w:style w:type="paragraph" w:customStyle="1" w:styleId="Copyrightpage-Heading2">
    <w:name w:val="Copyright page-Heading 2"/>
    <w:basedOn w:val="NoSpacing"/>
    <w:link w:val="Copyrightpage-Heading2Char"/>
    <w:uiPriority w:val="19"/>
    <w:rsid w:val="00F83C5C"/>
    <w:pPr>
      <w:spacing w:before="240" w:after="60"/>
    </w:pPr>
    <w:rPr>
      <w:b/>
      <w:color w:val="FFFFFF" w:themeColor="background1"/>
      <w:sz w:val="16"/>
      <w:szCs w:val="16"/>
    </w:rPr>
  </w:style>
  <w:style w:type="character" w:customStyle="1" w:styleId="Subtitle2Char">
    <w:name w:val="Subtitle 2 Char"/>
    <w:basedOn w:val="DefaultParagraphFont"/>
    <w:link w:val="Subtitle2"/>
    <w:uiPriority w:val="39"/>
    <w:rsid w:val="00F83C5C"/>
    <w:rPr>
      <w:rFonts w:asciiTheme="majorHAnsi" w:hAnsiTheme="majorHAnsi"/>
      <w:color w:val="FFFFFF" w:themeColor="background1"/>
      <w:spacing w:val="6"/>
      <w:sz w:val="28"/>
      <w:szCs w:val="20"/>
    </w:rPr>
  </w:style>
  <w:style w:type="paragraph" w:customStyle="1" w:styleId="Copyrightpage-BodyText">
    <w:name w:val="Copyright page-Body Text"/>
    <w:basedOn w:val="Normal"/>
    <w:link w:val="Copyrightpage-BodyTextChar"/>
    <w:uiPriority w:val="19"/>
    <w:rsid w:val="00F83C5C"/>
    <w:pPr>
      <w:spacing w:before="80" w:line="250" w:lineRule="atLeast"/>
    </w:pPr>
    <w:rPr>
      <w:color w:val="FFFFFF" w:themeColor="background1"/>
      <w:sz w:val="16"/>
    </w:rPr>
  </w:style>
  <w:style w:type="character" w:customStyle="1" w:styleId="NoSpacingChar">
    <w:name w:val="No Spacing Char"/>
    <w:basedOn w:val="DefaultParagraphFont"/>
    <w:link w:val="NoSpacing"/>
    <w:uiPriority w:val="10"/>
    <w:rsid w:val="00F83C5C"/>
    <w:rPr>
      <w:sz w:val="20"/>
      <w:szCs w:val="20"/>
    </w:rPr>
  </w:style>
  <w:style w:type="character" w:customStyle="1" w:styleId="Copyrightpage-Heading2Char">
    <w:name w:val="Copyright page-Heading 2 Char"/>
    <w:basedOn w:val="NoSpacingChar"/>
    <w:link w:val="Copyrightpage-Heading2"/>
    <w:uiPriority w:val="19"/>
    <w:rsid w:val="00F83C5C"/>
    <w:rPr>
      <w:b/>
      <w:color w:val="FFFFFF" w:themeColor="background1"/>
      <w:sz w:val="16"/>
      <w:szCs w:val="16"/>
    </w:rPr>
  </w:style>
  <w:style w:type="paragraph" w:customStyle="1" w:styleId="Copyrightpage-Heading">
    <w:name w:val="Copyright page-Heading"/>
    <w:basedOn w:val="Subtitle2"/>
    <w:link w:val="Copyrightpage-HeadingChar"/>
    <w:uiPriority w:val="19"/>
    <w:rsid w:val="00F83C5C"/>
    <w:pPr>
      <w:spacing w:before="0" w:line="240" w:lineRule="auto"/>
    </w:pPr>
    <w:rPr>
      <w:spacing w:val="4"/>
      <w:sz w:val="19"/>
      <w:szCs w:val="18"/>
    </w:rPr>
  </w:style>
  <w:style w:type="character" w:customStyle="1" w:styleId="Copyrightpage-BodyTextChar">
    <w:name w:val="Copyright page-Body Text Char"/>
    <w:basedOn w:val="DefaultParagraphFont"/>
    <w:link w:val="Copyrightpage-BodyText"/>
    <w:uiPriority w:val="19"/>
    <w:rsid w:val="00F83C5C"/>
    <w:rPr>
      <w:color w:val="FFFFFF" w:themeColor="background1"/>
      <w:sz w:val="16"/>
      <w:szCs w:val="20"/>
    </w:rPr>
  </w:style>
  <w:style w:type="paragraph" w:customStyle="1" w:styleId="Subtitle4">
    <w:name w:val="Subtitle 4"/>
    <w:basedOn w:val="Copyrightpage-Heading"/>
    <w:link w:val="Subtitle4Char"/>
    <w:uiPriority w:val="39"/>
    <w:rsid w:val="00F83C5C"/>
    <w:pPr>
      <w:spacing w:after="40"/>
    </w:pPr>
    <w:rPr>
      <w:b/>
      <w:sz w:val="16"/>
    </w:rPr>
  </w:style>
  <w:style w:type="character" w:customStyle="1" w:styleId="Copyrightpage-HeadingChar">
    <w:name w:val="Copyright page-Heading Char"/>
    <w:basedOn w:val="Subtitle2Char"/>
    <w:link w:val="Copyrightpage-Heading"/>
    <w:uiPriority w:val="19"/>
    <w:rsid w:val="00F83C5C"/>
    <w:rPr>
      <w:rFonts w:asciiTheme="majorHAnsi" w:hAnsiTheme="majorHAnsi"/>
      <w:color w:val="FFFFFF" w:themeColor="background1"/>
      <w:spacing w:val="4"/>
      <w:sz w:val="19"/>
      <w:szCs w:val="18"/>
    </w:rPr>
  </w:style>
  <w:style w:type="paragraph" w:customStyle="1" w:styleId="Heading1-noTOC">
    <w:name w:val="Heading 1-no TOC"/>
    <w:next w:val="BodyText"/>
    <w:uiPriority w:val="9"/>
    <w:qFormat/>
    <w:rsid w:val="00F83C5C"/>
    <w:pPr>
      <w:spacing w:before="600" w:after="480" w:line="504" w:lineRule="atLeast"/>
    </w:pPr>
    <w:rPr>
      <w:rFonts w:asciiTheme="majorHAnsi" w:eastAsiaTheme="majorEastAsia" w:hAnsiTheme="majorHAnsi" w:cstheme="majorBidi"/>
      <w:b/>
      <w:color w:val="265A9A" w:themeColor="background2"/>
      <w:sz w:val="42"/>
      <w:szCs w:val="68"/>
    </w:rPr>
  </w:style>
  <w:style w:type="character" w:customStyle="1" w:styleId="Subtitle4Char">
    <w:name w:val="Subtitle 4 Char"/>
    <w:basedOn w:val="Copyrightpage-HeadingChar"/>
    <w:link w:val="Subtitle4"/>
    <w:uiPriority w:val="39"/>
    <w:rsid w:val="00F83C5C"/>
    <w:rPr>
      <w:rFonts w:asciiTheme="majorHAnsi" w:hAnsiTheme="majorHAnsi"/>
      <w:b/>
      <w:color w:val="FFFFFF" w:themeColor="background1"/>
      <w:spacing w:val="4"/>
      <w:sz w:val="16"/>
      <w:szCs w:val="18"/>
    </w:rPr>
  </w:style>
  <w:style w:type="paragraph" w:customStyle="1" w:styleId="Heading2-noTOC">
    <w:name w:val="Heading 2-no TOC"/>
    <w:next w:val="BodyText"/>
    <w:uiPriority w:val="9"/>
    <w:unhideWhenUsed/>
    <w:qFormat/>
    <w:rsid w:val="00F83C5C"/>
    <w:pPr>
      <w:spacing w:before="240" w:after="120" w:line="360" w:lineRule="atLeast"/>
    </w:pPr>
    <w:rPr>
      <w:rFonts w:asciiTheme="majorHAnsi" w:eastAsiaTheme="majorEastAsia" w:hAnsiTheme="majorHAnsi" w:cstheme="majorBidi"/>
      <w:sz w:val="30"/>
      <w:szCs w:val="60"/>
    </w:rPr>
  </w:style>
  <w:style w:type="paragraph" w:styleId="TOC4">
    <w:name w:val="toc 4"/>
    <w:basedOn w:val="Normal"/>
    <w:next w:val="Normal"/>
    <w:autoRedefine/>
    <w:uiPriority w:val="39"/>
    <w:unhideWhenUsed/>
    <w:rsid w:val="00F83C5C"/>
    <w:pPr>
      <w:tabs>
        <w:tab w:val="right" w:pos="7938"/>
        <w:tab w:val="right" w:pos="9628"/>
      </w:tabs>
      <w:spacing w:after="100" w:line="293" w:lineRule="auto"/>
      <w:ind w:left="567" w:right="1701"/>
    </w:pPr>
  </w:style>
  <w:style w:type="paragraph" w:customStyle="1" w:styleId="LetterRight">
    <w:name w:val="Letter Right"/>
    <w:basedOn w:val="Normal"/>
    <w:link w:val="LetterRightChar"/>
    <w:uiPriority w:val="99"/>
    <w:rsid w:val="00F83C5C"/>
    <w:pPr>
      <w:spacing w:line="360" w:lineRule="auto"/>
      <w:jc w:val="right"/>
    </w:pPr>
    <w:rPr>
      <w:sz w:val="16"/>
    </w:rPr>
  </w:style>
  <w:style w:type="paragraph" w:customStyle="1" w:styleId="Letterlogo">
    <w:name w:val="Letter logo"/>
    <w:basedOn w:val="LetterRight"/>
    <w:uiPriority w:val="99"/>
    <w:rsid w:val="00F83C5C"/>
    <w:pPr>
      <w:spacing w:after="320"/>
    </w:pPr>
  </w:style>
  <w:style w:type="character" w:customStyle="1" w:styleId="LetterRightChar">
    <w:name w:val="Letter Right Char"/>
    <w:basedOn w:val="DefaultParagraphFont"/>
    <w:link w:val="LetterRight"/>
    <w:uiPriority w:val="99"/>
    <w:rsid w:val="00F83C5C"/>
    <w:rPr>
      <w:sz w:val="16"/>
      <w:szCs w:val="20"/>
    </w:rPr>
  </w:style>
  <w:style w:type="character" w:styleId="UnresolvedMention">
    <w:name w:val="Unresolved Mention"/>
    <w:basedOn w:val="DefaultParagraphFont"/>
    <w:uiPriority w:val="99"/>
    <w:unhideWhenUsed/>
    <w:rsid w:val="00F83C5C"/>
    <w:rPr>
      <w:color w:val="605E5C"/>
      <w:shd w:val="clear" w:color="auto" w:fill="E1DFDD"/>
    </w:rPr>
  </w:style>
  <w:style w:type="paragraph" w:customStyle="1" w:styleId="LetterRight-NoSpace">
    <w:name w:val="Letter Right-No Space"/>
    <w:basedOn w:val="LetterRight"/>
    <w:uiPriority w:val="99"/>
    <w:rsid w:val="00F83C5C"/>
    <w:pPr>
      <w:spacing w:after="0"/>
    </w:pPr>
  </w:style>
  <w:style w:type="table" w:customStyle="1" w:styleId="Blank">
    <w:name w:val="Blank"/>
    <w:basedOn w:val="TableNormal"/>
    <w:uiPriority w:val="99"/>
    <w:rsid w:val="00F83C5C"/>
    <w:pPr>
      <w:spacing w:after="0" w:line="240" w:lineRule="auto"/>
    </w:pPr>
    <w:tblPr>
      <w:tblCellMar>
        <w:top w:w="57" w:type="dxa"/>
        <w:left w:w="0" w:type="dxa"/>
        <w:bottom w:w="57" w:type="dxa"/>
        <w:right w:w="0" w:type="dxa"/>
      </w:tblCellMar>
    </w:tblPr>
  </w:style>
  <w:style w:type="paragraph" w:styleId="ListBullet5">
    <w:name w:val="List Bullet 5"/>
    <w:basedOn w:val="Normal"/>
    <w:uiPriority w:val="13"/>
    <w:semiHidden/>
    <w:rsid w:val="00F83C5C"/>
    <w:pPr>
      <w:numPr>
        <w:numId w:val="11"/>
      </w:numPr>
      <w:contextualSpacing/>
    </w:pPr>
  </w:style>
  <w:style w:type="paragraph" w:customStyle="1" w:styleId="Coverdate">
    <w:name w:val="Cover date"/>
    <w:basedOn w:val="Normal"/>
    <w:uiPriority w:val="29"/>
    <w:rsid w:val="00F83C5C"/>
    <w:pPr>
      <w:framePr w:wrap="around" w:vAnchor="page" w:hAnchor="margin" w:xAlign="right" w:y="1135" w:anchorLock="1"/>
    </w:pPr>
  </w:style>
  <w:style w:type="table" w:customStyle="1" w:styleId="ProductivityCommissionTable2">
    <w:name w:val="Productivity Commission Table 2"/>
    <w:basedOn w:val="ProductivityCommissionTable1"/>
    <w:uiPriority w:val="99"/>
    <w:rsid w:val="00F83C5C"/>
    <w:tblPr>
      <w:tblBorders>
        <w:top w:val="single" w:sz="4" w:space="0" w:color="B3B3B3"/>
        <w:bottom w:val="none" w:sz="0" w:space="0" w:color="auto"/>
        <w:insideH w:val="none" w:sz="0" w:space="0" w:color="auto"/>
      </w:tblBorders>
      <w:tblCellMar>
        <w:top w:w="57" w:type="dxa"/>
        <w:left w:w="57" w:type="dxa"/>
        <w:bottom w:w="57" w:type="dxa"/>
        <w:right w:w="85" w:type="dxa"/>
      </w:tblCellMar>
    </w:tblPr>
    <w:tblStylePr w:type="firstRow">
      <w:rPr>
        <w:b/>
        <w:color w:val="265A9A" w:themeColor="background2"/>
      </w:rPr>
    </w:tblStylePr>
    <w:tblStylePr w:type="firstCol">
      <w:rPr>
        <w:b/>
        <w:color w:val="265A9A" w:themeColor="background2"/>
      </w:rPr>
    </w:tblStylePr>
    <w:tblStylePr w:type="band1Horz">
      <w:tblPr/>
      <w:tcPr>
        <w:shd w:val="clear" w:color="auto" w:fill="F1F1F2"/>
      </w:tcPr>
    </w:tblStylePr>
  </w:style>
  <w:style w:type="character" w:customStyle="1" w:styleId="White">
    <w:name w:val="White"/>
    <w:basedOn w:val="DefaultParagraphFont"/>
    <w:uiPriority w:val="10"/>
    <w:rsid w:val="00F83C5C"/>
    <w:rPr>
      <w:color w:val="FFFFFF" w:themeColor="background1"/>
    </w:rPr>
  </w:style>
  <w:style w:type="paragraph" w:customStyle="1" w:styleId="Copyrightpage-Keylinenotext">
    <w:name w:val="Copyright page-Keyline (no text)"/>
    <w:basedOn w:val="Copyrightpage-Heading2"/>
    <w:uiPriority w:val="19"/>
    <w:rsid w:val="00F83C5C"/>
    <w:pPr>
      <w:pBdr>
        <w:top w:val="single" w:sz="4" w:space="8" w:color="66BCDB" w:themeColor="text2"/>
      </w:pBdr>
      <w:spacing w:after="0" w:line="168" w:lineRule="auto"/>
    </w:pPr>
    <w:rPr>
      <w:b w:val="0"/>
      <w:color w:val="265A9A" w:themeColor="background2"/>
    </w:rPr>
  </w:style>
  <w:style w:type="table" w:customStyle="1" w:styleId="ProductivityCommissionTable4">
    <w:name w:val="Productivity Commission Table 4"/>
    <w:basedOn w:val="ProductivityCommissionTable3"/>
    <w:uiPriority w:val="99"/>
    <w:rsid w:val="00F83C5C"/>
    <w:pPr>
      <w:jc w:val="left"/>
    </w:pPr>
    <w:tblPr/>
    <w:tblStylePr w:type="firstRow">
      <w:rPr>
        <w:b/>
        <w:color w:val="265A9A" w:themeColor="background2"/>
      </w:rPr>
      <w:tblPr/>
      <w:tcPr>
        <w:tcBorders>
          <w:top w:val="nil"/>
          <w:left w:val="nil"/>
          <w:bottom w:val="single" w:sz="4" w:space="0" w:color="B3B3B3"/>
          <w:right w:val="nil"/>
          <w:insideH w:val="nil"/>
          <w:insideV w:val="nil"/>
          <w:tl2br w:val="nil"/>
          <w:tr2bl w:val="nil"/>
        </w:tcBorders>
      </w:tcPr>
    </w:tblStylePr>
    <w:tblStylePr w:type="lastRow">
      <w:rPr>
        <w:b/>
      </w:rPr>
      <w:tblPr/>
      <w:tcPr>
        <w:tcBorders>
          <w:top w:val="single" w:sz="4" w:space="0" w:color="B3B3B3"/>
          <w:left w:val="nil"/>
          <w:bottom w:val="single" w:sz="4" w:space="0" w:color="B3B3B3"/>
          <w:right w:val="nil"/>
          <w:insideH w:val="nil"/>
          <w:insideV w:val="nil"/>
          <w:tl2br w:val="nil"/>
          <w:tr2bl w:val="nil"/>
        </w:tcBorders>
      </w:tcPr>
    </w:tblStylePr>
    <w:tblStylePr w:type="firstCol">
      <w:pPr>
        <w:jc w:val="left"/>
      </w:pPr>
    </w:tblStylePr>
    <w:tblStylePr w:type="lastCol">
      <w:pPr>
        <w:jc w:val="right"/>
      </w:pPr>
    </w:tblStylePr>
  </w:style>
  <w:style w:type="paragraph" w:customStyle="1" w:styleId="TableHeading-Subheading">
    <w:name w:val="Table Heading - Subheading"/>
    <w:basedOn w:val="NoSpacing"/>
    <w:uiPriority w:val="40"/>
    <w:rsid w:val="00F83C5C"/>
    <w:rPr>
      <w:b/>
    </w:rPr>
  </w:style>
  <w:style w:type="paragraph" w:customStyle="1" w:styleId="CoverImage">
    <w:name w:val="Cover Image"/>
    <w:basedOn w:val="Normal"/>
    <w:uiPriority w:val="29"/>
    <w:rsid w:val="00F83C5C"/>
    <w:pPr>
      <w:framePr w:w="11913" w:h="4536" w:hRule="exact" w:wrap="around" w:vAnchor="page" w:hAnchor="page" w:y="2269" w:anchorLock="1"/>
      <w:spacing w:before="0" w:after="0" w:line="240" w:lineRule="auto"/>
    </w:pPr>
  </w:style>
  <w:style w:type="table" w:customStyle="1" w:styleId="NoBorderwithPadding">
    <w:name w:val="No Border with Padding"/>
    <w:basedOn w:val="TableNormal"/>
    <w:uiPriority w:val="99"/>
    <w:rsid w:val="00F83C5C"/>
    <w:pPr>
      <w:spacing w:after="0" w:line="240" w:lineRule="auto"/>
    </w:pPr>
    <w:tblPr>
      <w:tblCellMar>
        <w:top w:w="284" w:type="dxa"/>
        <w:left w:w="284" w:type="dxa"/>
        <w:bottom w:w="284" w:type="dxa"/>
        <w:right w:w="284" w:type="dxa"/>
      </w:tblCellMar>
    </w:tblPr>
  </w:style>
  <w:style w:type="table" w:customStyle="1" w:styleId="OverviewPageBannerTableStyle">
    <w:name w:val="Overview/Page Banner Table Style"/>
    <w:basedOn w:val="TableNormal"/>
    <w:uiPriority w:val="99"/>
    <w:rsid w:val="00F83C5C"/>
    <w:pPr>
      <w:spacing w:after="0" w:line="240" w:lineRule="auto"/>
    </w:pPr>
    <w:tblPr>
      <w:tblCellMar>
        <w:top w:w="567" w:type="dxa"/>
        <w:left w:w="567" w:type="dxa"/>
        <w:bottom w:w="680" w:type="dxa"/>
        <w:right w:w="1134" w:type="dxa"/>
      </w:tblCellMar>
    </w:tblPr>
    <w:tcPr>
      <w:shd w:val="clear" w:color="auto" w:fill="265A9A" w:themeFill="background2"/>
      <w:vAlign w:val="bottom"/>
    </w:tcPr>
  </w:style>
  <w:style w:type="paragraph" w:styleId="Quote">
    <w:name w:val="Quote"/>
    <w:basedOn w:val="BodyText"/>
    <w:next w:val="BodyText"/>
    <w:link w:val="QuoteChar"/>
    <w:uiPriority w:val="1"/>
    <w:qFormat/>
    <w:rsid w:val="00F83C5C"/>
    <w:pPr>
      <w:spacing w:before="60"/>
      <w:ind w:left="113" w:right="851"/>
    </w:pPr>
    <w:rPr>
      <w:color w:val="58585B"/>
    </w:rPr>
  </w:style>
  <w:style w:type="numbering" w:customStyle="1" w:styleId="TOCList">
    <w:name w:val="TOC List"/>
    <w:uiPriority w:val="99"/>
    <w:rsid w:val="00F83C5C"/>
    <w:pPr>
      <w:numPr>
        <w:numId w:val="16"/>
      </w:numPr>
    </w:pPr>
  </w:style>
  <w:style w:type="paragraph" w:customStyle="1" w:styleId="Heading1-Section-fullpage">
    <w:name w:val="Heading 1-Section-full page"/>
    <w:basedOn w:val="Heading1-nobackground"/>
    <w:uiPriority w:val="9"/>
    <w:qFormat/>
    <w:rsid w:val="00F83C5C"/>
    <w:pPr>
      <w:framePr w:w="9639" w:h="13041" w:hRule="exact" w:wrap="around" w:vAnchor="text" w:hAnchor="text" w:y="1" w:anchorLock="1"/>
      <w:pBdr>
        <w:top w:val="single" w:sz="4" w:space="31" w:color="265A9A" w:themeColor="background2"/>
        <w:left w:val="single" w:sz="4" w:space="26" w:color="265A9A" w:themeColor="background2"/>
        <w:bottom w:val="single" w:sz="4" w:space="26" w:color="265A9A" w:themeColor="background2"/>
        <w:right w:val="single" w:sz="4" w:space="26" w:color="265A9A" w:themeColor="background2"/>
      </w:pBdr>
      <w:shd w:val="clear" w:color="auto" w:fill="265A9A" w:themeFill="background2"/>
      <w:spacing w:before="0"/>
      <w:ind w:left="567" w:right="567"/>
    </w:pPr>
    <w:rPr>
      <w:color w:val="66BCDB" w:themeColor="text2"/>
    </w:rPr>
  </w:style>
  <w:style w:type="table" w:customStyle="1" w:styleId="Texttable-Paleblue">
    <w:name w:val="Text table-Pale blue"/>
    <w:basedOn w:val="TableNormal"/>
    <w:uiPriority w:val="99"/>
    <w:rsid w:val="00F83C5C"/>
    <w:pPr>
      <w:spacing w:after="0" w:line="240" w:lineRule="auto"/>
    </w:pPr>
    <w:tblPr>
      <w:tblCellMar>
        <w:top w:w="113" w:type="dxa"/>
        <w:left w:w="113" w:type="dxa"/>
        <w:bottom w:w="113" w:type="dxa"/>
        <w:right w:w="113" w:type="dxa"/>
      </w:tblCellMar>
    </w:tblPr>
    <w:tcPr>
      <w:shd w:val="clear" w:color="auto" w:fill="EFF9FE"/>
    </w:tcPr>
  </w:style>
  <w:style w:type="paragraph" w:customStyle="1" w:styleId="FigureTableHeading">
    <w:name w:val="Figure/Table Heading"/>
    <w:basedOn w:val="Caption"/>
    <w:uiPriority w:val="4"/>
    <w:qFormat/>
    <w:rsid w:val="00F83C5C"/>
    <w:pPr>
      <w:keepNext/>
      <w:spacing w:before="240"/>
    </w:pPr>
  </w:style>
  <w:style w:type="paragraph" w:customStyle="1" w:styleId="Source">
    <w:name w:val="Source"/>
    <w:basedOn w:val="Normal"/>
    <w:uiPriority w:val="9"/>
    <w:qFormat/>
    <w:rsid w:val="00F83C5C"/>
    <w:pPr>
      <w:spacing w:before="80" w:after="240" w:line="216" w:lineRule="atLeast"/>
    </w:pPr>
    <w:rPr>
      <w:sz w:val="18"/>
    </w:rPr>
  </w:style>
  <w:style w:type="paragraph" w:customStyle="1" w:styleId="Note">
    <w:name w:val="Note"/>
    <w:basedOn w:val="Source"/>
    <w:uiPriority w:val="9"/>
    <w:qFormat/>
    <w:rsid w:val="00F83C5C"/>
    <w:pPr>
      <w:spacing w:after="20"/>
    </w:pPr>
  </w:style>
  <w:style w:type="numbering" w:customStyle="1" w:styleId="Figure">
    <w:name w:val="Figure"/>
    <w:uiPriority w:val="99"/>
    <w:rsid w:val="00F83C5C"/>
    <w:pPr>
      <w:numPr>
        <w:numId w:val="6"/>
      </w:numPr>
    </w:pPr>
  </w:style>
  <w:style w:type="table" w:customStyle="1" w:styleId="Boxtable">
    <w:name w:val="Box table"/>
    <w:basedOn w:val="Texttable-Paleblue"/>
    <w:uiPriority w:val="99"/>
    <w:rsid w:val="00F83C5C"/>
    <w:tblPr>
      <w:tblCellMar>
        <w:top w:w="170" w:type="dxa"/>
        <w:left w:w="170" w:type="dxa"/>
        <w:bottom w:w="170" w:type="dxa"/>
        <w:right w:w="170" w:type="dxa"/>
      </w:tblCellMar>
    </w:tblPr>
    <w:tcPr>
      <w:shd w:val="clear" w:color="auto" w:fill="F4F5F6"/>
    </w:tcPr>
  </w:style>
  <w:style w:type="numbering" w:customStyle="1" w:styleId="BoxList">
    <w:name w:val="Box List"/>
    <w:uiPriority w:val="99"/>
    <w:rsid w:val="00F83C5C"/>
    <w:pPr>
      <w:numPr>
        <w:numId w:val="4"/>
      </w:numPr>
    </w:pPr>
  </w:style>
  <w:style w:type="paragraph" w:customStyle="1" w:styleId="BoxHeading2">
    <w:name w:val="Box Heading 2"/>
    <w:basedOn w:val="Normal"/>
    <w:next w:val="BodyText"/>
    <w:uiPriority w:val="4"/>
    <w:qFormat/>
    <w:rsid w:val="00F83C5C"/>
    <w:rPr>
      <w:b/>
    </w:rPr>
  </w:style>
  <w:style w:type="table" w:customStyle="1" w:styleId="ProductivityCommissionTable2-Dark">
    <w:name w:val="Productivity Commission Table 2 - Dark"/>
    <w:basedOn w:val="ProductivityCommissionTable2"/>
    <w:uiPriority w:val="99"/>
    <w:rsid w:val="00F83C5C"/>
    <w:tblPr>
      <w:tblBorders>
        <w:top w:val="none" w:sz="0" w:space="0" w:color="auto"/>
        <w:bottom w:val="single" w:sz="4" w:space="0" w:color="B3B3B3"/>
        <w:insideH w:val="single" w:sz="4" w:space="0" w:color="B3B3B3"/>
      </w:tblBorders>
    </w:tblPr>
    <w:tblStylePr w:type="firstRow">
      <w:rPr>
        <w:b/>
        <w:color w:val="265A9A" w:themeColor="background2"/>
      </w:rPr>
    </w:tblStylePr>
    <w:tblStylePr w:type="firstCol">
      <w:rPr>
        <w:b/>
        <w:color w:val="265A9A" w:themeColor="background2"/>
      </w:rPr>
    </w:tblStylePr>
    <w:tblStylePr w:type="band1Horz">
      <w:tblPr/>
      <w:tcPr>
        <w:shd w:val="clear" w:color="auto" w:fill="DCDDDE"/>
      </w:tcPr>
    </w:tblStylePr>
  </w:style>
  <w:style w:type="paragraph" w:customStyle="1" w:styleId="BoxHeading3">
    <w:name w:val="Box Heading 3"/>
    <w:basedOn w:val="BoxHeading2"/>
    <w:uiPriority w:val="4"/>
    <w:qFormat/>
    <w:rsid w:val="00F83C5C"/>
    <w:rPr>
      <w:i/>
    </w:rPr>
  </w:style>
  <w:style w:type="paragraph" w:customStyle="1" w:styleId="TableHeading">
    <w:name w:val="Table Heading"/>
    <w:basedOn w:val="NoSpacing"/>
    <w:uiPriority w:val="4"/>
    <w:qFormat/>
    <w:rsid w:val="00F83C5C"/>
    <w:pPr>
      <w:spacing w:after="20"/>
      <w:ind w:left="57"/>
    </w:pPr>
    <w:rPr>
      <w:b/>
      <w:color w:val="265A9A" w:themeColor="background2"/>
      <w:sz w:val="18"/>
    </w:rPr>
  </w:style>
  <w:style w:type="paragraph" w:customStyle="1" w:styleId="BodyText-Blue">
    <w:name w:val="Body Text-Blue"/>
    <w:basedOn w:val="BodyText"/>
    <w:link w:val="BodyText-BlueChar"/>
    <w:semiHidden/>
    <w:qFormat/>
    <w:rsid w:val="00F83C5C"/>
    <w:rPr>
      <w:color w:val="265A9A" w:themeColor="background2"/>
    </w:rPr>
  </w:style>
  <w:style w:type="table" w:customStyle="1" w:styleId="Texttable-Keyline">
    <w:name w:val="Text table-Keyline"/>
    <w:basedOn w:val="Texttable-Paleblue"/>
    <w:uiPriority w:val="99"/>
    <w:rsid w:val="00F83C5C"/>
    <w:tblPr>
      <w:tblBorders>
        <w:top w:val="single" w:sz="4" w:space="0" w:color="66BCDB" w:themeColor="text2"/>
        <w:left w:val="single" w:sz="4" w:space="0" w:color="66BCDB" w:themeColor="text2"/>
        <w:bottom w:val="single" w:sz="4" w:space="0" w:color="66BCDB" w:themeColor="text2"/>
        <w:right w:val="single" w:sz="4" w:space="0" w:color="66BCDB" w:themeColor="text2"/>
      </w:tblBorders>
    </w:tblPr>
    <w:tcPr>
      <w:shd w:val="clear" w:color="auto" w:fill="auto"/>
    </w:tcPr>
  </w:style>
  <w:style w:type="paragraph" w:customStyle="1" w:styleId="Header-KeylineRight">
    <w:name w:val="Header - Keyline Right"/>
    <w:basedOn w:val="Header-Keyline"/>
    <w:uiPriority w:val="99"/>
    <w:rsid w:val="00F83C5C"/>
    <w:pPr>
      <w:jc w:val="right"/>
    </w:pPr>
  </w:style>
  <w:style w:type="table" w:customStyle="1" w:styleId="CopyrightPage">
    <w:name w:val="Copyright Page"/>
    <w:basedOn w:val="OverviewPageBannerTableStyle"/>
    <w:uiPriority w:val="99"/>
    <w:rsid w:val="00F83C5C"/>
    <w:rPr>
      <w:color w:val="FFFFFF" w:themeColor="background1"/>
    </w:rPr>
    <w:tblPr>
      <w:tblCellMar>
        <w:top w:w="284" w:type="dxa"/>
        <w:left w:w="284" w:type="dxa"/>
        <w:bottom w:w="284" w:type="dxa"/>
        <w:right w:w="3119" w:type="dxa"/>
      </w:tblCellMar>
    </w:tblPr>
    <w:tcPr>
      <w:shd w:val="clear" w:color="auto" w:fill="265A9A" w:themeFill="background2"/>
    </w:tcPr>
  </w:style>
  <w:style w:type="paragraph" w:customStyle="1" w:styleId="Heading3-noTOC">
    <w:name w:val="Heading 3-no TOC"/>
    <w:basedOn w:val="Heading3"/>
    <w:uiPriority w:val="9"/>
    <w:qFormat/>
    <w:rsid w:val="00F83C5C"/>
    <w:pPr>
      <w:spacing w:line="312" w:lineRule="atLeast"/>
    </w:pPr>
    <w:rPr>
      <w:color w:val="2C9BC2"/>
    </w:rPr>
  </w:style>
  <w:style w:type="paragraph" w:styleId="BodyText">
    <w:name w:val="Body Text"/>
    <w:basedOn w:val="Normal"/>
    <w:link w:val="BodyTextChar"/>
    <w:qFormat/>
    <w:rsid w:val="00F83C5C"/>
  </w:style>
  <w:style w:type="character" w:customStyle="1" w:styleId="BodyTextChar">
    <w:name w:val="Body Text Char"/>
    <w:basedOn w:val="DefaultParagraphFont"/>
    <w:link w:val="BodyText"/>
    <w:rsid w:val="00F83C5C"/>
    <w:rPr>
      <w:sz w:val="20"/>
      <w:szCs w:val="20"/>
    </w:rPr>
  </w:style>
  <w:style w:type="paragraph" w:styleId="List4">
    <w:name w:val="List 4"/>
    <w:basedOn w:val="Normal"/>
    <w:uiPriority w:val="99"/>
    <w:semiHidden/>
    <w:rsid w:val="00F83C5C"/>
    <w:pPr>
      <w:numPr>
        <w:ilvl w:val="3"/>
        <w:numId w:val="9"/>
      </w:numPr>
      <w:contextualSpacing/>
    </w:pPr>
  </w:style>
  <w:style w:type="paragraph" w:styleId="List3">
    <w:name w:val="List 3"/>
    <w:basedOn w:val="Normal"/>
    <w:uiPriority w:val="99"/>
    <w:semiHidden/>
    <w:rsid w:val="00F83C5C"/>
    <w:pPr>
      <w:numPr>
        <w:ilvl w:val="2"/>
        <w:numId w:val="9"/>
      </w:numPr>
      <w:contextualSpacing/>
    </w:pPr>
  </w:style>
  <w:style w:type="paragraph" w:customStyle="1" w:styleId="Heading1-nonumber">
    <w:name w:val="Heading 1-no number"/>
    <w:basedOn w:val="Heading1"/>
    <w:next w:val="BodyText"/>
    <w:uiPriority w:val="9"/>
    <w:qFormat/>
    <w:rsid w:val="00F83C5C"/>
    <w:pPr>
      <w:numPr>
        <w:numId w:val="0"/>
      </w:numPr>
      <w:ind w:left="567"/>
    </w:pPr>
  </w:style>
  <w:style w:type="paragraph" w:customStyle="1" w:styleId="ListAlpha1">
    <w:name w:val="List Alpha 1"/>
    <w:basedOn w:val="Normal"/>
    <w:uiPriority w:val="3"/>
    <w:qFormat/>
    <w:rsid w:val="00F83C5C"/>
    <w:pPr>
      <w:numPr>
        <w:numId w:val="10"/>
      </w:numPr>
      <w:spacing w:before="60"/>
      <w:contextualSpacing/>
    </w:pPr>
  </w:style>
  <w:style w:type="paragraph" w:customStyle="1" w:styleId="ListAlpha2">
    <w:name w:val="List Alpha 2"/>
    <w:basedOn w:val="ListAlpha1"/>
    <w:uiPriority w:val="3"/>
    <w:qFormat/>
    <w:rsid w:val="00F83C5C"/>
    <w:pPr>
      <w:numPr>
        <w:ilvl w:val="1"/>
      </w:numPr>
    </w:pPr>
  </w:style>
  <w:style w:type="paragraph" w:customStyle="1" w:styleId="ListAlpha3">
    <w:name w:val="List Alpha 3"/>
    <w:basedOn w:val="ListAlpha2"/>
    <w:uiPriority w:val="3"/>
    <w:qFormat/>
    <w:rsid w:val="00F83C5C"/>
    <w:pPr>
      <w:numPr>
        <w:ilvl w:val="2"/>
      </w:numPr>
    </w:pPr>
  </w:style>
  <w:style w:type="paragraph" w:customStyle="1" w:styleId="ListAlpha4">
    <w:name w:val="List Alpha 4"/>
    <w:basedOn w:val="ListAlpha3"/>
    <w:uiPriority w:val="3"/>
    <w:semiHidden/>
    <w:qFormat/>
    <w:rsid w:val="00F83C5C"/>
    <w:pPr>
      <w:numPr>
        <w:ilvl w:val="3"/>
      </w:numPr>
    </w:pPr>
  </w:style>
  <w:style w:type="numbering" w:customStyle="1" w:styleId="Alphalist">
    <w:name w:val="Alpha list"/>
    <w:uiPriority w:val="99"/>
    <w:rsid w:val="00F83C5C"/>
    <w:pPr>
      <w:numPr>
        <w:numId w:val="1"/>
      </w:numPr>
    </w:pPr>
  </w:style>
  <w:style w:type="paragraph" w:customStyle="1" w:styleId="KeyPoints-Bold">
    <w:name w:val="Key Points-Bold"/>
    <w:basedOn w:val="Normal"/>
    <w:uiPriority w:val="10"/>
    <w:qFormat/>
    <w:rsid w:val="00F83C5C"/>
    <w:pPr>
      <w:spacing w:before="40" w:after="60" w:line="274" w:lineRule="atLeast"/>
    </w:pPr>
    <w:rPr>
      <w:b/>
      <w:sz w:val="18"/>
    </w:rPr>
  </w:style>
  <w:style w:type="paragraph" w:customStyle="1" w:styleId="Copyrightpage-BodyBold">
    <w:name w:val="Copyright page-Body Bold"/>
    <w:basedOn w:val="Copyrightpage-BodyText"/>
    <w:uiPriority w:val="19"/>
    <w:rsid w:val="00F83C5C"/>
    <w:rPr>
      <w:b/>
    </w:rPr>
  </w:style>
  <w:style w:type="paragraph" w:customStyle="1" w:styleId="KeyPoints-Bullet">
    <w:name w:val="Key Points-Bullet"/>
    <w:basedOn w:val="ListBullet"/>
    <w:uiPriority w:val="10"/>
    <w:qFormat/>
    <w:rsid w:val="00F83C5C"/>
    <w:pPr>
      <w:spacing w:after="60" w:line="274" w:lineRule="atLeast"/>
    </w:pPr>
    <w:rPr>
      <w:sz w:val="18"/>
    </w:rPr>
  </w:style>
  <w:style w:type="paragraph" w:customStyle="1" w:styleId="BodyText-Grey">
    <w:name w:val="Body Text-Grey"/>
    <w:basedOn w:val="BodyText"/>
    <w:link w:val="BodyText-GreyChar"/>
    <w:semiHidden/>
    <w:qFormat/>
    <w:rsid w:val="00F83C5C"/>
    <w:rPr>
      <w:color w:val="58585B"/>
    </w:rPr>
  </w:style>
  <w:style w:type="character" w:customStyle="1" w:styleId="BodyText-GreyChar">
    <w:name w:val="Body Text-Grey Char"/>
    <w:basedOn w:val="BodyTextChar"/>
    <w:link w:val="BodyText-Grey"/>
    <w:semiHidden/>
    <w:rsid w:val="00F83C5C"/>
    <w:rPr>
      <w:color w:val="58585B"/>
      <w:sz w:val="20"/>
      <w:szCs w:val="20"/>
    </w:rPr>
  </w:style>
  <w:style w:type="paragraph" w:styleId="BalloonText">
    <w:name w:val="Balloon Text"/>
    <w:basedOn w:val="Normal"/>
    <w:link w:val="BalloonTextChar"/>
    <w:uiPriority w:val="99"/>
    <w:unhideWhenUsed/>
    <w:rsid w:val="00F83C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F83C5C"/>
    <w:rPr>
      <w:rFonts w:ascii="Segoe UI" w:hAnsi="Segoe UI" w:cs="Segoe UI"/>
      <w:sz w:val="18"/>
      <w:szCs w:val="18"/>
    </w:rPr>
  </w:style>
  <w:style w:type="character" w:styleId="CommentReference">
    <w:name w:val="annotation reference"/>
    <w:basedOn w:val="DefaultParagraphFont"/>
    <w:uiPriority w:val="99"/>
    <w:unhideWhenUsed/>
    <w:rsid w:val="00F83C5C"/>
    <w:rPr>
      <w:sz w:val="16"/>
      <w:szCs w:val="16"/>
    </w:rPr>
  </w:style>
  <w:style w:type="paragraph" w:styleId="CommentText">
    <w:name w:val="annotation text"/>
    <w:basedOn w:val="Normal"/>
    <w:link w:val="CommentTextChar"/>
    <w:uiPriority w:val="99"/>
    <w:unhideWhenUsed/>
    <w:rsid w:val="00F83C5C"/>
    <w:pPr>
      <w:spacing w:line="240" w:lineRule="auto"/>
    </w:pPr>
  </w:style>
  <w:style w:type="character" w:customStyle="1" w:styleId="CommentTextChar">
    <w:name w:val="Comment Text Char"/>
    <w:basedOn w:val="DefaultParagraphFont"/>
    <w:link w:val="CommentText"/>
    <w:uiPriority w:val="99"/>
    <w:rsid w:val="00F83C5C"/>
    <w:rPr>
      <w:sz w:val="20"/>
      <w:szCs w:val="20"/>
    </w:rPr>
  </w:style>
  <w:style w:type="paragraph" w:styleId="CommentSubject">
    <w:name w:val="annotation subject"/>
    <w:basedOn w:val="CommentText"/>
    <w:next w:val="CommentText"/>
    <w:link w:val="CommentSubjectChar"/>
    <w:uiPriority w:val="99"/>
    <w:semiHidden/>
    <w:unhideWhenUsed/>
    <w:rsid w:val="00F83C5C"/>
    <w:rPr>
      <w:b/>
      <w:bCs/>
    </w:rPr>
  </w:style>
  <w:style w:type="character" w:customStyle="1" w:styleId="CommentSubjectChar">
    <w:name w:val="Comment Subject Char"/>
    <w:basedOn w:val="CommentTextChar"/>
    <w:link w:val="CommentSubject"/>
    <w:uiPriority w:val="99"/>
    <w:semiHidden/>
    <w:rsid w:val="00F83C5C"/>
    <w:rPr>
      <w:b/>
      <w:bCs/>
      <w:sz w:val="20"/>
      <w:szCs w:val="20"/>
    </w:rPr>
  </w:style>
  <w:style w:type="character" w:customStyle="1" w:styleId="ColourBlue">
    <w:name w:val="Colour Blue"/>
    <w:basedOn w:val="DefaultParagraphFont"/>
    <w:uiPriority w:val="22"/>
    <w:qFormat/>
    <w:rsid w:val="00F83C5C"/>
    <w:rPr>
      <w:color w:val="66BCDB" w:themeColor="text2"/>
    </w:rPr>
  </w:style>
  <w:style w:type="character" w:customStyle="1" w:styleId="ColourDarkBlue">
    <w:name w:val="Colour Dark Blue"/>
    <w:basedOn w:val="ColourBlue"/>
    <w:uiPriority w:val="22"/>
    <w:qFormat/>
    <w:rsid w:val="00F83C5C"/>
    <w:rPr>
      <w:color w:val="265A9A" w:themeColor="background2"/>
    </w:rPr>
  </w:style>
  <w:style w:type="paragraph" w:customStyle="1" w:styleId="BodyText-Beforebullet">
    <w:name w:val="Body Text-Before bullet"/>
    <w:basedOn w:val="BodyText"/>
    <w:link w:val="BodyText-BeforebulletChar"/>
    <w:semiHidden/>
    <w:unhideWhenUsed/>
    <w:rsid w:val="00F83C5C"/>
    <w:pPr>
      <w:spacing w:after="20"/>
    </w:pPr>
  </w:style>
  <w:style w:type="paragraph" w:customStyle="1" w:styleId="PullQuote">
    <w:name w:val="Pull Quote"/>
    <w:basedOn w:val="BodyText"/>
    <w:next w:val="BodyText"/>
    <w:uiPriority w:val="10"/>
    <w:qFormat/>
    <w:rsid w:val="00F83C5C"/>
    <w:pPr>
      <w:spacing w:before="60"/>
      <w:ind w:left="113" w:right="1134"/>
    </w:pPr>
    <w:rPr>
      <w:rFonts w:ascii="Arial Black" w:hAnsi="Arial Black"/>
      <w:color w:val="2C9BC2"/>
      <w:sz w:val="24"/>
    </w:rPr>
  </w:style>
  <w:style w:type="character" w:customStyle="1" w:styleId="BodyText-BeforebulletChar">
    <w:name w:val="Body Text-Before bullet Char"/>
    <w:basedOn w:val="BodyTextChar"/>
    <w:link w:val="BodyText-Beforebullet"/>
    <w:semiHidden/>
    <w:rsid w:val="00F83C5C"/>
    <w:rPr>
      <w:sz w:val="20"/>
      <w:szCs w:val="20"/>
    </w:rPr>
  </w:style>
  <w:style w:type="paragraph" w:customStyle="1" w:styleId="TableBody">
    <w:name w:val="Table Body"/>
    <w:basedOn w:val="NoSpacing"/>
    <w:uiPriority w:val="4"/>
    <w:qFormat/>
    <w:rsid w:val="00F83C5C"/>
    <w:pPr>
      <w:spacing w:after="20"/>
      <w:ind w:left="57"/>
    </w:pPr>
    <w:rPr>
      <w:sz w:val="18"/>
    </w:rPr>
  </w:style>
  <w:style w:type="paragraph" w:styleId="Revision">
    <w:name w:val="Revision"/>
    <w:hidden/>
    <w:uiPriority w:val="99"/>
    <w:semiHidden/>
    <w:rsid w:val="008D19FD"/>
    <w:pPr>
      <w:spacing w:after="0" w:line="240" w:lineRule="auto"/>
    </w:pPr>
    <w:rPr>
      <w:sz w:val="20"/>
      <w:szCs w:val="20"/>
    </w:rPr>
  </w:style>
  <w:style w:type="paragraph" w:customStyle="1" w:styleId="KeyPointsicon">
    <w:name w:val="Key Points icon"/>
    <w:basedOn w:val="Normal"/>
    <w:uiPriority w:val="10"/>
    <w:qFormat/>
    <w:rsid w:val="00F83C5C"/>
    <w:pPr>
      <w:spacing w:before="60"/>
      <w:jc w:val="right"/>
    </w:pPr>
  </w:style>
  <w:style w:type="paragraph" w:customStyle="1" w:styleId="FigureTableSubheading">
    <w:name w:val="Figure/Table Subheading"/>
    <w:basedOn w:val="FigureTableHeading"/>
    <w:uiPriority w:val="4"/>
    <w:qFormat/>
    <w:rsid w:val="00F83C5C"/>
    <w:pPr>
      <w:spacing w:before="40"/>
    </w:pPr>
    <w:rPr>
      <w:color w:val="58585B"/>
    </w:rPr>
  </w:style>
  <w:style w:type="table" w:customStyle="1" w:styleId="TextTable-Grey">
    <w:name w:val="Text Table-Grey"/>
    <w:basedOn w:val="Texttable-Paleblue"/>
    <w:uiPriority w:val="99"/>
    <w:rsid w:val="00F83C5C"/>
    <w:rPr>
      <w:color w:val="265A9A" w:themeColor="background2"/>
    </w:rPr>
    <w:tblPr/>
    <w:tcPr>
      <w:shd w:val="clear" w:color="auto" w:fill="F2F2F2"/>
    </w:tcPr>
  </w:style>
  <w:style w:type="character" w:customStyle="1" w:styleId="BodyText-BlueChar">
    <w:name w:val="Body Text-Blue Char"/>
    <w:basedOn w:val="BodyTextChar"/>
    <w:link w:val="BodyText-Blue"/>
    <w:semiHidden/>
    <w:rsid w:val="00F83C5C"/>
    <w:rPr>
      <w:color w:val="265A9A" w:themeColor="background2"/>
      <w:sz w:val="20"/>
      <w:szCs w:val="20"/>
    </w:rPr>
  </w:style>
  <w:style w:type="paragraph" w:customStyle="1" w:styleId="Heading3-nonumber">
    <w:name w:val="Heading 3-no number"/>
    <w:basedOn w:val="Heading3"/>
    <w:uiPriority w:val="9"/>
    <w:semiHidden/>
    <w:qFormat/>
    <w:rsid w:val="00F83C5C"/>
  </w:style>
  <w:style w:type="paragraph" w:customStyle="1" w:styleId="Heading1-nobackground">
    <w:name w:val="Heading 1-no background"/>
    <w:basedOn w:val="Heading1"/>
    <w:next w:val="BodyText"/>
    <w:uiPriority w:val="9"/>
    <w:qFormat/>
    <w:rsid w:val="00F83C5C"/>
    <w:pPr>
      <w:numPr>
        <w:numId w:val="0"/>
      </w:numPr>
      <w:pBdr>
        <w:top w:val="none" w:sz="0" w:space="0" w:color="auto"/>
        <w:left w:val="none" w:sz="0" w:space="0" w:color="auto"/>
        <w:bottom w:val="none" w:sz="0" w:space="0" w:color="auto"/>
        <w:right w:val="none" w:sz="0" w:space="0" w:color="auto"/>
      </w:pBdr>
      <w:shd w:val="clear" w:color="auto" w:fill="auto"/>
      <w:spacing w:before="600"/>
      <w:ind w:right="0"/>
    </w:pPr>
    <w:rPr>
      <w:color w:val="265A9A" w:themeColor="background2"/>
    </w:rPr>
  </w:style>
  <w:style w:type="character" w:customStyle="1" w:styleId="QuoteChar">
    <w:name w:val="Quote Char"/>
    <w:basedOn w:val="DefaultParagraphFont"/>
    <w:link w:val="Quote"/>
    <w:uiPriority w:val="1"/>
    <w:rsid w:val="00F83C5C"/>
    <w:rPr>
      <w:color w:val="58585B"/>
      <w:sz w:val="20"/>
      <w:szCs w:val="20"/>
    </w:rPr>
  </w:style>
  <w:style w:type="paragraph" w:customStyle="1" w:styleId="TableHeading-numbered">
    <w:name w:val="Table Heading-numbered"/>
    <w:basedOn w:val="Normal"/>
    <w:semiHidden/>
    <w:qFormat/>
    <w:rsid w:val="00F83C5C"/>
    <w:pPr>
      <w:numPr>
        <w:numId w:val="15"/>
      </w:numPr>
      <w:spacing w:before="60"/>
      <w:contextualSpacing/>
    </w:pPr>
    <w:rPr>
      <w:b/>
      <w:color w:val="265A9A" w:themeColor="background2"/>
    </w:rPr>
  </w:style>
  <w:style w:type="numbering" w:customStyle="1" w:styleId="TableList">
    <w:name w:val="TableList"/>
    <w:uiPriority w:val="99"/>
    <w:rsid w:val="00F83C5C"/>
    <w:pPr>
      <w:numPr>
        <w:numId w:val="15"/>
      </w:numPr>
    </w:pPr>
  </w:style>
  <w:style w:type="paragraph" w:customStyle="1" w:styleId="Footer-right">
    <w:name w:val="Footer-right"/>
    <w:basedOn w:val="Footer"/>
    <w:uiPriority w:val="11"/>
    <w:rsid w:val="00F83C5C"/>
    <w:pPr>
      <w:jc w:val="right"/>
    </w:pPr>
    <w:rPr>
      <w:szCs w:val="24"/>
    </w:rPr>
  </w:style>
  <w:style w:type="paragraph" w:customStyle="1" w:styleId="Heading2-nonumber">
    <w:name w:val="Heading 2-no number"/>
    <w:basedOn w:val="Heading2"/>
    <w:uiPriority w:val="9"/>
    <w:qFormat/>
    <w:rsid w:val="00F83C5C"/>
    <w:pPr>
      <w:numPr>
        <w:ilvl w:val="0"/>
        <w:numId w:val="0"/>
      </w:numPr>
    </w:pPr>
  </w:style>
  <w:style w:type="paragraph" w:customStyle="1" w:styleId="Heading-Appendix">
    <w:name w:val="Heading-Appendix"/>
    <w:basedOn w:val="Heading1-nonumber"/>
    <w:next w:val="BodyText"/>
    <w:uiPriority w:val="9"/>
    <w:qFormat/>
    <w:rsid w:val="00F83C5C"/>
    <w:pPr>
      <w:numPr>
        <w:numId w:val="7"/>
      </w:numPr>
    </w:pPr>
  </w:style>
  <w:style w:type="numbering" w:customStyle="1" w:styleId="AppendixHeading">
    <w:name w:val="AppendixHeading"/>
    <w:uiPriority w:val="99"/>
    <w:rsid w:val="00F83C5C"/>
    <w:pPr>
      <w:numPr>
        <w:numId w:val="3"/>
      </w:numPr>
    </w:pPr>
  </w:style>
  <w:style w:type="paragraph" w:customStyle="1" w:styleId="DraftingNote">
    <w:name w:val="Drafting Note"/>
    <w:basedOn w:val="BodyText"/>
    <w:link w:val="DraftingNoteChar"/>
    <w:qFormat/>
    <w:rsid w:val="00F83C5C"/>
    <w:pPr>
      <w:contextualSpacing/>
    </w:pPr>
    <w:rPr>
      <w:color w:val="A22D2B"/>
      <w:sz w:val="24"/>
      <w:u w:val="dotted"/>
    </w:rPr>
  </w:style>
  <w:style w:type="character" w:customStyle="1" w:styleId="DraftingNoteChar">
    <w:name w:val="Drafting Note Char"/>
    <w:basedOn w:val="BodyTextChar"/>
    <w:link w:val="DraftingNote"/>
    <w:rsid w:val="00F83C5C"/>
    <w:rPr>
      <w:color w:val="A22D2B"/>
      <w:sz w:val="24"/>
      <w:szCs w:val="20"/>
      <w:u w:val="dotted"/>
    </w:rPr>
  </w:style>
  <w:style w:type="paragraph" w:customStyle="1" w:styleId="BoxHeading1">
    <w:name w:val="Box Heading 1"/>
    <w:basedOn w:val="FigureTableHeading"/>
    <w:next w:val="BodyText"/>
    <w:uiPriority w:val="4"/>
    <w:qFormat/>
    <w:rsid w:val="00F83C5C"/>
    <w:pPr>
      <w:spacing w:after="0"/>
    </w:pPr>
  </w:style>
  <w:style w:type="character" w:styleId="Emphasis">
    <w:name w:val="Emphasis"/>
    <w:basedOn w:val="DefaultParagraphFont"/>
    <w:uiPriority w:val="22"/>
    <w:qFormat/>
    <w:rsid w:val="00F83C5C"/>
    <w:rPr>
      <w:i/>
      <w:iCs/>
    </w:rPr>
  </w:style>
  <w:style w:type="paragraph" w:customStyle="1" w:styleId="Reference">
    <w:name w:val="Reference"/>
    <w:basedOn w:val="BodyText"/>
    <w:qFormat/>
    <w:rsid w:val="00F83C5C"/>
    <w:pPr>
      <w:spacing w:before="0" w:after="60" w:line="200" w:lineRule="exact"/>
    </w:pPr>
    <w:rPr>
      <w:sz w:val="16"/>
    </w:rPr>
  </w:style>
  <w:style w:type="paragraph" w:customStyle="1" w:styleId="Keypoints-heading">
    <w:name w:val="Key points-heading"/>
    <w:basedOn w:val="Heading3"/>
    <w:uiPriority w:val="10"/>
    <w:qFormat/>
    <w:rsid w:val="00F83C5C"/>
    <w:rPr>
      <w:color w:val="auto"/>
    </w:rPr>
  </w:style>
  <w:style w:type="paragraph" w:customStyle="1" w:styleId="Heading2-Appendix">
    <w:name w:val="Heading 2-Appendix"/>
    <w:basedOn w:val="Heading2-nonumber"/>
    <w:next w:val="Normal"/>
    <w:uiPriority w:val="10"/>
    <w:qFormat/>
    <w:rsid w:val="00F83C5C"/>
    <w:pPr>
      <w:numPr>
        <w:ilvl w:val="1"/>
        <w:numId w:val="7"/>
      </w:numPr>
    </w:pPr>
  </w:style>
  <w:style w:type="numbering" w:customStyle="1" w:styleId="AppendixHeadingList">
    <w:name w:val="Appendix Heading List"/>
    <w:uiPriority w:val="99"/>
    <w:rsid w:val="00F83C5C"/>
    <w:pPr>
      <w:numPr>
        <w:numId w:val="2"/>
      </w:numPr>
    </w:pPr>
  </w:style>
  <w:style w:type="paragraph" w:customStyle="1" w:styleId="Space">
    <w:name w:val="Space"/>
    <w:basedOn w:val="BodyText"/>
    <w:uiPriority w:val="1"/>
    <w:rsid w:val="00F83C5C"/>
    <w:pPr>
      <w:spacing w:before="0" w:after="0"/>
    </w:pPr>
  </w:style>
  <w:style w:type="paragraph" w:customStyle="1" w:styleId="QuoteBullet">
    <w:name w:val="Quote Bullet"/>
    <w:basedOn w:val="ListBullet"/>
    <w:link w:val="QuoteBulletChar"/>
    <w:uiPriority w:val="1"/>
    <w:qFormat/>
    <w:rsid w:val="00F83C5C"/>
    <w:pPr>
      <w:spacing w:before="60"/>
      <w:ind w:left="340" w:right="851"/>
    </w:pPr>
    <w:rPr>
      <w:color w:val="58585B"/>
    </w:rPr>
  </w:style>
  <w:style w:type="character" w:customStyle="1" w:styleId="ListBulletChar">
    <w:name w:val="List Bullet Char"/>
    <w:basedOn w:val="DefaultParagraphFont"/>
    <w:link w:val="ListBullet"/>
    <w:uiPriority w:val="1"/>
    <w:rsid w:val="00415A0E"/>
    <w:rPr>
      <w:sz w:val="20"/>
      <w:szCs w:val="20"/>
    </w:rPr>
  </w:style>
  <w:style w:type="character" w:customStyle="1" w:styleId="QuoteBulletChar">
    <w:name w:val="Quote Bullet Char"/>
    <w:basedOn w:val="ListBulletChar"/>
    <w:link w:val="QuoteBullet"/>
    <w:uiPriority w:val="1"/>
    <w:rsid w:val="00F83C5C"/>
    <w:rPr>
      <w:color w:val="58585B"/>
      <w:sz w:val="20"/>
      <w:szCs w:val="20"/>
    </w:rPr>
  </w:style>
  <w:style w:type="paragraph" w:customStyle="1" w:styleId="Figurecharttitle">
    <w:name w:val="Figure chart title"/>
    <w:basedOn w:val="BodyText"/>
    <w:uiPriority w:val="10"/>
    <w:qFormat/>
    <w:rsid w:val="00F83C5C"/>
    <w:pPr>
      <w:spacing w:before="0" w:after="0"/>
      <w:ind w:left="284" w:hanging="284"/>
    </w:pPr>
    <w:rPr>
      <w:sz w:val="18"/>
      <w:szCs w:val="18"/>
    </w:rPr>
  </w:style>
  <w:style w:type="paragraph" w:customStyle="1" w:styleId="TableListBullet">
    <w:name w:val="Table List Bullet"/>
    <w:basedOn w:val="ListBullet"/>
    <w:uiPriority w:val="10"/>
    <w:qFormat/>
    <w:rsid w:val="00F83C5C"/>
    <w:pPr>
      <w:spacing w:before="0" w:after="20"/>
      <w:ind w:left="170" w:hanging="113"/>
    </w:pPr>
  </w:style>
  <w:style w:type="character" w:styleId="Mention">
    <w:name w:val="Mention"/>
    <w:basedOn w:val="DefaultParagraphFont"/>
    <w:uiPriority w:val="99"/>
    <w:unhideWhenUsed/>
    <w:rsid w:val="007B11C3"/>
    <w:rPr>
      <w:color w:val="2B579A"/>
      <w:shd w:val="clear" w:color="auto" w:fill="E1DFDD"/>
    </w:rPr>
  </w:style>
  <w:style w:type="paragraph" w:styleId="Bibliography">
    <w:name w:val="Bibliography"/>
    <w:basedOn w:val="Normal"/>
    <w:next w:val="Normal"/>
    <w:uiPriority w:val="37"/>
    <w:unhideWhenUsed/>
    <w:rsid w:val="00E17F99"/>
    <w:pPr>
      <w:spacing w:after="240" w:line="240" w:lineRule="atLeast"/>
      <w:ind w:left="720" w:hanging="720"/>
    </w:pPr>
  </w:style>
  <w:style w:type="paragraph" w:customStyle="1" w:styleId="TableBodyHeading">
    <w:name w:val="Table Body Heading"/>
    <w:basedOn w:val="NoSpacing"/>
    <w:uiPriority w:val="4"/>
    <w:qFormat/>
    <w:rsid w:val="00E21D7D"/>
    <w:pPr>
      <w:spacing w:after="20"/>
      <w:ind w:left="57"/>
    </w:pPr>
    <w:rPr>
      <w:b/>
      <w:color w:val="265A9A" w:themeColor="background2"/>
      <w:sz w:val="18"/>
    </w:rPr>
  </w:style>
  <w:style w:type="paragraph" w:customStyle="1" w:styleId="CoverdisclaimerwhiteCover">
    <w:name w:val="Cover – disclaimer (white) (Cover)"/>
    <w:basedOn w:val="Normal"/>
    <w:uiPriority w:val="99"/>
    <w:rsid w:val="00E21D7D"/>
    <w:pPr>
      <w:tabs>
        <w:tab w:val="left" w:pos="170"/>
        <w:tab w:val="left" w:pos="6236"/>
      </w:tabs>
      <w:suppressAutoHyphens/>
      <w:autoSpaceDE w:val="0"/>
      <w:autoSpaceDN w:val="0"/>
      <w:adjustRightInd w:val="0"/>
      <w:spacing w:before="0" w:after="0" w:line="288" w:lineRule="auto"/>
      <w:textAlignment w:val="center"/>
    </w:pPr>
    <w:rPr>
      <w:rFonts w:ascii="Arial" w:hAnsi="Arial" w:cs="Arial"/>
      <w:color w:val="FFFFFF"/>
      <w:sz w:val="14"/>
      <w:szCs w:val="14"/>
      <w:lang w:val="en-US"/>
    </w:rPr>
  </w:style>
  <w:style w:type="paragraph" w:customStyle="1" w:styleId="BoxListBullet2">
    <w:name w:val="Box List Bullet 2"/>
    <w:basedOn w:val="Normal"/>
    <w:rsid w:val="00E21D7D"/>
    <w:pPr>
      <w:keepNext/>
      <w:numPr>
        <w:numId w:val="18"/>
      </w:numPr>
      <w:spacing w:before="100" w:after="0" w:line="260" w:lineRule="atLeast"/>
      <w:jc w:val="both"/>
    </w:pPr>
    <w:rPr>
      <w:rFonts w:ascii="Arial" w:eastAsia="Times New Roman" w:hAnsi="Arial" w:cs="Times New Roman"/>
      <w:lang w:eastAsia="en-AU"/>
    </w:rPr>
  </w:style>
  <w:style w:type="paragraph" w:customStyle="1" w:styleId="Box">
    <w:name w:val="Box"/>
    <w:basedOn w:val="BodyText"/>
    <w:link w:val="BoxChar"/>
    <w:qFormat/>
    <w:rsid w:val="00E21D7D"/>
    <w:pPr>
      <w:keepNext/>
      <w:spacing w:after="0" w:line="260" w:lineRule="atLeast"/>
      <w:jc w:val="both"/>
    </w:pPr>
    <w:rPr>
      <w:rFonts w:ascii="Arial" w:eastAsia="Times New Roman" w:hAnsi="Arial" w:cs="Times New Roman"/>
      <w:lang w:eastAsia="en-AU"/>
    </w:rPr>
  </w:style>
  <w:style w:type="paragraph" w:customStyle="1" w:styleId="BoxListBullet3">
    <w:name w:val="Box List Bullet 3"/>
    <w:basedOn w:val="ListBullet3"/>
    <w:rsid w:val="00E21D7D"/>
    <w:pPr>
      <w:numPr>
        <w:ilvl w:val="0"/>
        <w:numId w:val="19"/>
      </w:numPr>
      <w:tabs>
        <w:tab w:val="left" w:pos="907"/>
      </w:tabs>
      <w:spacing w:before="60" w:after="0" w:line="260" w:lineRule="atLeast"/>
      <w:contextualSpacing w:val="0"/>
      <w:jc w:val="both"/>
    </w:pPr>
    <w:rPr>
      <w:rFonts w:ascii="Arial" w:eastAsia="Times New Roman" w:hAnsi="Arial" w:cs="Times New Roman"/>
      <w:lang w:eastAsia="en-AU"/>
    </w:rPr>
  </w:style>
  <w:style w:type="paragraph" w:customStyle="1" w:styleId="FigureTitle">
    <w:name w:val="Figure Title"/>
    <w:basedOn w:val="Caption"/>
    <w:next w:val="Subtitle"/>
    <w:rsid w:val="00E21D7D"/>
    <w:pPr>
      <w:keepNext/>
      <w:keepLines/>
      <w:spacing w:before="120" w:after="80" w:line="280" w:lineRule="exact"/>
      <w:ind w:left="1474" w:hanging="1474"/>
    </w:pPr>
    <w:rPr>
      <w:rFonts w:ascii="Arial" w:eastAsia="Times New Roman" w:hAnsi="Arial" w:cs="Times New Roman"/>
      <w:b/>
      <w:iCs w:val="0"/>
      <w:color w:val="auto"/>
      <w:sz w:val="24"/>
      <w:szCs w:val="24"/>
      <w:lang w:eastAsia="en-AU"/>
    </w:rPr>
  </w:style>
  <w:style w:type="character" w:customStyle="1" w:styleId="NoteLabel">
    <w:name w:val="Note Label"/>
    <w:basedOn w:val="DefaultParagraphFont"/>
    <w:rsid w:val="00E21D7D"/>
    <w:rPr>
      <w:rFonts w:ascii="Arial" w:hAnsi="Arial"/>
      <w:b/>
      <w:position w:val="6"/>
      <w:sz w:val="18"/>
    </w:rPr>
  </w:style>
  <w:style w:type="character" w:customStyle="1" w:styleId="normaltextrun">
    <w:name w:val="normaltextrun"/>
    <w:basedOn w:val="DefaultParagraphFont"/>
    <w:rsid w:val="00E21D7D"/>
  </w:style>
  <w:style w:type="paragraph" w:customStyle="1" w:styleId="pf0">
    <w:name w:val="pf0"/>
    <w:basedOn w:val="Normal"/>
    <w:rsid w:val="00E21D7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ecBullet">
    <w:name w:val="Rec Bullet"/>
    <w:basedOn w:val="Normal"/>
    <w:rsid w:val="00E21D7D"/>
    <w:pPr>
      <w:keepLines/>
      <w:numPr>
        <w:numId w:val="20"/>
      </w:numPr>
      <w:spacing w:before="80" w:after="0"/>
      <w:jc w:val="both"/>
    </w:pPr>
    <w:rPr>
      <w:rFonts w:ascii="Arial" w:eastAsia="Times New Roman" w:hAnsi="Arial" w:cs="Times New Roman"/>
      <w:sz w:val="22"/>
      <w:lang w:eastAsia="en-AU"/>
    </w:rPr>
  </w:style>
  <w:style w:type="table" w:customStyle="1" w:styleId="Boxtable1">
    <w:name w:val="Box table1"/>
    <w:basedOn w:val="TableNormal"/>
    <w:uiPriority w:val="99"/>
    <w:rsid w:val="00E21D7D"/>
    <w:pPr>
      <w:spacing w:after="0" w:line="240" w:lineRule="auto"/>
    </w:pPr>
    <w:rPr>
      <w:rFonts w:ascii="Arial" w:eastAsia="Arial" w:hAnsi="Arial" w:cs="Times New Roman"/>
    </w:rPr>
    <w:tblPr>
      <w:tblInd w:w="0" w:type="nil"/>
      <w:tblCellMar>
        <w:top w:w="170" w:type="dxa"/>
        <w:left w:w="170" w:type="dxa"/>
        <w:bottom w:w="170" w:type="dxa"/>
        <w:right w:w="170" w:type="dxa"/>
      </w:tblCellMar>
    </w:tblPr>
    <w:tcPr>
      <w:shd w:val="clear" w:color="auto" w:fill="F4F5F6"/>
    </w:tcPr>
  </w:style>
  <w:style w:type="character" w:styleId="EndnoteReference">
    <w:name w:val="endnote reference"/>
    <w:basedOn w:val="DefaultParagraphFont"/>
    <w:uiPriority w:val="99"/>
    <w:semiHidden/>
    <w:unhideWhenUsed/>
    <w:rsid w:val="00E21D7D"/>
    <w:rPr>
      <w:vertAlign w:val="superscript"/>
    </w:rPr>
  </w:style>
  <w:style w:type="paragraph" w:customStyle="1" w:styleId="Jurisdictioncommentslistbullet">
    <w:name w:val="Jurisdiction comments list bullet"/>
    <w:rsid w:val="00E21D7D"/>
    <w:pPr>
      <w:numPr>
        <w:numId w:val="21"/>
      </w:numPr>
      <w:spacing w:after="140" w:line="240" w:lineRule="auto"/>
      <w:jc w:val="both"/>
    </w:pPr>
    <w:rPr>
      <w:rFonts w:ascii="Arial" w:eastAsia="Times New Roman" w:hAnsi="Arial" w:cs="Times New Roman"/>
      <w:sz w:val="24"/>
      <w:szCs w:val="20"/>
    </w:rPr>
  </w:style>
  <w:style w:type="paragraph" w:customStyle="1" w:styleId="PullQuoteNoSpacing">
    <w:name w:val="Pull Quote No Spacing"/>
    <w:basedOn w:val="NoSpacing"/>
    <w:link w:val="PullQuoteNoSpacingChar"/>
    <w:uiPriority w:val="10"/>
    <w:qFormat/>
    <w:rsid w:val="00E21D7D"/>
    <w:pPr>
      <w:spacing w:line="160" w:lineRule="exact"/>
    </w:pPr>
  </w:style>
  <w:style w:type="character" w:customStyle="1" w:styleId="PullQuoteNoSpacingChar">
    <w:name w:val="Pull Quote No Spacing Char"/>
    <w:basedOn w:val="NoSpacingChar"/>
    <w:link w:val="PullQuoteNoSpacing"/>
    <w:uiPriority w:val="10"/>
    <w:rsid w:val="00E21D7D"/>
    <w:rPr>
      <w:sz w:val="20"/>
      <w:szCs w:val="20"/>
    </w:rPr>
  </w:style>
  <w:style w:type="paragraph" w:customStyle="1" w:styleId="PullQuote-Indigenous">
    <w:name w:val="Pull Quote-Indigenous"/>
    <w:basedOn w:val="PullQuote"/>
    <w:uiPriority w:val="10"/>
    <w:qFormat/>
    <w:rsid w:val="00E21D7D"/>
    <w:pPr>
      <w:ind w:right="680"/>
    </w:pPr>
    <w:rPr>
      <w:rFonts w:ascii="Arial" w:hAnsi="Arial" w:cs="Arial"/>
      <w:color w:val="auto"/>
      <w:spacing w:val="6"/>
      <w:sz w:val="22"/>
      <w:szCs w:val="22"/>
    </w:rPr>
  </w:style>
  <w:style w:type="table" w:customStyle="1" w:styleId="Texttable-Paleblue1">
    <w:name w:val="Text table-Pale blue1"/>
    <w:basedOn w:val="TableNormal"/>
    <w:uiPriority w:val="99"/>
    <w:rsid w:val="00E21D7D"/>
    <w:pPr>
      <w:spacing w:after="0" w:line="240" w:lineRule="auto"/>
    </w:pPr>
    <w:tblPr>
      <w:tblCellMar>
        <w:top w:w="113" w:type="dxa"/>
        <w:left w:w="113" w:type="dxa"/>
        <w:bottom w:w="113" w:type="dxa"/>
        <w:right w:w="113" w:type="dxa"/>
      </w:tblCellMar>
    </w:tblPr>
    <w:tcPr>
      <w:shd w:val="clear" w:color="auto" w:fill="EFF9FE"/>
    </w:tcPr>
  </w:style>
  <w:style w:type="character" w:customStyle="1" w:styleId="BoxListBulletChar">
    <w:name w:val="Box List Bullet Char"/>
    <w:link w:val="BoxListBullet"/>
    <w:locked/>
    <w:rsid w:val="00E21D7D"/>
    <w:rPr>
      <w:rFonts w:ascii="Arial" w:eastAsia="Times New Roman" w:hAnsi="Arial" w:cs="Times New Roman"/>
      <w:sz w:val="20"/>
      <w:szCs w:val="20"/>
      <w:lang w:eastAsia="en-AU"/>
    </w:rPr>
  </w:style>
  <w:style w:type="paragraph" w:customStyle="1" w:styleId="BoxListBullet">
    <w:name w:val="Box List Bullet"/>
    <w:basedOn w:val="BodyText"/>
    <w:link w:val="BoxListBulletChar"/>
    <w:qFormat/>
    <w:rsid w:val="00E21D7D"/>
    <w:pPr>
      <w:keepNext/>
      <w:tabs>
        <w:tab w:val="num" w:pos="284"/>
      </w:tabs>
      <w:spacing w:before="100" w:after="0" w:line="260" w:lineRule="atLeast"/>
      <w:ind w:left="284" w:hanging="284"/>
      <w:jc w:val="both"/>
    </w:pPr>
    <w:rPr>
      <w:rFonts w:ascii="Arial" w:eastAsia="Times New Roman" w:hAnsi="Arial" w:cs="Times New Roman"/>
      <w:lang w:eastAsia="en-AU"/>
    </w:rPr>
  </w:style>
  <w:style w:type="paragraph" w:customStyle="1" w:styleId="BoxQuoteBullet">
    <w:name w:val="Box Quote Bullet"/>
    <w:basedOn w:val="Normal"/>
    <w:next w:val="Normal"/>
    <w:rsid w:val="00E21D7D"/>
    <w:pPr>
      <w:keepNext/>
      <w:numPr>
        <w:numId w:val="23"/>
      </w:numPr>
      <w:spacing w:before="60" w:after="0" w:line="240" w:lineRule="exact"/>
      <w:jc w:val="both"/>
    </w:pPr>
    <w:rPr>
      <w:rFonts w:ascii="Arial" w:eastAsia="Times New Roman" w:hAnsi="Arial" w:cs="Times New Roman"/>
      <w:sz w:val="18"/>
      <w:lang w:eastAsia="en-AU"/>
    </w:rPr>
  </w:style>
  <w:style w:type="character" w:styleId="PageNumber">
    <w:name w:val="page number"/>
    <w:rsid w:val="00E21D7D"/>
    <w:rPr>
      <w:rFonts w:ascii="Arial" w:hAnsi="Arial"/>
      <w:b/>
      <w:caps w:val="0"/>
      <w:smallCaps w:val="0"/>
      <w:sz w:val="16"/>
    </w:rPr>
  </w:style>
  <w:style w:type="paragraph" w:customStyle="1" w:styleId="FooterEnd">
    <w:name w:val="Footer End"/>
    <w:basedOn w:val="Footer"/>
    <w:rsid w:val="00E21D7D"/>
    <w:pPr>
      <w:tabs>
        <w:tab w:val="clear" w:pos="4513"/>
        <w:tab w:val="clear" w:pos="9026"/>
      </w:tabs>
      <w:spacing w:before="0" w:line="20" w:lineRule="exact"/>
      <w:ind w:right="6"/>
      <w:contextualSpacing w:val="0"/>
    </w:pPr>
    <w:rPr>
      <w:rFonts w:ascii="Arial" w:eastAsia="Times New Roman" w:hAnsi="Arial" w:cs="Times New Roman"/>
      <w:caps/>
      <w:spacing w:val="-4"/>
      <w:sz w:val="16"/>
      <w:szCs w:val="20"/>
    </w:rPr>
  </w:style>
  <w:style w:type="paragraph" w:customStyle="1" w:styleId="HeaderEven">
    <w:name w:val="Header Even"/>
    <w:basedOn w:val="Header"/>
    <w:rsid w:val="00E21D7D"/>
    <w:pPr>
      <w:tabs>
        <w:tab w:val="clear" w:pos="4513"/>
        <w:tab w:val="clear" w:pos="9026"/>
        <w:tab w:val="center" w:pos="4394"/>
        <w:tab w:val="right" w:pos="8789"/>
      </w:tabs>
      <w:spacing w:before="0" w:line="240" w:lineRule="atLeast"/>
    </w:pPr>
    <w:rPr>
      <w:rFonts w:ascii="Arial" w:eastAsia="Times New Roman" w:hAnsi="Arial" w:cs="Times New Roman"/>
      <w:caps/>
      <w:sz w:val="24"/>
      <w:lang w:eastAsia="en-AU"/>
    </w:rPr>
  </w:style>
  <w:style w:type="paragraph" w:customStyle="1" w:styleId="HeaderEnd">
    <w:name w:val="Header End"/>
    <w:basedOn w:val="Header"/>
    <w:rsid w:val="00E21D7D"/>
    <w:pPr>
      <w:tabs>
        <w:tab w:val="clear" w:pos="4513"/>
        <w:tab w:val="clear" w:pos="9026"/>
        <w:tab w:val="center" w:pos="4394"/>
        <w:tab w:val="right" w:pos="8789"/>
      </w:tabs>
      <w:spacing w:before="0" w:line="20" w:lineRule="exact"/>
    </w:pPr>
    <w:rPr>
      <w:rFonts w:ascii="Arial" w:eastAsia="Times New Roman" w:hAnsi="Arial" w:cs="Times New Roman"/>
      <w:caps/>
    </w:rPr>
  </w:style>
  <w:style w:type="paragraph" w:customStyle="1" w:styleId="HeaderOdd">
    <w:name w:val="Header Odd"/>
    <w:basedOn w:val="Header"/>
    <w:rsid w:val="00E21D7D"/>
    <w:pPr>
      <w:tabs>
        <w:tab w:val="clear" w:pos="4513"/>
        <w:tab w:val="clear" w:pos="9026"/>
        <w:tab w:val="center" w:pos="4394"/>
        <w:tab w:val="right" w:pos="8789"/>
      </w:tabs>
      <w:spacing w:before="0" w:line="240" w:lineRule="atLeast"/>
    </w:pPr>
    <w:rPr>
      <w:rFonts w:ascii="Arial" w:eastAsia="Times New Roman" w:hAnsi="Arial" w:cs="Times New Roman"/>
      <w:caps/>
    </w:rPr>
  </w:style>
  <w:style w:type="character" w:customStyle="1" w:styleId="eop">
    <w:name w:val="eop"/>
    <w:basedOn w:val="DefaultParagraphFont"/>
    <w:rsid w:val="00E21D7D"/>
  </w:style>
  <w:style w:type="character" w:styleId="FollowedHyperlink">
    <w:name w:val="FollowedHyperlink"/>
    <w:basedOn w:val="DefaultParagraphFont"/>
    <w:semiHidden/>
    <w:unhideWhenUsed/>
    <w:rsid w:val="00E21D7D"/>
    <w:rPr>
      <w:color w:val="BFBFBF" w:themeColor="followedHyperlink"/>
      <w:u w:val="single"/>
    </w:rPr>
  </w:style>
  <w:style w:type="character" w:customStyle="1" w:styleId="webbibref">
    <w:name w:val="web_bibref"/>
    <w:basedOn w:val="DefaultParagraphFont"/>
    <w:rsid w:val="00E21D7D"/>
  </w:style>
  <w:style w:type="paragraph" w:customStyle="1" w:styleId="paragraph">
    <w:name w:val="paragraph"/>
    <w:basedOn w:val="Normal"/>
    <w:rsid w:val="00E21D7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Tablebullet0">
    <w:name w:val="Table bullet"/>
    <w:basedOn w:val="ListBullet"/>
    <w:link w:val="TablebulletChar"/>
    <w:uiPriority w:val="10"/>
    <w:qFormat/>
    <w:rsid w:val="00E21D7D"/>
    <w:pPr>
      <w:numPr>
        <w:numId w:val="0"/>
      </w:numPr>
      <w:tabs>
        <w:tab w:val="num" w:pos="340"/>
      </w:tabs>
      <w:ind w:left="340" w:hanging="340"/>
    </w:pPr>
    <w:rPr>
      <w:sz w:val="18"/>
      <w:szCs w:val="18"/>
      <w:lang w:eastAsia="en-AU"/>
    </w:rPr>
  </w:style>
  <w:style w:type="character" w:customStyle="1" w:styleId="TablebulletChar">
    <w:name w:val="Table bullet Char"/>
    <w:basedOn w:val="ListBulletChar"/>
    <w:link w:val="Tablebullet0"/>
    <w:uiPriority w:val="10"/>
    <w:rsid w:val="00E21D7D"/>
    <w:rPr>
      <w:sz w:val="18"/>
      <w:szCs w:val="18"/>
      <w:lang w:eastAsia="en-AU"/>
    </w:rPr>
  </w:style>
  <w:style w:type="paragraph" w:customStyle="1" w:styleId="TableTitle">
    <w:name w:val="Table Title"/>
    <w:basedOn w:val="Caption"/>
    <w:next w:val="Subtitle"/>
    <w:qFormat/>
    <w:rsid w:val="00E21D7D"/>
    <w:pPr>
      <w:keepNext/>
      <w:keepLines/>
      <w:spacing w:before="120" w:after="80" w:line="280" w:lineRule="exact"/>
      <w:ind w:left="1474" w:hanging="1474"/>
    </w:pPr>
    <w:rPr>
      <w:rFonts w:ascii="Arial" w:eastAsia="Times New Roman" w:hAnsi="Arial" w:cs="Times New Roman"/>
      <w:b/>
      <w:iCs w:val="0"/>
      <w:color w:val="auto"/>
      <w:sz w:val="24"/>
      <w:szCs w:val="24"/>
      <w:lang w:eastAsia="en-AU"/>
    </w:rPr>
  </w:style>
  <w:style w:type="paragraph" w:customStyle="1" w:styleId="FooterDraftReport">
    <w:name w:val="FooterDraftReport"/>
    <w:basedOn w:val="Footer"/>
    <w:link w:val="FooterDraftReportChar"/>
    <w:rsid w:val="00E21D7D"/>
    <w:pPr>
      <w:tabs>
        <w:tab w:val="clear" w:pos="4513"/>
        <w:tab w:val="clear" w:pos="9026"/>
      </w:tabs>
      <w:spacing w:before="40" w:line="200" w:lineRule="exact"/>
      <w:ind w:right="6"/>
      <w:contextualSpacing w:val="0"/>
    </w:pPr>
    <w:rPr>
      <w:rFonts w:ascii="Arial" w:eastAsia="Times New Roman" w:hAnsi="Arial" w:cs="Arial"/>
      <w:caps/>
      <w:color w:val="808080"/>
      <w:spacing w:val="-4"/>
      <w:sz w:val="16"/>
      <w:szCs w:val="20"/>
      <w:lang w:eastAsia="en-AU"/>
      <w14:textFill>
        <w14:solidFill>
          <w14:srgbClr w14:val="808080">
            <w14:lumMod w14:val="50000"/>
            <w14:lumOff w14:val="50000"/>
            <w14:lumMod w14:val="50000"/>
            <w14:lumOff w14:val="50000"/>
            <w14:lumMod w14:val="50000"/>
          </w14:srgbClr>
        </w14:solidFill>
      </w14:textFill>
    </w:rPr>
  </w:style>
  <w:style w:type="character" w:customStyle="1" w:styleId="FooterDraftReportChar">
    <w:name w:val="FooterDraftReport Char"/>
    <w:basedOn w:val="FooterChar"/>
    <w:link w:val="FooterDraftReport"/>
    <w:rsid w:val="00E21D7D"/>
    <w:rPr>
      <w:rFonts w:ascii="Arial" w:eastAsia="Times New Roman" w:hAnsi="Arial" w:cs="Arial"/>
      <w:caps/>
      <w:color w:val="808080"/>
      <w:spacing w:val="-4"/>
      <w:sz w:val="16"/>
      <w:szCs w:val="20"/>
      <w:lang w:eastAsia="en-AU"/>
      <w14:textFill>
        <w14:solidFill>
          <w14:srgbClr w14:val="808080">
            <w14:lumMod w14:val="50000"/>
            <w14:lumOff w14:val="50000"/>
            <w14:lumMod w14:val="50000"/>
            <w14:lumOff w14:val="50000"/>
            <w14:lumMod w14:val="50000"/>
          </w14:srgbClr>
        </w14:solidFill>
      </w14:textFill>
    </w:rPr>
  </w:style>
  <w:style w:type="paragraph" w:customStyle="1" w:styleId="Default">
    <w:name w:val="Default"/>
    <w:rsid w:val="00E21D7D"/>
    <w:pPr>
      <w:autoSpaceDE w:val="0"/>
      <w:autoSpaceDN w:val="0"/>
      <w:adjustRightInd w:val="0"/>
      <w:spacing w:after="0" w:line="240" w:lineRule="auto"/>
    </w:pPr>
    <w:rPr>
      <w:rFonts w:ascii="Arial" w:hAnsi="Arial" w:cs="Arial"/>
      <w:color w:val="000000"/>
      <w:sz w:val="24"/>
      <w:szCs w:val="24"/>
    </w:rPr>
  </w:style>
  <w:style w:type="paragraph" w:customStyle="1" w:styleId="Normalnumbered">
    <w:name w:val="Normal numbered"/>
    <w:basedOn w:val="Normal"/>
    <w:link w:val="NormalnumberedChar"/>
    <w:rsid w:val="00E21D7D"/>
    <w:pPr>
      <w:tabs>
        <w:tab w:val="num" w:pos="360"/>
      </w:tabs>
      <w:spacing w:before="0" w:after="240" w:line="260" w:lineRule="exact"/>
      <w:ind w:left="360" w:hanging="360"/>
      <w:jc w:val="both"/>
    </w:pPr>
    <w:rPr>
      <w:rFonts w:ascii="Corbel" w:eastAsia="Times New Roman" w:hAnsi="Corbel" w:cs="Times New Roman"/>
      <w:color w:val="000000"/>
      <w:sz w:val="23"/>
      <w:lang w:eastAsia="en-AU"/>
    </w:rPr>
  </w:style>
  <w:style w:type="character" w:customStyle="1" w:styleId="NormalnumberedChar">
    <w:name w:val="Normal numbered Char"/>
    <w:link w:val="Normalnumbered"/>
    <w:locked/>
    <w:rsid w:val="00E21D7D"/>
    <w:rPr>
      <w:rFonts w:ascii="Corbel" w:eastAsia="Times New Roman" w:hAnsi="Corbel" w:cs="Times New Roman"/>
      <w:color w:val="000000"/>
      <w:sz w:val="23"/>
      <w:szCs w:val="20"/>
      <w:lang w:eastAsia="en-AU"/>
    </w:rPr>
  </w:style>
  <w:style w:type="character" w:customStyle="1" w:styleId="BoxChar">
    <w:name w:val="Box Char"/>
    <w:link w:val="Box"/>
    <w:rsid w:val="00E21D7D"/>
    <w:rPr>
      <w:rFonts w:ascii="Arial" w:eastAsia="Times New Roman" w:hAnsi="Arial" w:cs="Times New Roman"/>
      <w:sz w:val="20"/>
      <w:szCs w:val="20"/>
      <w:lang w:eastAsia="en-AU"/>
    </w:rPr>
  </w:style>
  <w:style w:type="numbering" w:customStyle="1" w:styleId="Style1">
    <w:name w:val="Style1"/>
    <w:uiPriority w:val="99"/>
    <w:rsid w:val="00E21D7D"/>
    <w:pPr>
      <w:numPr>
        <w:numId w:val="24"/>
      </w:numPr>
    </w:pPr>
  </w:style>
  <w:style w:type="paragraph" w:styleId="TOC8">
    <w:name w:val="toc 8"/>
    <w:basedOn w:val="Normal"/>
    <w:next w:val="Normal"/>
    <w:autoRedefine/>
    <w:uiPriority w:val="39"/>
    <w:semiHidden/>
    <w:unhideWhenUsed/>
    <w:rsid w:val="00E21D7D"/>
    <w:pPr>
      <w:spacing w:after="100"/>
      <w:ind w:left="1400"/>
    </w:pPr>
  </w:style>
  <w:style w:type="paragraph" w:customStyle="1" w:styleId="KeyPointsListBullet">
    <w:name w:val="Key Points List Bullet"/>
    <w:basedOn w:val="Normal"/>
    <w:qFormat/>
    <w:rsid w:val="00E21D7D"/>
    <w:pPr>
      <w:keepNext/>
      <w:numPr>
        <w:numId w:val="25"/>
      </w:numPr>
      <w:spacing w:before="100" w:after="0" w:line="260" w:lineRule="atLeast"/>
      <w:jc w:val="both"/>
    </w:pPr>
    <w:rPr>
      <w:rFonts w:ascii="Arial" w:eastAsia="Times New Roman" w:hAnsi="Arial" w:cs="Times New Roman"/>
    </w:rPr>
  </w:style>
  <w:style w:type="paragraph" w:customStyle="1" w:styleId="Finding">
    <w:name w:val="Finding"/>
    <w:basedOn w:val="BodyText"/>
    <w:rsid w:val="00E21D7D"/>
    <w:pPr>
      <w:keepLines/>
      <w:spacing w:after="0"/>
      <w:jc w:val="both"/>
    </w:pPr>
    <w:rPr>
      <w:rFonts w:ascii="Arial" w:eastAsia="Times New Roman" w:hAnsi="Arial" w:cs="Times New Roman"/>
      <w:sz w:val="22"/>
      <w:lang w:eastAsia="en-AU"/>
    </w:rPr>
  </w:style>
  <w:style w:type="paragraph" w:customStyle="1" w:styleId="Figurespace">
    <w:name w:val="Figure space"/>
    <w:basedOn w:val="Box"/>
    <w:rsid w:val="00E21D7D"/>
    <w:pPr>
      <w:spacing w:before="0" w:line="120" w:lineRule="exact"/>
    </w:pPr>
  </w:style>
  <w:style w:type="paragraph" w:customStyle="1" w:styleId="BoxSpaceAbove">
    <w:name w:val="Box Space Above"/>
    <w:basedOn w:val="BodyText"/>
    <w:rsid w:val="00E21D7D"/>
    <w:pPr>
      <w:keepNext/>
      <w:spacing w:before="360" w:after="0" w:line="80" w:lineRule="exact"/>
    </w:pPr>
    <w:rPr>
      <w:rFonts w:ascii="Times New Roman" w:eastAsia="Times New Roman" w:hAnsi="Times New Roman" w:cs="Times New Roman"/>
      <w:sz w:val="24"/>
      <w:lang w:eastAsia="en-AU"/>
    </w:rPr>
  </w:style>
  <w:style w:type="paragraph" w:customStyle="1" w:styleId="BoxSpaceBelow">
    <w:name w:val="Box Space Below"/>
    <w:basedOn w:val="Normal"/>
    <w:rsid w:val="00E21D7D"/>
    <w:pPr>
      <w:spacing w:before="60" w:after="60" w:line="80" w:lineRule="exact"/>
      <w:jc w:val="both"/>
    </w:pPr>
    <w:rPr>
      <w:rFonts w:ascii="Arial" w:eastAsia="Times New Roman" w:hAnsi="Arial" w:cs="Times New Roman"/>
      <w:sz w:val="14"/>
      <w:lang w:eastAsia="en-AU"/>
    </w:rPr>
  </w:style>
  <w:style w:type="paragraph" w:styleId="NormalWeb">
    <w:name w:val="Normal (Web)"/>
    <w:basedOn w:val="Normal"/>
    <w:uiPriority w:val="99"/>
    <w:unhideWhenUsed/>
    <w:rsid w:val="00E21D7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TableBodyText">
    <w:name w:val="Table Body Text"/>
    <w:basedOn w:val="BodyText"/>
    <w:link w:val="TableBodyTextChar"/>
    <w:rsid w:val="00E21D7D"/>
    <w:pPr>
      <w:keepNext/>
      <w:keepLines/>
      <w:spacing w:before="0" w:after="40" w:line="200" w:lineRule="atLeast"/>
      <w:ind w:left="6" w:right="113"/>
      <w:jc w:val="right"/>
    </w:pPr>
    <w:rPr>
      <w:rFonts w:ascii="Arial" w:eastAsia="Times New Roman" w:hAnsi="Arial" w:cs="Times New Roman"/>
      <w:sz w:val="18"/>
      <w:lang w:eastAsia="en-AU"/>
    </w:rPr>
  </w:style>
  <w:style w:type="character" w:customStyle="1" w:styleId="TableBodyTextChar">
    <w:name w:val="Table Body Text Char"/>
    <w:link w:val="TableBodyText"/>
    <w:rsid w:val="00E21D7D"/>
    <w:rPr>
      <w:rFonts w:ascii="Arial" w:eastAsia="Times New Roman" w:hAnsi="Arial" w:cs="Times New Roman"/>
      <w:sz w:val="18"/>
      <w:szCs w:val="20"/>
      <w:lang w:eastAsia="en-AU"/>
    </w:rPr>
  </w:style>
  <w:style w:type="character" w:customStyle="1" w:styleId="cf01">
    <w:name w:val="cf01"/>
    <w:basedOn w:val="DefaultParagraphFont"/>
    <w:rsid w:val="00E21D7D"/>
    <w:rPr>
      <w:rFonts w:ascii="Segoe UI" w:hAnsi="Segoe UI" w:cs="Segoe UI" w:hint="default"/>
      <w:color w:val="58585B"/>
      <w:sz w:val="18"/>
      <w:szCs w:val="18"/>
    </w:rPr>
  </w:style>
  <w:style w:type="character" w:customStyle="1" w:styleId="cf21">
    <w:name w:val="cf21"/>
    <w:basedOn w:val="DefaultParagraphFont"/>
    <w:rsid w:val="00E21D7D"/>
    <w:rPr>
      <w:rFonts w:ascii="Segoe UI" w:hAnsi="Segoe UI" w:cs="Segoe UI" w:hint="default"/>
      <w:sz w:val="18"/>
      <w:szCs w:val="18"/>
    </w:rPr>
  </w:style>
  <w:style w:type="paragraph" w:customStyle="1" w:styleId="xmsonormal">
    <w:name w:val="x_msonormal"/>
    <w:basedOn w:val="Normal"/>
    <w:rsid w:val="00E21D7D"/>
    <w:pPr>
      <w:spacing w:before="0" w:after="0" w:line="240" w:lineRule="auto"/>
    </w:pPr>
    <w:rPr>
      <w:rFonts w:ascii="Calibri" w:hAnsi="Calibri" w:cs="Calibri"/>
      <w:sz w:val="22"/>
      <w:szCs w:val="22"/>
      <w:lang w:eastAsia="en-AU"/>
    </w:rPr>
  </w:style>
  <w:style w:type="paragraph" w:customStyle="1" w:styleId="AlphaParagraph">
    <w:name w:val="Alpha Paragraph"/>
    <w:basedOn w:val="Normal"/>
    <w:link w:val="AlphaParagraphCharChar"/>
    <w:rsid w:val="00E21D7D"/>
    <w:pPr>
      <w:tabs>
        <w:tab w:val="num" w:pos="0"/>
        <w:tab w:val="num" w:pos="283"/>
        <w:tab w:val="num" w:pos="567"/>
        <w:tab w:val="num" w:pos="1134"/>
        <w:tab w:val="num" w:pos="1418"/>
        <w:tab w:val="num" w:pos="1701"/>
      </w:tabs>
      <w:spacing w:before="0" w:after="240" w:line="260" w:lineRule="exact"/>
      <w:ind w:left="567" w:hanging="363"/>
      <w:jc w:val="both"/>
    </w:pPr>
    <w:rPr>
      <w:rFonts w:ascii="Corbel" w:eastAsia="Times New Roman" w:hAnsi="Corbel" w:cs="Times New Roman"/>
      <w:color w:val="000000"/>
      <w:sz w:val="23"/>
      <w:lang w:eastAsia="en-AU"/>
    </w:rPr>
  </w:style>
  <w:style w:type="character" w:customStyle="1" w:styleId="AlphaParagraphCharChar">
    <w:name w:val="Alpha Paragraph Char Char"/>
    <w:link w:val="AlphaParagraph"/>
    <w:locked/>
    <w:rsid w:val="00E21D7D"/>
    <w:rPr>
      <w:rFonts w:ascii="Corbel" w:eastAsia="Times New Roman" w:hAnsi="Corbel" w:cs="Times New Roman"/>
      <w:color w:val="000000"/>
      <w:sz w:val="23"/>
      <w:szCs w:val="20"/>
      <w:lang w:eastAsia="en-AU"/>
    </w:rPr>
  </w:style>
  <w:style w:type="character" w:customStyle="1" w:styleId="Continuedintitle">
    <w:name w:val="Continued (in title)"/>
    <w:basedOn w:val="DefaultParagraphFont"/>
    <w:rsid w:val="00E21D7D"/>
    <w:rPr>
      <w:rFonts w:ascii="Arial" w:hAnsi="Arial"/>
      <w:b/>
      <w:sz w:val="18"/>
    </w:rPr>
  </w:style>
  <w:style w:type="paragraph" w:customStyle="1" w:styleId="BoxSource">
    <w:name w:val="Box Source"/>
    <w:basedOn w:val="Source"/>
    <w:next w:val="BodyText"/>
    <w:rsid w:val="00E21D7D"/>
    <w:pPr>
      <w:keepLines/>
      <w:spacing w:before="120" w:after="0" w:line="220" w:lineRule="exact"/>
      <w:jc w:val="both"/>
    </w:pPr>
    <w:rPr>
      <w:rFonts w:ascii="Arial" w:eastAsia="Times New Roman" w:hAnsi="Arial" w:cs="Times New Roman"/>
      <w:lang w:eastAsia="en-AU"/>
    </w:rPr>
  </w:style>
  <w:style w:type="paragraph" w:customStyle="1" w:styleId="BoxTitle">
    <w:name w:val="Box Title"/>
    <w:basedOn w:val="Caption"/>
    <w:next w:val="Normal"/>
    <w:rsid w:val="00E21D7D"/>
    <w:pPr>
      <w:keepNext/>
      <w:keepLines/>
      <w:spacing w:before="120" w:after="0" w:line="280" w:lineRule="exact"/>
      <w:ind w:left="1474" w:hanging="1474"/>
    </w:pPr>
    <w:rPr>
      <w:rFonts w:ascii="Arial" w:eastAsia="Times New Roman" w:hAnsi="Arial" w:cs="Times New Roman"/>
      <w:b/>
      <w:iCs w:val="0"/>
      <w:color w:val="auto"/>
      <w:sz w:val="24"/>
      <w:szCs w:val="24"/>
      <w:lang w:eastAsia="en-AU"/>
    </w:rPr>
  </w:style>
  <w:style w:type="paragraph" w:customStyle="1" w:styleId="TableColumnHeading">
    <w:name w:val="Table Column Heading"/>
    <w:basedOn w:val="TableBodyText"/>
    <w:rsid w:val="00E21D7D"/>
    <w:pPr>
      <w:spacing w:before="80" w:after="80"/>
    </w:pPr>
    <w:rPr>
      <w:i/>
    </w:rPr>
  </w:style>
  <w:style w:type="paragraph" w:customStyle="1" w:styleId="TableUnitsRow">
    <w:name w:val="Table Units Row"/>
    <w:basedOn w:val="TableBodyText"/>
    <w:rsid w:val="00E21D7D"/>
    <w:pPr>
      <w:spacing w:before="40"/>
    </w:pPr>
  </w:style>
  <w:style w:type="paragraph" w:customStyle="1" w:styleId="Dots">
    <w:name w:val="Dots"/>
    <w:basedOn w:val="Normal"/>
    <w:rsid w:val="00E21D7D"/>
    <w:pPr>
      <w:numPr>
        <w:numId w:val="26"/>
      </w:numPr>
      <w:spacing w:before="0" w:after="160" w:line="240" w:lineRule="auto"/>
    </w:pPr>
    <w:rPr>
      <w:rFonts w:ascii="Arial" w:hAnsi="Arial" w:cs="Arial"/>
    </w:rPr>
  </w:style>
  <w:style w:type="character" w:customStyle="1" w:styleId="easy-footnote">
    <w:name w:val="easy-footnote"/>
    <w:basedOn w:val="DefaultParagraphFont"/>
    <w:rsid w:val="00E21D7D"/>
  </w:style>
  <w:style w:type="paragraph" w:customStyle="1" w:styleId="BoxQuote">
    <w:name w:val="Box Quote"/>
    <w:basedOn w:val="Quote"/>
    <w:qFormat/>
    <w:rsid w:val="00E21D7D"/>
  </w:style>
  <w:style w:type="character" w:customStyle="1" w:styleId="Style1Char">
    <w:name w:val="Style1 Char"/>
    <w:basedOn w:val="DefaultParagraphFont"/>
    <w:rsid w:val="00E21D7D"/>
    <w:rPr>
      <w:rFonts w:ascii="Arial" w:eastAsia="Arial" w:hAnsi="Arial" w:cs="Times New Roman"/>
      <w:color w:val="58585B"/>
      <w:sz w:val="20"/>
      <w:szCs w:val="20"/>
    </w:rPr>
  </w:style>
  <w:style w:type="character" w:customStyle="1" w:styleId="TOC1Char">
    <w:name w:val="TOC 1 Char"/>
    <w:basedOn w:val="DefaultParagraphFont"/>
    <w:link w:val="TOC1"/>
    <w:uiPriority w:val="39"/>
    <w:rsid w:val="001F67C1"/>
    <w:rPr>
      <w:rFonts w:asciiTheme="majorHAnsi" w:hAnsiTheme="majorHAnsi"/>
      <w:color w:val="265A9A" w:themeColor="background2"/>
      <w:sz w:val="20"/>
      <w:szCs w:val="20"/>
    </w:rPr>
  </w:style>
  <w:style w:type="paragraph" w:customStyle="1" w:styleId="BoxListNumber">
    <w:name w:val="Box List Number"/>
    <w:basedOn w:val="BodyText"/>
    <w:rsid w:val="00E21D7D"/>
    <w:pPr>
      <w:keepNext/>
      <w:numPr>
        <w:numId w:val="27"/>
      </w:numPr>
      <w:spacing w:before="100" w:after="0" w:line="260" w:lineRule="atLeast"/>
      <w:jc w:val="both"/>
    </w:pPr>
    <w:rPr>
      <w:rFonts w:ascii="Arial" w:eastAsia="Times New Roman" w:hAnsi="Arial" w:cs="Times New Roman"/>
      <w:lang w:eastAsia="en-AU"/>
    </w:rPr>
  </w:style>
  <w:style w:type="paragraph" w:customStyle="1" w:styleId="BoxListNumber2">
    <w:name w:val="Box List Number 2"/>
    <w:basedOn w:val="BoxListNumber"/>
    <w:rsid w:val="00E21D7D"/>
    <w:pPr>
      <w:numPr>
        <w:ilvl w:val="1"/>
      </w:numPr>
    </w:pPr>
  </w:style>
  <w:style w:type="paragraph" w:customStyle="1" w:styleId="subsection">
    <w:name w:val="subsection"/>
    <w:basedOn w:val="Normal"/>
    <w:rsid w:val="00E21D7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ubsection2">
    <w:name w:val="subsection2"/>
    <w:basedOn w:val="Normal"/>
    <w:rsid w:val="00E21D7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aragraphsub">
    <w:name w:val="paragraphsub"/>
    <w:basedOn w:val="Normal"/>
    <w:rsid w:val="00E21D7D"/>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ListParagraphChar">
    <w:name w:val="List Paragraph Char"/>
    <w:link w:val="ListParagraph"/>
    <w:uiPriority w:val="34"/>
    <w:locked/>
    <w:rsid w:val="00E21D7D"/>
    <w:rPr>
      <w:sz w:val="20"/>
      <w:szCs w:val="20"/>
    </w:rPr>
  </w:style>
  <w:style w:type="paragraph" w:customStyle="1" w:styleId="FindingBullet">
    <w:name w:val="Finding Bullet"/>
    <w:basedOn w:val="Finding"/>
    <w:rsid w:val="00E21D7D"/>
    <w:pPr>
      <w:numPr>
        <w:numId w:val="29"/>
      </w:numPr>
      <w:spacing w:before="80"/>
    </w:pPr>
  </w:style>
  <w:style w:type="paragraph" w:customStyle="1" w:styleId="Rec">
    <w:name w:val="Rec"/>
    <w:basedOn w:val="BodyText"/>
    <w:qFormat/>
    <w:rsid w:val="00E21D7D"/>
    <w:pPr>
      <w:keepLines/>
      <w:spacing w:after="0"/>
      <w:jc w:val="both"/>
    </w:pPr>
    <w:rPr>
      <w:rFonts w:ascii="Arial" w:eastAsia="Times New Roman" w:hAnsi="Arial" w:cs="Times New Roman"/>
      <w:sz w:val="22"/>
      <w:lang w:eastAsia="en-AU"/>
    </w:rPr>
  </w:style>
  <w:style w:type="paragraph" w:customStyle="1" w:styleId="KeyPointsbul">
    <w:name w:val="Key Points bul"/>
    <w:basedOn w:val="KeyPoints-Bold"/>
    <w:rsid w:val="00E21D7D"/>
  </w:style>
  <w:style w:type="table" w:customStyle="1" w:styleId="Texttable-Paleblue2">
    <w:name w:val="Text table-Pale blue2"/>
    <w:basedOn w:val="TableNormal"/>
    <w:uiPriority w:val="99"/>
    <w:rsid w:val="00E21D7D"/>
    <w:pPr>
      <w:spacing w:after="0" w:line="240" w:lineRule="auto"/>
    </w:pPr>
    <w:tblPr>
      <w:tblCellMar>
        <w:top w:w="113" w:type="dxa"/>
        <w:left w:w="113" w:type="dxa"/>
        <w:bottom w:w="113" w:type="dxa"/>
        <w:right w:w="113" w:type="dxa"/>
      </w:tblCellMar>
    </w:tblPr>
    <w:tcPr>
      <w:shd w:val="clear" w:color="auto" w:fill="EFF9FE"/>
    </w:tcPr>
  </w:style>
  <w:style w:type="paragraph" w:customStyle="1" w:styleId="RecB">
    <w:name w:val="RecB"/>
    <w:basedOn w:val="Normal"/>
    <w:semiHidden/>
    <w:rsid w:val="00E21D7D"/>
    <w:pPr>
      <w:keepLines/>
      <w:pBdr>
        <w:left w:val="single" w:sz="24" w:space="12" w:color="C0C0C0"/>
      </w:pBdr>
      <w:spacing w:before="180" w:after="0" w:line="320" w:lineRule="atLeast"/>
      <w:jc w:val="both"/>
    </w:pPr>
    <w:rPr>
      <w:rFonts w:ascii="Times New Roman" w:eastAsia="Times New Roman" w:hAnsi="Times New Roman" w:cs="Times New Roman"/>
      <w:b/>
      <w:i/>
      <w:sz w:val="24"/>
      <w:lang w:eastAsia="en-AU"/>
    </w:rPr>
  </w:style>
  <w:style w:type="paragraph" w:customStyle="1" w:styleId="KeyPointsListBullet2">
    <w:name w:val="Key Points List Bullet 2"/>
    <w:basedOn w:val="Normal"/>
    <w:rsid w:val="00E21D7D"/>
    <w:pPr>
      <w:keepNext/>
      <w:numPr>
        <w:numId w:val="30"/>
      </w:numPr>
      <w:spacing w:before="100" w:after="0" w:line="260" w:lineRule="atLeast"/>
      <w:jc w:val="both"/>
    </w:pPr>
    <w:rPr>
      <w:rFonts w:ascii="Arial" w:eastAsia="Times New Roman" w:hAnsi="Arial" w:cs="Times New Roman"/>
      <w:lang w:eastAsia="en-AU"/>
    </w:rPr>
  </w:style>
  <w:style w:type="numbering" w:customStyle="1" w:styleId="CurrentList1">
    <w:name w:val="Current List1"/>
    <w:uiPriority w:val="99"/>
    <w:rsid w:val="00E21D7D"/>
    <w:pPr>
      <w:numPr>
        <w:numId w:val="31"/>
      </w:numPr>
    </w:pPr>
  </w:style>
  <w:style w:type="table" w:customStyle="1" w:styleId="Texttable-Paleblue7">
    <w:name w:val="Text table-Pale blue7"/>
    <w:basedOn w:val="TableNormal"/>
    <w:uiPriority w:val="99"/>
    <w:rsid w:val="00E21D7D"/>
    <w:pPr>
      <w:spacing w:after="0" w:line="240" w:lineRule="auto"/>
    </w:pPr>
    <w:tblPr>
      <w:tblCellMar>
        <w:top w:w="113" w:type="dxa"/>
        <w:left w:w="113" w:type="dxa"/>
        <w:bottom w:w="113" w:type="dxa"/>
        <w:right w:w="113" w:type="dxa"/>
      </w:tblCellMar>
    </w:tblPr>
    <w:tcPr>
      <w:shd w:val="clear" w:color="auto" w:fill="EFF9FE"/>
    </w:tcPr>
  </w:style>
  <w:style w:type="paragraph" w:customStyle="1" w:styleId="Abbreviation">
    <w:name w:val="Abbreviation"/>
    <w:basedOn w:val="BodyText"/>
    <w:rsid w:val="00E21D7D"/>
    <w:pPr>
      <w:spacing w:after="0" w:line="300" w:lineRule="atLeast"/>
      <w:ind w:left="2381" w:hanging="2381"/>
    </w:pPr>
    <w:rPr>
      <w:rFonts w:ascii="Times New Roman" w:eastAsia="Times New Roman" w:hAnsi="Times New Roman" w:cs="Times New Roman"/>
      <w:sz w:val="24"/>
      <w:lang w:eastAsia="en-AU"/>
    </w:rPr>
  </w:style>
  <w:style w:type="paragraph" w:customStyle="1" w:styleId="BoxContinued">
    <w:name w:val="Box Continued"/>
    <w:basedOn w:val="BodyText"/>
    <w:next w:val="BodyText"/>
    <w:semiHidden/>
    <w:rsid w:val="00E21D7D"/>
    <w:pPr>
      <w:spacing w:before="180" w:after="0" w:line="220" w:lineRule="exact"/>
      <w:jc w:val="right"/>
    </w:pPr>
    <w:rPr>
      <w:rFonts w:ascii="Arial" w:eastAsia="Times New Roman" w:hAnsi="Arial" w:cs="Times New Roman"/>
      <w:sz w:val="18"/>
      <w:lang w:eastAsia="en-AU"/>
    </w:rPr>
  </w:style>
  <w:style w:type="paragraph" w:customStyle="1" w:styleId="BoxSubtitle">
    <w:name w:val="Box Subtitle"/>
    <w:basedOn w:val="BoxTitle"/>
    <w:next w:val="Normal"/>
    <w:rsid w:val="00E21D7D"/>
    <w:pPr>
      <w:spacing w:after="80" w:line="200" w:lineRule="exact"/>
      <w:ind w:firstLine="0"/>
    </w:pPr>
    <w:rPr>
      <w:b w:val="0"/>
      <w:sz w:val="20"/>
    </w:rPr>
  </w:style>
  <w:style w:type="paragraph" w:customStyle="1" w:styleId="Chapter">
    <w:name w:val="Chapter"/>
    <w:basedOn w:val="Heading1"/>
    <w:next w:val="BodyText"/>
    <w:semiHidden/>
    <w:rsid w:val="00E21D7D"/>
    <w:pPr>
      <w:keepNext/>
      <w:numPr>
        <w:numId w:val="0"/>
      </w:numPr>
      <w:pBdr>
        <w:top w:val="none" w:sz="0" w:space="0" w:color="auto"/>
        <w:left w:val="none" w:sz="0" w:space="0" w:color="auto"/>
        <w:bottom w:val="none" w:sz="0" w:space="0" w:color="auto"/>
        <w:right w:val="none" w:sz="0" w:space="0" w:color="auto"/>
      </w:pBdr>
      <w:shd w:val="clear" w:color="auto" w:fill="auto"/>
      <w:spacing w:before="160" w:after="1360" w:line="600" w:lineRule="exact"/>
      <w:ind w:right="0"/>
      <w:outlineLvl w:val="9"/>
    </w:pPr>
    <w:rPr>
      <w:rFonts w:ascii="Times New Roman" w:eastAsia="Times New Roman" w:hAnsi="Times New Roman" w:cs="Times New Roman"/>
      <w:color w:val="auto"/>
      <w:sz w:val="52"/>
      <w:lang w:eastAsia="en-AU"/>
    </w:rPr>
  </w:style>
  <w:style w:type="paragraph" w:customStyle="1" w:styleId="ChapterSummary">
    <w:name w:val="Chapter Summary"/>
    <w:basedOn w:val="BodyText"/>
    <w:rsid w:val="00E21D7D"/>
    <w:pPr>
      <w:spacing w:before="240" w:after="0"/>
      <w:ind w:left="907"/>
      <w:jc w:val="both"/>
    </w:pPr>
    <w:rPr>
      <w:rFonts w:ascii="Arial" w:eastAsia="Times New Roman" w:hAnsi="Arial" w:cs="Times New Roman"/>
      <w:b/>
      <w:lang w:eastAsia="en-AU"/>
    </w:rPr>
  </w:style>
  <w:style w:type="paragraph" w:customStyle="1" w:styleId="Continued">
    <w:name w:val="Continued"/>
    <w:basedOn w:val="BoxContinued"/>
    <w:next w:val="BodyText"/>
    <w:rsid w:val="00E21D7D"/>
  </w:style>
  <w:style w:type="character" w:customStyle="1" w:styleId="DocumentInfo">
    <w:name w:val="Document Info"/>
    <w:basedOn w:val="DefaultParagraphFont"/>
    <w:semiHidden/>
    <w:rsid w:val="00E21D7D"/>
    <w:rPr>
      <w:rFonts w:ascii="Arial" w:hAnsi="Arial"/>
      <w:sz w:val="14"/>
    </w:rPr>
  </w:style>
  <w:style w:type="paragraph" w:customStyle="1" w:styleId="FindingNoTitle">
    <w:name w:val="Finding NoTitle"/>
    <w:basedOn w:val="Finding"/>
    <w:semiHidden/>
    <w:rsid w:val="00E21D7D"/>
    <w:pPr>
      <w:spacing w:before="240"/>
    </w:pPr>
  </w:style>
  <w:style w:type="paragraph" w:customStyle="1" w:styleId="RecTitle">
    <w:name w:val="Rec Title"/>
    <w:basedOn w:val="BodyText"/>
    <w:next w:val="Rec"/>
    <w:qFormat/>
    <w:rsid w:val="00E21D7D"/>
    <w:pPr>
      <w:keepNext/>
      <w:keepLines/>
      <w:spacing w:before="240" w:after="0"/>
      <w:jc w:val="both"/>
    </w:pPr>
    <w:rPr>
      <w:rFonts w:ascii="Arial" w:eastAsia="Times New Roman" w:hAnsi="Arial" w:cs="Times New Roman"/>
      <w:caps/>
      <w:sz w:val="18"/>
      <w:lang w:eastAsia="en-AU"/>
    </w:rPr>
  </w:style>
  <w:style w:type="paragraph" w:customStyle="1" w:styleId="FindingTitle">
    <w:name w:val="Finding Title"/>
    <w:basedOn w:val="RecTitle"/>
    <w:next w:val="Finding"/>
    <w:rsid w:val="00E21D7D"/>
  </w:style>
  <w:style w:type="paragraph" w:customStyle="1" w:styleId="InformationRequest">
    <w:name w:val="Information Request"/>
    <w:basedOn w:val="Finding"/>
    <w:next w:val="BodyText"/>
    <w:rsid w:val="00E21D7D"/>
    <w:rPr>
      <w:i/>
    </w:rPr>
  </w:style>
  <w:style w:type="paragraph" w:customStyle="1" w:styleId="Jurisdictioncommentsbodytext">
    <w:name w:val="Jurisdiction comments body text"/>
    <w:rsid w:val="00E21D7D"/>
    <w:pPr>
      <w:spacing w:after="140" w:line="240" w:lineRule="auto"/>
      <w:jc w:val="both"/>
    </w:pPr>
    <w:rPr>
      <w:rFonts w:ascii="Arial" w:eastAsia="Times New Roman" w:hAnsi="Arial" w:cs="Times New Roman"/>
      <w:sz w:val="24"/>
      <w:szCs w:val="20"/>
    </w:rPr>
  </w:style>
  <w:style w:type="paragraph" w:customStyle="1" w:styleId="Jurisdictioncommentsheading">
    <w:name w:val="Jurisdiction comments heading"/>
    <w:rsid w:val="00E21D7D"/>
    <w:pPr>
      <w:spacing w:after="140" w:line="320" w:lineRule="atLeast"/>
      <w:jc w:val="both"/>
    </w:pPr>
    <w:rPr>
      <w:rFonts w:ascii="Arial" w:eastAsia="Times New Roman" w:hAnsi="Arial" w:cs="Times New Roman"/>
      <w:b/>
      <w:sz w:val="24"/>
      <w:szCs w:val="20"/>
    </w:rPr>
  </w:style>
  <w:style w:type="paragraph" w:customStyle="1" w:styleId="PartDivider">
    <w:name w:val="Part Divider"/>
    <w:basedOn w:val="BodyText"/>
    <w:next w:val="BodyText"/>
    <w:semiHidden/>
    <w:rsid w:val="00E21D7D"/>
    <w:pPr>
      <w:spacing w:before="0" w:after="0" w:line="40" w:lineRule="exact"/>
      <w:jc w:val="right"/>
    </w:pPr>
    <w:rPr>
      <w:rFonts w:ascii="Times New Roman" w:eastAsia="Times New Roman" w:hAnsi="Times New Roman" w:cs="Times New Roman"/>
      <w:smallCaps/>
      <w:sz w:val="16"/>
      <w:lang w:eastAsia="en-AU"/>
    </w:rPr>
  </w:style>
  <w:style w:type="paragraph" w:customStyle="1" w:styleId="PartNumber">
    <w:name w:val="Part Number"/>
    <w:basedOn w:val="BodyText"/>
    <w:next w:val="BodyText"/>
    <w:semiHidden/>
    <w:rsid w:val="00E21D7D"/>
    <w:pPr>
      <w:spacing w:before="4000" w:after="0" w:line="320" w:lineRule="exact"/>
      <w:ind w:left="6634"/>
      <w:jc w:val="right"/>
    </w:pPr>
    <w:rPr>
      <w:rFonts w:ascii="Times New Roman" w:eastAsia="Times New Roman" w:hAnsi="Times New Roman" w:cs="Times New Roman"/>
      <w:smallCaps/>
      <w:spacing w:val="60"/>
      <w:sz w:val="32"/>
      <w:lang w:eastAsia="en-AU"/>
    </w:rPr>
  </w:style>
  <w:style w:type="paragraph" w:customStyle="1" w:styleId="PartTitle">
    <w:name w:val="Part Title"/>
    <w:basedOn w:val="BodyText"/>
    <w:semiHidden/>
    <w:rsid w:val="00E21D7D"/>
    <w:pPr>
      <w:spacing w:before="160" w:after="1360" w:line="520" w:lineRule="exact"/>
      <w:ind w:right="2381"/>
      <w:jc w:val="right"/>
    </w:pPr>
    <w:rPr>
      <w:rFonts w:ascii="Times New Roman" w:eastAsia="Times New Roman" w:hAnsi="Times New Roman" w:cs="Times New Roman"/>
      <w:smallCaps/>
      <w:sz w:val="52"/>
      <w:lang w:eastAsia="en-AU"/>
    </w:rPr>
  </w:style>
  <w:style w:type="paragraph" w:customStyle="1" w:styleId="RecBBullet">
    <w:name w:val="RecB Bullet"/>
    <w:basedOn w:val="RecB"/>
    <w:semiHidden/>
    <w:rsid w:val="00E21D7D"/>
    <w:pPr>
      <w:numPr>
        <w:numId w:val="34"/>
      </w:numPr>
      <w:spacing w:before="80"/>
    </w:pPr>
  </w:style>
  <w:style w:type="paragraph" w:customStyle="1" w:styleId="RecBNoTitle">
    <w:name w:val="RecB NoTitle"/>
    <w:basedOn w:val="RecB"/>
    <w:semiHidden/>
    <w:rsid w:val="00E21D7D"/>
    <w:pPr>
      <w:spacing w:before="240"/>
    </w:pPr>
  </w:style>
  <w:style w:type="paragraph" w:customStyle="1" w:styleId="SequenceInfo">
    <w:name w:val="Sequence Info"/>
    <w:basedOn w:val="BodyText"/>
    <w:semiHidden/>
    <w:rsid w:val="00E21D7D"/>
    <w:pPr>
      <w:spacing w:before="240" w:after="0" w:line="300" w:lineRule="atLeast"/>
      <w:jc w:val="both"/>
    </w:pPr>
    <w:rPr>
      <w:rFonts w:ascii="Times New Roman" w:eastAsia="Times New Roman" w:hAnsi="Times New Roman" w:cs="Times New Roman"/>
      <w:vanish/>
      <w:sz w:val="16"/>
      <w:lang w:eastAsia="en-AU"/>
    </w:rPr>
  </w:style>
  <w:style w:type="paragraph" w:customStyle="1" w:styleId="SideNote">
    <w:name w:val="Side Note"/>
    <w:basedOn w:val="BodyText"/>
    <w:next w:val="BodyText"/>
    <w:semiHidden/>
    <w:rsid w:val="00E21D7D"/>
    <w:pPr>
      <w:keepNext/>
      <w:keepLines/>
      <w:framePr w:w="2155" w:hSpace="227" w:vSpace="181" w:wrap="around" w:vAnchor="text" w:hAnchor="page" w:xAlign="outside" w:y="1"/>
      <w:spacing w:before="240" w:after="0" w:line="300" w:lineRule="atLeast"/>
    </w:pPr>
    <w:rPr>
      <w:rFonts w:ascii="Times New Roman" w:eastAsia="Times New Roman" w:hAnsi="Times New Roman" w:cs="Times New Roman"/>
      <w:i/>
      <w:sz w:val="24"/>
      <w:lang w:eastAsia="en-AU"/>
    </w:rPr>
  </w:style>
  <w:style w:type="paragraph" w:customStyle="1" w:styleId="SideNoteBullet">
    <w:name w:val="Side Note Bullet"/>
    <w:basedOn w:val="SideNote"/>
    <w:next w:val="BodyText"/>
    <w:semiHidden/>
    <w:rsid w:val="00E21D7D"/>
    <w:pPr>
      <w:framePr w:wrap="around"/>
      <w:numPr>
        <w:numId w:val="32"/>
      </w:numPr>
      <w:tabs>
        <w:tab w:val="left" w:pos="227"/>
      </w:tabs>
    </w:pPr>
  </w:style>
  <w:style w:type="paragraph" w:customStyle="1" w:styleId="SideNoteGraphic">
    <w:name w:val="Side Note Graphic"/>
    <w:basedOn w:val="SideNote"/>
    <w:next w:val="BodyText"/>
    <w:semiHidden/>
    <w:rsid w:val="00E21D7D"/>
    <w:pPr>
      <w:framePr w:wrap="around"/>
    </w:pPr>
  </w:style>
  <w:style w:type="paragraph" w:customStyle="1" w:styleId="TableBullet">
    <w:name w:val="Table Bullet"/>
    <w:basedOn w:val="TableBodyText"/>
    <w:rsid w:val="00E21D7D"/>
    <w:pPr>
      <w:numPr>
        <w:numId w:val="33"/>
      </w:numPr>
      <w:tabs>
        <w:tab w:val="clear" w:pos="170"/>
        <w:tab w:val="num" w:pos="360"/>
      </w:tabs>
      <w:ind w:left="6" w:firstLine="0"/>
      <w:jc w:val="left"/>
    </w:pPr>
  </w:style>
  <w:style w:type="paragraph" w:styleId="TableofFigures">
    <w:name w:val="table of figures"/>
    <w:basedOn w:val="TOC3"/>
    <w:next w:val="BodyText"/>
    <w:semiHidden/>
    <w:rsid w:val="00E21D7D"/>
    <w:pPr>
      <w:tabs>
        <w:tab w:val="clear" w:pos="7938"/>
        <w:tab w:val="right" w:pos="8789"/>
      </w:tabs>
      <w:spacing w:before="60" w:after="0" w:line="320" w:lineRule="exact"/>
      <w:ind w:left="737" w:right="851" w:hanging="737"/>
    </w:pPr>
    <w:rPr>
      <w:rFonts w:ascii="Arial" w:eastAsia="Times New Roman" w:hAnsi="Arial" w:cs="Times New Roman"/>
      <w:color w:val="auto"/>
      <w:sz w:val="26"/>
      <w:szCs w:val="26"/>
    </w:rPr>
  </w:style>
  <w:style w:type="paragraph" w:customStyle="1" w:styleId="RecBBullet2">
    <w:name w:val="RecB Bullet 2"/>
    <w:basedOn w:val="ListBullet2"/>
    <w:semiHidden/>
    <w:rsid w:val="00E21D7D"/>
    <w:pPr>
      <w:numPr>
        <w:ilvl w:val="0"/>
        <w:numId w:val="0"/>
      </w:numPr>
      <w:pBdr>
        <w:left w:val="single" w:sz="24" w:space="29" w:color="C0C0C0"/>
      </w:pBdr>
      <w:tabs>
        <w:tab w:val="num" w:pos="680"/>
      </w:tabs>
      <w:spacing w:after="0" w:line="300" w:lineRule="atLeast"/>
      <w:ind w:left="680" w:hanging="340"/>
      <w:contextualSpacing w:val="0"/>
      <w:jc w:val="both"/>
    </w:pPr>
    <w:rPr>
      <w:rFonts w:ascii="Times New Roman" w:eastAsia="Times New Roman" w:hAnsi="Times New Roman" w:cs="Times New Roman"/>
      <w:b/>
      <w:i/>
      <w:sz w:val="24"/>
      <w:lang w:eastAsia="en-AU"/>
    </w:rPr>
  </w:style>
  <w:style w:type="paragraph" w:customStyle="1" w:styleId="InformationRequestBullet">
    <w:name w:val="Information Request Bullet"/>
    <w:basedOn w:val="ListBullet"/>
    <w:next w:val="BodyText"/>
    <w:rsid w:val="00E21D7D"/>
    <w:pPr>
      <w:numPr>
        <w:numId w:val="35"/>
      </w:numPr>
      <w:spacing w:before="80" w:after="0"/>
      <w:contextualSpacing w:val="0"/>
      <w:jc w:val="both"/>
    </w:pPr>
    <w:rPr>
      <w:rFonts w:ascii="Arial" w:eastAsia="Times New Roman" w:hAnsi="Arial" w:cs="Times New Roman"/>
      <w:i/>
      <w:sz w:val="22"/>
      <w:lang w:eastAsia="en-AU"/>
    </w:rPr>
  </w:style>
  <w:style w:type="paragraph" w:customStyle="1" w:styleId="InformationRequestTitle">
    <w:name w:val="Information Request Title"/>
    <w:basedOn w:val="FindingTitle"/>
    <w:next w:val="InformationRequest"/>
    <w:rsid w:val="00E21D7D"/>
    <w:rPr>
      <w:i/>
    </w:rPr>
  </w:style>
  <w:style w:type="paragraph" w:customStyle="1" w:styleId="Heading1nochapterno">
    <w:name w:val="Heading 1 (no chapter no.)"/>
    <w:basedOn w:val="Heading1"/>
    <w:rsid w:val="00E21D7D"/>
    <w:pPr>
      <w:keepNext/>
      <w:numPr>
        <w:numId w:val="0"/>
      </w:numPr>
      <w:pBdr>
        <w:top w:val="none" w:sz="0" w:space="0" w:color="auto"/>
        <w:left w:val="none" w:sz="0" w:space="0" w:color="auto"/>
        <w:bottom w:val="none" w:sz="0" w:space="0" w:color="auto"/>
        <w:right w:val="none" w:sz="0" w:space="0" w:color="auto"/>
      </w:pBdr>
      <w:shd w:val="clear" w:color="auto" w:fill="auto"/>
      <w:spacing w:before="0" w:after="1360" w:line="600" w:lineRule="exact"/>
      <w:ind w:right="0"/>
    </w:pPr>
    <w:rPr>
      <w:rFonts w:ascii="Times New Roman" w:eastAsia="Times New Roman" w:hAnsi="Times New Roman" w:cs="Times New Roman"/>
      <w:color w:val="auto"/>
      <w:sz w:val="52"/>
      <w:lang w:eastAsia="en-AU"/>
    </w:rPr>
  </w:style>
  <w:style w:type="paragraph" w:customStyle="1" w:styleId="Heading2nosectionno">
    <w:name w:val="Heading 2 (no section no.)"/>
    <w:basedOn w:val="Heading2"/>
    <w:rsid w:val="00E21D7D"/>
    <w:pPr>
      <w:keepLines w:val="0"/>
      <w:numPr>
        <w:ilvl w:val="0"/>
        <w:numId w:val="0"/>
      </w:numPr>
      <w:spacing w:before="600" w:after="0" w:line="400" w:lineRule="exact"/>
    </w:pPr>
    <w:rPr>
      <w:rFonts w:ascii="Arial" w:eastAsia="Times New Roman" w:hAnsi="Arial" w:cs="Times New Roman"/>
      <w:b/>
      <w:sz w:val="32"/>
      <w:szCs w:val="20"/>
      <w:lang w:eastAsia="en-AU"/>
    </w:rPr>
  </w:style>
  <w:style w:type="paragraph" w:styleId="NoteHeading">
    <w:name w:val="Note Heading"/>
    <w:basedOn w:val="Normal"/>
    <w:next w:val="Normal"/>
    <w:link w:val="NoteHeadingChar"/>
    <w:uiPriority w:val="99"/>
    <w:unhideWhenUsed/>
    <w:rsid w:val="00E21D7D"/>
    <w:pPr>
      <w:spacing w:before="0" w:after="0" w:line="240" w:lineRule="auto"/>
    </w:pPr>
    <w:rPr>
      <w:rFonts w:ascii="Arial" w:hAnsi="Arial" w:cs="Arial"/>
      <w:sz w:val="22"/>
      <w:szCs w:val="22"/>
    </w:rPr>
  </w:style>
  <w:style w:type="character" w:customStyle="1" w:styleId="NoteHeadingChar">
    <w:name w:val="Note Heading Char"/>
    <w:basedOn w:val="DefaultParagraphFont"/>
    <w:link w:val="NoteHeading"/>
    <w:uiPriority w:val="99"/>
    <w:rsid w:val="00E21D7D"/>
    <w:rPr>
      <w:rFonts w:ascii="Arial" w:hAnsi="Arial" w:cs="Arial"/>
    </w:rPr>
  </w:style>
  <w:style w:type="paragraph" w:customStyle="1" w:styleId="Heading1NotTOC">
    <w:name w:val="Heading 1 Not TOC"/>
    <w:basedOn w:val="Heading1"/>
    <w:next w:val="BodyText"/>
    <w:rsid w:val="00E21D7D"/>
    <w:pPr>
      <w:keepNext/>
      <w:numPr>
        <w:numId w:val="0"/>
      </w:numPr>
      <w:pBdr>
        <w:top w:val="none" w:sz="0" w:space="0" w:color="auto"/>
        <w:left w:val="none" w:sz="0" w:space="0" w:color="auto"/>
        <w:bottom w:val="none" w:sz="0" w:space="0" w:color="auto"/>
        <w:right w:val="none" w:sz="0" w:space="0" w:color="auto"/>
      </w:pBdr>
      <w:shd w:val="clear" w:color="auto" w:fill="auto"/>
      <w:spacing w:before="160" w:after="1360" w:line="600" w:lineRule="exact"/>
      <w:ind w:left="907" w:right="0" w:hanging="907"/>
    </w:pPr>
    <w:rPr>
      <w:rFonts w:ascii="Times New Roman" w:eastAsia="Times New Roman" w:hAnsi="Times New Roman" w:cs="Times New Roman"/>
      <w:color w:val="auto"/>
      <w:kern w:val="28"/>
      <w:sz w:val="52"/>
      <w:szCs w:val="26"/>
    </w:rPr>
  </w:style>
  <w:style w:type="paragraph" w:customStyle="1" w:styleId="Indenta">
    <w:name w:val="Indent(a)"/>
    <w:rsid w:val="00E21D7D"/>
    <w:pPr>
      <w:tabs>
        <w:tab w:val="right" w:pos="1332"/>
        <w:tab w:val="left" w:pos="1616"/>
      </w:tabs>
      <w:spacing w:before="80" w:after="0" w:line="260" w:lineRule="atLeast"/>
      <w:ind w:left="1616" w:hanging="1616"/>
    </w:pPr>
    <w:rPr>
      <w:rFonts w:ascii="Times New Roman" w:eastAsia="Times New Roman" w:hAnsi="Times New Roman" w:cs="Times New Roman"/>
      <w:sz w:val="24"/>
      <w:szCs w:val="20"/>
      <w:lang w:eastAsia="en-AU"/>
    </w:rPr>
  </w:style>
  <w:style w:type="paragraph" w:customStyle="1" w:styleId="TOC10">
    <w:name w:val="TOC1"/>
    <w:basedOn w:val="Heading1-nobackground"/>
    <w:rsid w:val="00E21D7D"/>
  </w:style>
  <w:style w:type="table" w:customStyle="1" w:styleId="Texttable-Paleblue3">
    <w:name w:val="Text table-Pale blue3"/>
    <w:basedOn w:val="TableNormal"/>
    <w:uiPriority w:val="99"/>
    <w:rsid w:val="00E21D7D"/>
    <w:pPr>
      <w:spacing w:after="0" w:line="240" w:lineRule="auto"/>
    </w:pPr>
    <w:tblPr>
      <w:tblCellMar>
        <w:top w:w="113" w:type="dxa"/>
        <w:left w:w="113" w:type="dxa"/>
        <w:bottom w:w="113" w:type="dxa"/>
        <w:right w:w="113" w:type="dxa"/>
      </w:tblCellMar>
    </w:tblPr>
    <w:tcPr>
      <w:shd w:val="clear" w:color="auto" w:fill="EFF9FE"/>
    </w:tcPr>
  </w:style>
  <w:style w:type="table" w:customStyle="1" w:styleId="Texttable-Paleblue4">
    <w:name w:val="Text table-Pale blue4"/>
    <w:basedOn w:val="TableNormal"/>
    <w:uiPriority w:val="99"/>
    <w:rsid w:val="00E21D7D"/>
    <w:pPr>
      <w:spacing w:after="0" w:line="240" w:lineRule="auto"/>
    </w:pPr>
    <w:tblPr>
      <w:tblCellMar>
        <w:top w:w="113" w:type="dxa"/>
        <w:left w:w="113" w:type="dxa"/>
        <w:bottom w:w="113" w:type="dxa"/>
        <w:right w:w="113" w:type="dxa"/>
      </w:tblCellMar>
    </w:tblPr>
    <w:tcPr>
      <w:shd w:val="clear" w:color="auto" w:fill="EFF9FE"/>
    </w:tcPr>
  </w:style>
  <w:style w:type="table" w:customStyle="1" w:styleId="Texttable-Paleblue5">
    <w:name w:val="Text table-Pale blue5"/>
    <w:basedOn w:val="TableNormal"/>
    <w:uiPriority w:val="99"/>
    <w:rsid w:val="00E21D7D"/>
    <w:pPr>
      <w:spacing w:after="0" w:line="240" w:lineRule="auto"/>
    </w:pPr>
    <w:tblPr>
      <w:tblCellMar>
        <w:top w:w="113" w:type="dxa"/>
        <w:left w:w="113" w:type="dxa"/>
        <w:bottom w:w="113" w:type="dxa"/>
        <w:right w:w="113" w:type="dxa"/>
      </w:tblCellMar>
    </w:tblPr>
    <w:tcPr>
      <w:shd w:val="clear" w:color="auto" w:fill="EFF9FE"/>
    </w:tcPr>
  </w:style>
  <w:style w:type="table" w:customStyle="1" w:styleId="Texttable-Paleblue6">
    <w:name w:val="Text table-Pale blue6"/>
    <w:basedOn w:val="TableNormal"/>
    <w:uiPriority w:val="99"/>
    <w:rsid w:val="00E21D7D"/>
    <w:pPr>
      <w:spacing w:after="0" w:line="240" w:lineRule="auto"/>
    </w:pPr>
    <w:tblPr>
      <w:tblCellMar>
        <w:top w:w="113" w:type="dxa"/>
        <w:left w:w="113" w:type="dxa"/>
        <w:bottom w:w="113" w:type="dxa"/>
        <w:right w:w="113" w:type="dxa"/>
      </w:tblCellMar>
    </w:tblPr>
    <w:tcPr>
      <w:shd w:val="clear" w:color="auto" w:fill="EFF9FE"/>
    </w:tcPr>
  </w:style>
  <w:style w:type="table" w:customStyle="1" w:styleId="TableGrid1">
    <w:name w:val="Table Grid1"/>
    <w:basedOn w:val="TableNormal"/>
    <w:next w:val="TableGrid"/>
    <w:uiPriority w:val="39"/>
    <w:rsid w:val="00E21D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D15E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228165">
      <w:bodyDiv w:val="1"/>
      <w:marLeft w:val="0"/>
      <w:marRight w:val="0"/>
      <w:marTop w:val="0"/>
      <w:marBottom w:val="0"/>
      <w:divBdr>
        <w:top w:val="none" w:sz="0" w:space="0" w:color="auto"/>
        <w:left w:val="none" w:sz="0" w:space="0" w:color="auto"/>
        <w:bottom w:val="none" w:sz="0" w:space="0" w:color="auto"/>
        <w:right w:val="none" w:sz="0" w:space="0" w:color="auto"/>
      </w:divBdr>
    </w:div>
    <w:div w:id="236520799">
      <w:bodyDiv w:val="1"/>
      <w:marLeft w:val="0"/>
      <w:marRight w:val="0"/>
      <w:marTop w:val="0"/>
      <w:marBottom w:val="0"/>
      <w:divBdr>
        <w:top w:val="none" w:sz="0" w:space="0" w:color="auto"/>
        <w:left w:val="none" w:sz="0" w:space="0" w:color="auto"/>
        <w:bottom w:val="none" w:sz="0" w:space="0" w:color="auto"/>
        <w:right w:val="none" w:sz="0" w:space="0" w:color="auto"/>
      </w:divBdr>
    </w:div>
    <w:div w:id="633371374">
      <w:bodyDiv w:val="1"/>
      <w:marLeft w:val="0"/>
      <w:marRight w:val="0"/>
      <w:marTop w:val="0"/>
      <w:marBottom w:val="0"/>
      <w:divBdr>
        <w:top w:val="none" w:sz="0" w:space="0" w:color="auto"/>
        <w:left w:val="none" w:sz="0" w:space="0" w:color="auto"/>
        <w:bottom w:val="none" w:sz="0" w:space="0" w:color="auto"/>
        <w:right w:val="none" w:sz="0" w:space="0" w:color="auto"/>
      </w:divBdr>
    </w:div>
    <w:div w:id="640499677">
      <w:bodyDiv w:val="1"/>
      <w:marLeft w:val="0"/>
      <w:marRight w:val="0"/>
      <w:marTop w:val="0"/>
      <w:marBottom w:val="0"/>
      <w:divBdr>
        <w:top w:val="none" w:sz="0" w:space="0" w:color="auto"/>
        <w:left w:val="none" w:sz="0" w:space="0" w:color="auto"/>
        <w:bottom w:val="none" w:sz="0" w:space="0" w:color="auto"/>
        <w:right w:val="none" w:sz="0" w:space="0" w:color="auto"/>
      </w:divBdr>
    </w:div>
    <w:div w:id="1628193535">
      <w:bodyDiv w:val="1"/>
      <w:marLeft w:val="0"/>
      <w:marRight w:val="0"/>
      <w:marTop w:val="0"/>
      <w:marBottom w:val="0"/>
      <w:divBdr>
        <w:top w:val="none" w:sz="0" w:space="0" w:color="auto"/>
        <w:left w:val="none" w:sz="0" w:space="0" w:color="auto"/>
        <w:bottom w:val="none" w:sz="0" w:space="0" w:color="auto"/>
        <w:right w:val="none" w:sz="0" w:space="0" w:color="auto"/>
      </w:divBdr>
    </w:div>
    <w:div w:id="2145929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footer" Target="footer2.xml"/><Relationship Id="rId26" Type="http://schemas.openxmlformats.org/officeDocument/2006/relationships/image" Target="media/image9.emf"/><Relationship Id="rId3" Type="http://schemas.openxmlformats.org/officeDocument/2006/relationships/customXml" Target="../customXml/item3.xml"/><Relationship Id="rId21" Type="http://schemas.openxmlformats.org/officeDocument/2006/relationships/image" Target="media/image4.png"/><Relationship Id="rId34"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5" Type="http://schemas.openxmlformats.org/officeDocument/2006/relationships/image" Target="media/image8.emf"/><Relationship Id="rId33"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image" Target="media/image12.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7.emf"/><Relationship Id="rId32" Type="http://schemas.openxmlformats.org/officeDocument/2006/relationships/footer" Target="footer4.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image" Target="media/image6.emf"/><Relationship Id="rId28" Type="http://schemas.openxmlformats.org/officeDocument/2006/relationships/image" Target="media/image11.emf"/><Relationship Id="rId10" Type="http://schemas.openxmlformats.org/officeDocument/2006/relationships/settings" Target="settings.xml"/><Relationship Id="rId19" Type="http://schemas.openxmlformats.org/officeDocument/2006/relationships/header" Target="header3.xml"/><Relationship Id="rId31"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jpeg"/><Relationship Id="rId22" Type="http://schemas.openxmlformats.org/officeDocument/2006/relationships/image" Target="media/image5.svg"/><Relationship Id="rId27" Type="http://schemas.openxmlformats.org/officeDocument/2006/relationships/image" Target="media/image10.emf"/><Relationship Id="rId30" Type="http://schemas.openxmlformats.org/officeDocument/2006/relationships/header" Target="header4.xml"/><Relationship Id="rId35" Type="http://schemas.openxmlformats.org/officeDocument/2006/relationships/theme" Target="theme/theme1.xml"/><Relationship Id="rId8" Type="http://schemas.openxmlformats.org/officeDocument/2006/relationships/numbering" Target="numbering.xml"/></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https://pcgov.sharepoint.com/sites/sce/FormServerTemplates/PC-report-template.dotx" TargetMode="External"/></Relationships>
</file>

<file path=word/theme/theme1.xml><?xml version="1.0" encoding="utf-8"?>
<a:theme xmlns:a="http://schemas.openxmlformats.org/drawingml/2006/main" name="Office Theme">
  <a:themeElements>
    <a:clrScheme name="PC colour themeNew">
      <a:dk1>
        <a:sysClr val="windowText" lastClr="000000"/>
      </a:dk1>
      <a:lt1>
        <a:sysClr val="window" lastClr="FFFFFF"/>
      </a:lt1>
      <a:dk2>
        <a:srgbClr val="66BCDB"/>
      </a:dk2>
      <a:lt2>
        <a:srgbClr val="265A9A"/>
      </a:lt2>
      <a:accent1>
        <a:srgbClr val="78A22F"/>
      </a:accent1>
      <a:accent2>
        <a:srgbClr val="4D7028"/>
      </a:accent2>
      <a:accent3>
        <a:srgbClr val="F4B123"/>
      </a:accent3>
      <a:accent4>
        <a:srgbClr val="F15A25"/>
      </a:accent4>
      <a:accent5>
        <a:srgbClr val="A52828"/>
      </a:accent5>
      <a:accent6>
        <a:srgbClr val="8956A3"/>
      </a:accent6>
      <a:hlink>
        <a:srgbClr val="000000"/>
      </a:hlink>
      <a:folHlink>
        <a:srgbClr val="BFBFBF"/>
      </a:folHlink>
    </a:clrScheme>
    <a:fontScheme name="ACDC">
      <a:majorFont>
        <a:latin typeface="Arial Black"/>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PC Dark Blue">
      <a:srgbClr val="265999"/>
    </a:custClr>
    <a:custClr name="PC Mid Blue">
      <a:srgbClr val="2C9BC2"/>
    </a:custClr>
    <a:custClr name="PC Blue">
      <a:srgbClr val="66B9DA"/>
    </a:custClr>
    <a:custClr name="PC Light Blue">
      <a:srgbClr val="EEF8FD"/>
    </a:custClr>
    <a:custClr name="PC Light Grey">
      <a:srgbClr val="F2F2F2"/>
    </a:custClr>
    <a:custClr name="PC Grey">
      <a:srgbClr val="DBDCDE"/>
    </a:custClr>
    <a:custClr name="PC Dark Grey">
      <a:srgbClr val="58585B"/>
    </a:custClr>
    <a:custClr name="PC Green">
      <a:srgbClr val="7AA644"/>
    </a:custClr>
    <a:custClr name="PC Dark green">
      <a:srgbClr val="3A703A"/>
    </a:custClr>
    <a:custClr name="PC Yellow">
      <a:srgbClr val="FCB221"/>
    </a:custClr>
    <a:custClr name="PC Orange">
      <a:srgbClr val="F15A2B"/>
    </a:custClr>
    <a:custClr name="PC Dark Red">
      <a:srgbClr val="A22D2B"/>
    </a:custClr>
    <a:custClr name="PC Purple">
      <a:srgbClr val="8857A2"/>
    </a:custClr>
  </a:custClr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5">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EA742E3-5256-4F92-AB88-6CDC04A53717}">
  <we:reference id="c112e7c3-664d-4d8c-93c0-1a34f676523c" version="1.0.0.7" store="EXCatalog" storeType="EX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MPW Document" ma:contentTypeID="0x0101006C0B5E815648EF46B6FA6D42F17E5E9F000C963E276195B04F83BC027CFDC94A8D" ma:contentTypeVersion="18" ma:contentTypeDescription="" ma:contentTypeScope="" ma:versionID="01c678993854c1b49cab63ac6c0a5bcd">
  <xsd:schema xmlns:xsd="http://www.w3.org/2001/XMLSchema" xmlns:xs="http://www.w3.org/2001/XMLSchema" xmlns:p="http://schemas.microsoft.com/office/2006/metadata/properties" xmlns:ns2="20393cdf-440a-4521-8f19-00ba43423d00" xmlns:ns3="3d385984-9344-419b-a80b-49c06a2bdab8" targetNamespace="http://schemas.microsoft.com/office/2006/metadata/properties" ma:root="true" ma:fieldsID="1fce02efdce440e87d5f67eb1964122a" ns2:_="" ns3:_="">
    <xsd:import namespace="20393cdf-440a-4521-8f19-00ba43423d00"/>
    <xsd:import namespace="3d385984-9344-419b-a80b-49c06a2bdab8"/>
    <xsd:element name="properties">
      <xsd:complexType>
        <xsd:sequence>
          <xsd:element name="documentManagement">
            <xsd:complexType>
              <xsd:all>
                <xsd:element ref="ns2:_dlc_DocId" minOccurs="0"/>
                <xsd:element ref="ns2:_dlc_DocIdUrl" minOccurs="0"/>
                <xsd:element ref="ns2:_dlc_DocIdPersistId"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2:SharedWithUsers" minOccurs="0"/>
                <xsd:element ref="ns2:SharedWithDetails" minOccurs="0"/>
                <xsd:element ref="ns3:MediaServiceLocation" minOccurs="0"/>
                <xsd:element ref="ns2:i0f84bba906045b4af568ee102a52dcb" minOccurs="0"/>
                <xsd:element ref="ns2:TaxCatchAll" minOccurs="0"/>
                <xsd:element ref="ns3:MediaLengthInSeconds" minOccurs="0"/>
                <xsd:element ref="ns3:thumbnail" minOccurs="0"/>
                <xsd:element ref="ns3:lcf76f155ced4ddcb4097134ff3c332f" minOccurs="0"/>
                <xsd:element ref="ns3:_Flow_SignoffStatu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393cdf-440a-4521-8f19-00ba43423d0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i0f84bba906045b4af568ee102a52dcb" ma:index="20"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af6d4cc1-c529-4b5b-a8f1-9797b2b9eddf}" ma:internalName="TaxCatchAll" ma:showField="CatchAllData" ma:web="20393cdf-440a-4521-8f19-00ba43423d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d385984-9344-419b-a80b-49c06a2bdab8" elementFormDefault="qualified">
    <xsd:import namespace="http://schemas.microsoft.com/office/2006/documentManagement/types"/>
    <xsd:import namespace="http://schemas.microsoft.com/office/infopath/2007/PartnerControls"/>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thumbnail" ma:index="23" nillable="true" ma:displayName="thumbnail" ma:format="Thumbnail" ma:internalName="thumbnail">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9e7832e3-0c1d-4697-8be2-0d137dca2da6" ma:termSetId="09814cd3-568e-fe90-9814-8d621ff8fb84" ma:anchorId="fba54fb3-c3e1-fe81-a776-ca4b69148c4d" ma:open="true" ma:isKeyword="false">
      <xsd:complexType>
        <xsd:sequence>
          <xsd:element ref="pc:Terms" minOccurs="0" maxOccurs="1"/>
        </xsd:sequence>
      </xsd:complexType>
    </xsd:element>
    <xsd:element name="_Flow_SignoffStatus" ma:index="26" nillable="true" ma:displayName="Sign-off status" ma:internalName="Sign_x002d_off_x0020_status">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TemplafyTemplateConfiguration><![CDATA[{"elementsMetadata":[],"transformationConfigurations":[],"templateName":"chapter","templateDescription":"","enableDocumentContentUpdater":false,"version":"2.0"}]]></TemplafyTemplateConfiguration>
</file>

<file path=customXml/item6.xml><?xml version="1.0" encoding="utf-8"?>
<p:properties xmlns:p="http://schemas.microsoft.com/office/2006/metadata/properties" xmlns:xsi="http://www.w3.org/2001/XMLSchema-instance" xmlns:pc="http://schemas.microsoft.com/office/infopath/2007/PartnerControls">
  <documentManagement>
    <TaxCatchAll xmlns="20393cdf-440a-4521-8f19-00ba43423d00">
      <Value>1</Value>
    </TaxCatchAll>
    <i0f84bba906045b4af568ee102a52dcb xmlns="20393cdf-440a-4521-8f19-00ba43423d00">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lcf76f155ced4ddcb4097134ff3c332f xmlns="3d385984-9344-419b-a80b-49c06a2bdab8">
      <Terms xmlns="http://schemas.microsoft.com/office/infopath/2007/PartnerControls"/>
    </lcf76f155ced4ddcb4097134ff3c332f>
    <thumbnail xmlns="3d385984-9344-419b-a80b-49c06a2bdab8" xsi:nil="true"/>
    <_Flow_SignoffStatus xmlns="3d385984-9344-419b-a80b-49c06a2bdab8" xsi:nil="true"/>
    <_dlc_DocId xmlns="20393cdf-440a-4521-8f19-00ba43423d00">MPWT-2140667901-25767</_dlc_DocId>
    <_dlc_DocIdUrl xmlns="20393cdf-440a-4521-8f19-00ba43423d00">
      <Url>https://pcgov.sharepoint.com/sites/sceteam/_layouts/15/DocIdRedir.aspx?ID=MPWT-2140667901-25767</Url>
      <Description>MPWT-2140667901-25767</Description>
    </_dlc_DocIdUrl>
  </documentManagement>
</p:properties>
</file>

<file path=customXml/item7.xml><?xml version="1.0" encoding="utf-8"?>
<TemplafyFormConfiguration><![CDATA[{"formFields":[],"formDataEntries":[]}]]></TemplafyFormConfiguration>
</file>

<file path=customXml/itemProps1.xml><?xml version="1.0" encoding="utf-8"?>
<ds:datastoreItem xmlns:ds="http://schemas.openxmlformats.org/officeDocument/2006/customXml" ds:itemID="{5D2B1D1C-AE46-4FC3-8FCD-4BE8D80F86DC}">
  <ds:schemaRefs>
    <ds:schemaRef ds:uri="http://schemas.microsoft.com/sharepoint/v3/contenttype/forms"/>
  </ds:schemaRefs>
</ds:datastoreItem>
</file>

<file path=customXml/itemProps2.xml><?xml version="1.0" encoding="utf-8"?>
<ds:datastoreItem xmlns:ds="http://schemas.openxmlformats.org/officeDocument/2006/customXml" ds:itemID="{C6228241-0F7D-4B5C-A94F-E8ED4EAFE4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393cdf-440a-4521-8f19-00ba43423d00"/>
    <ds:schemaRef ds:uri="3d385984-9344-419b-a80b-49c06a2bda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051BFF-30E5-410D-B231-23FC8F8D9D13}">
  <ds:schemaRefs>
    <ds:schemaRef ds:uri="http://schemas.openxmlformats.org/officeDocument/2006/bibliography"/>
  </ds:schemaRefs>
</ds:datastoreItem>
</file>

<file path=customXml/itemProps4.xml><?xml version="1.0" encoding="utf-8"?>
<ds:datastoreItem xmlns:ds="http://schemas.openxmlformats.org/officeDocument/2006/customXml" ds:itemID="{7CEFAA6E-2F73-4A9B-82C2-B270B02F260C}">
  <ds:schemaRefs>
    <ds:schemaRef ds:uri="http://schemas.microsoft.com/sharepoint/events"/>
  </ds:schemaRefs>
</ds:datastoreItem>
</file>

<file path=customXml/itemProps5.xml><?xml version="1.0" encoding="utf-8"?>
<ds:datastoreItem xmlns:ds="http://schemas.openxmlformats.org/officeDocument/2006/customXml" ds:itemID="{5CCDCE8C-2FF2-479D-91C1-79A7A7683D3C}">
  <ds:schemaRefs/>
</ds:datastoreItem>
</file>

<file path=customXml/itemProps6.xml><?xml version="1.0" encoding="utf-8"?>
<ds:datastoreItem xmlns:ds="http://schemas.openxmlformats.org/officeDocument/2006/customXml" ds:itemID="{35366D07-8276-4E93-B13B-AF4CDB174A1A}">
  <ds:schemaRefs>
    <ds:schemaRef ds:uri="http://purl.org/dc/terms/"/>
    <ds:schemaRef ds:uri="http://schemas.microsoft.com/office/infopath/2007/PartnerControls"/>
    <ds:schemaRef ds:uri="http://www.w3.org/XML/1998/namespace"/>
    <ds:schemaRef ds:uri="20393cdf-440a-4521-8f19-00ba43423d00"/>
    <ds:schemaRef ds:uri="http://schemas.microsoft.com/office/2006/documentManagement/types"/>
    <ds:schemaRef ds:uri="3d385984-9344-419b-a80b-49c06a2bdab8"/>
    <ds:schemaRef ds:uri="http://purl.org/dc/dcmitype/"/>
    <ds:schemaRef ds:uri="http://purl.org/dc/elements/1.1/"/>
    <ds:schemaRef ds:uri="http://schemas.openxmlformats.org/package/2006/metadata/core-properties"/>
    <ds:schemaRef ds:uri="http://schemas.microsoft.com/office/2006/metadata/properties"/>
  </ds:schemaRefs>
</ds:datastoreItem>
</file>

<file path=customXml/itemProps7.xml><?xml version="1.0" encoding="utf-8"?>
<ds:datastoreItem xmlns:ds="http://schemas.openxmlformats.org/officeDocument/2006/customXml" ds:itemID="{9897F752-2238-441E-ABA5-DB8C10DEA577}">
  <ds:schemaRefs/>
</ds:datastoreItem>
</file>

<file path=docProps/app.xml><?xml version="1.0" encoding="utf-8"?>
<Properties xmlns="http://schemas.openxmlformats.org/officeDocument/2006/extended-properties" xmlns:vt="http://schemas.openxmlformats.org/officeDocument/2006/docPropsVTypes">
  <Template>PC-report-template</Template>
  <TotalTime>428</TotalTime>
  <Pages>19</Pages>
  <Words>7442</Words>
  <Characters>42425</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Submission to the inquiry into the worsening rental crisis in Australia</vt:lpstr>
    </vt:vector>
  </TitlesOfParts>
  <Company>Productivity Commission</Company>
  <LinksUpToDate>false</LinksUpToDate>
  <CharactersWithSpaces>49768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to the inquiry into the worsening rental crisis in Australia</dc:title>
  <dc:subject>Productivity Commission submission</dc:subject>
  <dc:creator>Productivity Commission</dc:creator>
  <cp:keywords/>
  <dc:description/>
  <cp:lastModifiedBy>Chris Alston</cp:lastModifiedBy>
  <cp:revision>334</cp:revision>
  <cp:lastPrinted>2023-09-18T00:38:00Z</cp:lastPrinted>
  <dcterms:created xsi:type="dcterms:W3CDTF">2023-07-11T09:54:00Z</dcterms:created>
  <dcterms:modified xsi:type="dcterms:W3CDTF">2023-09-18T00:40:00Z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fyTenantId">
    <vt:lpwstr>productivitycommission</vt:lpwstr>
  </property>
  <property fmtid="{D5CDD505-2E9C-101B-9397-08002B2CF9AE}" pid="3" name="TemplafyTemplateId">
    <vt:lpwstr>637629323564275408</vt:lpwstr>
  </property>
  <property fmtid="{D5CDD505-2E9C-101B-9397-08002B2CF9AE}" pid="4" name="TemplafyUserProfileId">
    <vt:lpwstr>637801552324409067</vt:lpwstr>
  </property>
  <property fmtid="{D5CDD505-2E9C-101B-9397-08002B2CF9AE}" pid="5" name="TemplafyFromBlank">
    <vt:bool>false</vt:bool>
  </property>
  <property fmtid="{D5CDD505-2E9C-101B-9397-08002B2CF9AE}" pid="6" name="ContentTypeId">
    <vt:lpwstr>0x0101006C0B5E815648EF46B6FA6D42F17E5E9F000C963E276195B04F83BC027CFDC94A8D</vt:lpwstr>
  </property>
  <property fmtid="{D5CDD505-2E9C-101B-9397-08002B2CF9AE}" pid="7" name="RevIMBCS">
    <vt:lpwstr>1;#Unclassified|3955eeb1-2d18-4582-aeb2-00144ec3aaf5</vt:lpwstr>
  </property>
  <property fmtid="{D5CDD505-2E9C-101B-9397-08002B2CF9AE}" pid="8" name="GrammarlyDocumentId">
    <vt:lpwstr>da8b8a32798c134a1374d4fcba7135daadac3bf45e91cce65beb9cc835804a85</vt:lpwstr>
  </property>
  <property fmtid="{D5CDD505-2E9C-101B-9397-08002B2CF9AE}" pid="9" name="ZOTERO_PREF_1">
    <vt:lpwstr>&lt;data data-version="3" zotero-version="6.0.26"&gt;&lt;session id="iMmA03Fl"/&gt;&lt;style id="http://www.zotero.org/styles/Productivity-Commission" hasBibliography="1" bibliographyStyleHasBeenSet="1"/&gt;&lt;prefs&gt;&lt;pref name="fieldType" value="Field"/&gt;&lt;/prefs&gt;&lt;/data&gt;</vt:lpwstr>
  </property>
  <property fmtid="{D5CDD505-2E9C-101B-9397-08002B2CF9AE}" pid="10" name="_dlc_DocIdItemGuid">
    <vt:lpwstr>16ce3e83-3750-40be-9e72-7ee63119e758</vt:lpwstr>
  </property>
  <property fmtid="{D5CDD505-2E9C-101B-9397-08002B2CF9AE}" pid="11" name="MediaServiceImageTags">
    <vt:lpwstr/>
  </property>
</Properties>
</file>