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58" w:rsidRPr="00C11558" w:rsidRDefault="00187E35" w:rsidP="00C11558">
      <w:pPr>
        <w:pStyle w:val="Heading1NotTOC"/>
        <w:rPr>
          <w:color w:val="FFFFFF" w:themeColor="background1"/>
          <w:sz w:val="16"/>
          <w:szCs w:val="16"/>
        </w:rPr>
      </w:pPr>
      <w:r>
        <w:rPr>
          <w:noProof/>
          <w:color w:val="FFFFFF" w:themeColor="background1"/>
          <w:sz w:val="16"/>
          <w:szCs w:val="16"/>
          <w:lang w:eastAsia="en-AU"/>
        </w:rPr>
        <w:drawing>
          <wp:anchor distT="0" distB="0" distL="114300" distR="114300" simplePos="0" relativeHeight="251661312" behindDoc="0" locked="0" layoutInCell="1" allowOverlap="1" wp14:anchorId="6E3F816D" wp14:editId="15551D86">
            <wp:simplePos x="0" y="0"/>
            <wp:positionH relativeFrom="page">
              <wp:posOffset>0</wp:posOffset>
            </wp:positionH>
            <wp:positionV relativeFrom="page">
              <wp:posOffset>1</wp:posOffset>
            </wp:positionV>
            <wp:extent cx="7558410" cy="10691493"/>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staff-research-notes-Ro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8410" cy="10691493"/>
                    </a:xfrm>
                    <a:prstGeom prst="rect">
                      <a:avLst/>
                    </a:prstGeom>
                  </pic:spPr>
                </pic:pic>
              </a:graphicData>
            </a:graphic>
            <wp14:sizeRelH relativeFrom="page">
              <wp14:pctWidth>0</wp14:pctWidth>
            </wp14:sizeRelH>
            <wp14:sizeRelV relativeFrom="page">
              <wp14:pctHeight>0</wp14:pctHeight>
            </wp14:sizeRelV>
          </wp:anchor>
        </w:drawing>
      </w:r>
      <w:r w:rsidR="00C11558" w:rsidRPr="00C11558">
        <w:rPr>
          <w:color w:val="FFFFFF" w:themeColor="background1"/>
          <w:sz w:val="16"/>
          <w:szCs w:val="16"/>
        </w:rPr>
        <w:t xml:space="preserve">Rules of Origin. </w:t>
      </w:r>
    </w:p>
    <w:p w:rsidR="00B04D19" w:rsidRPr="00187E35" w:rsidRDefault="00C11558" w:rsidP="00187E35">
      <w:pPr>
        <w:pStyle w:val="BodyText"/>
        <w:rPr>
          <w:sz w:val="16"/>
          <w:szCs w:val="16"/>
        </w:rPr>
      </w:pPr>
      <w:r w:rsidRPr="00187E35">
        <w:rPr>
          <w:color w:val="FFFFFF" w:themeColor="background1"/>
          <w:sz w:val="16"/>
          <w:szCs w:val="16"/>
        </w:rPr>
        <w:t>Productivity Commission Staff Research Note. May 2017.</w:t>
      </w:r>
      <w:r w:rsidR="00B04D19" w:rsidRPr="00187E35">
        <w:rPr>
          <w:sz w:val="16"/>
          <w:szCs w:val="16"/>
        </w:rPr>
        <w:br w:type="page"/>
      </w:r>
    </w:p>
    <w:bookmarkStart w:id="0" w:name="cov"/>
    <w:bookmarkEnd w:id="0"/>
    <w:p w:rsidR="00EE6D20" w:rsidRDefault="00EE6D20" w:rsidP="00EE6D20">
      <w:pPr>
        <w:pStyle w:val="Copyrightheading"/>
        <w:spacing w:before="600"/>
      </w:pPr>
      <w:r w:rsidRPr="008C305F">
        <w:lastRenderedPageBreak/>
        <w:fldChar w:fldCharType="begin"/>
      </w:r>
      <w:r w:rsidRPr="008C305F">
        <w:instrText>SYMBOL 227 \f "Symbol"</w:instrText>
      </w:r>
      <w:r w:rsidRPr="008C305F">
        <w:fldChar w:fldCharType="end"/>
      </w:r>
      <w:r w:rsidRPr="008C305F">
        <w:t xml:space="preserve"> Commonwealth of Australia </w:t>
      </w:r>
      <w:r>
        <w:t>201</w:t>
      </w:r>
      <w:r w:rsidR="00850324">
        <w:t>7</w:t>
      </w:r>
    </w:p>
    <w:p w:rsidR="00EE6D20" w:rsidRDefault="00EE6D20" w:rsidP="00EE6D20">
      <w:pPr>
        <w:pStyle w:val="BodyText"/>
        <w:spacing w:after="120"/>
      </w:pPr>
      <w:bookmarkStart w:id="1" w:name="ISSN"/>
      <w:bookmarkEnd w:id="1"/>
      <w:r w:rsidRPr="00862D8F">
        <w:rPr>
          <w:noProof/>
          <w:sz w:val="22"/>
          <w:szCs w:val="22"/>
        </w:rPr>
        <w:drawing>
          <wp:inline distT="0" distB="0" distL="0" distR="0" wp14:anchorId="578EFD47" wp14:editId="23976EA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EE6D20" w:rsidRPr="008A3857" w:rsidRDefault="00EE6D20" w:rsidP="00EE6D20">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EE6D20" w:rsidRPr="008A3857" w:rsidRDefault="00EE6D20" w:rsidP="00EE6D20">
      <w:pPr>
        <w:pStyle w:val="Copyrightsubtitle"/>
      </w:pPr>
      <w:r w:rsidRPr="008A3857">
        <w:t>Use of the Commonwealth Coat of Arms</w:t>
      </w:r>
    </w:p>
    <w:p w:rsidR="00EE6D20" w:rsidRPr="008A3857" w:rsidRDefault="00EE6D20" w:rsidP="00EE6D20">
      <w:pPr>
        <w:pStyle w:val="Copyrightbodytext"/>
      </w:pPr>
      <w:r w:rsidRPr="008A3857">
        <w:t>For terms of use of the Coat of Arms visit the ‘</w:t>
      </w:r>
      <w:r w:rsidRPr="00805FD7">
        <w:t>It’s an Honour</w:t>
      </w:r>
      <w:r w:rsidRPr="008A3857">
        <w:t>’ website</w:t>
      </w:r>
      <w:r w:rsidRPr="00BA0B81">
        <w:t xml:space="preserve">: </w:t>
      </w:r>
      <w:r w:rsidRPr="00805FD7">
        <w:t>http://</w:t>
      </w:r>
      <w:proofErr w:type="spellStart"/>
      <w:r w:rsidRPr="00805FD7">
        <w:t>www.itsanhonour.gov.au</w:t>
      </w:r>
      <w:proofErr w:type="spellEnd"/>
    </w:p>
    <w:p w:rsidR="00EE6D20" w:rsidRPr="008A3857" w:rsidRDefault="00EE6D20" w:rsidP="00EE6D20">
      <w:pPr>
        <w:pStyle w:val="Copyrightsubtitle"/>
      </w:pPr>
      <w:r w:rsidRPr="008A3857">
        <w:t>Third party copyright</w:t>
      </w:r>
    </w:p>
    <w:p w:rsidR="00EE6D20" w:rsidRPr="008A3857" w:rsidRDefault="00EE6D20" w:rsidP="00EE6D20">
      <w:pPr>
        <w:pStyle w:val="Copyrightbodytext"/>
      </w:pPr>
      <w:r w:rsidRPr="008A3857">
        <w:t>Wherever a third party holds copyright in this material, the copyright remains with that party. Their permission may be required to use the material, please contact them directly.</w:t>
      </w:r>
    </w:p>
    <w:p w:rsidR="00EE6D20" w:rsidRPr="008A3857" w:rsidRDefault="00EE6D20" w:rsidP="00EE6D20">
      <w:pPr>
        <w:pStyle w:val="Copyrightsubtitle"/>
      </w:pPr>
      <w:r w:rsidRPr="008A3857">
        <w:t xml:space="preserve">An appropriate </w:t>
      </w:r>
      <w:r>
        <w:t>reference</w:t>
      </w:r>
      <w:r w:rsidRPr="008A3857">
        <w:t xml:space="preserve"> for this publication is:</w:t>
      </w:r>
    </w:p>
    <w:p w:rsidR="00EE6D20" w:rsidRPr="008A3857" w:rsidRDefault="00E62389" w:rsidP="00EE6D20">
      <w:pPr>
        <w:pStyle w:val="Copyrightbodytext"/>
      </w:pPr>
      <w:r>
        <w:t xml:space="preserve">Crook, W. and </w:t>
      </w:r>
      <w:r w:rsidR="00EE6D20">
        <w:t xml:space="preserve">Gordon, J. 2017, </w:t>
      </w:r>
      <w:r w:rsidR="00EE6D20" w:rsidRPr="00EE6D20">
        <w:rPr>
          <w:i/>
        </w:rPr>
        <w:t>Rules of Origin</w:t>
      </w:r>
      <w:r w:rsidR="00977616">
        <w:rPr>
          <w:i/>
        </w:rPr>
        <w:t>: can the noodle bowl of trade agreements</w:t>
      </w:r>
      <w:bookmarkStart w:id="2" w:name="_GoBack"/>
      <w:bookmarkEnd w:id="2"/>
      <w:r w:rsidR="00977616">
        <w:rPr>
          <w:i/>
        </w:rPr>
        <w:t xml:space="preserve"> be untangled?</w:t>
      </w:r>
      <w:r w:rsidR="00EE6D20">
        <w:t xml:space="preserve">, Productivity Commission Staff Research Note, Canberra, </w:t>
      </w:r>
      <w:r w:rsidR="00213329">
        <w:t>May</w:t>
      </w:r>
      <w:r w:rsidR="00EE6D20">
        <w:t>.</w:t>
      </w:r>
    </w:p>
    <w:p w:rsidR="00EE6D20" w:rsidRPr="008A3857" w:rsidRDefault="00EE6D20" w:rsidP="00EE6D20">
      <w:pPr>
        <w:pStyle w:val="Copyrightsubtitle"/>
      </w:pPr>
      <w:bookmarkStart w:id="3" w:name="JEL"/>
      <w:bookmarkEnd w:id="3"/>
      <w:r w:rsidRPr="008A3857">
        <w:t>Publications enquiries</w:t>
      </w:r>
    </w:p>
    <w:p w:rsidR="00EE6D20" w:rsidRDefault="00EE6D20" w:rsidP="00EE6D20">
      <w:pPr>
        <w:pStyle w:val="Copyrightbodytext"/>
      </w:pPr>
      <w:r w:rsidRPr="008A3857">
        <w:t xml:space="preserve">Media and Publications, </w:t>
      </w:r>
      <w:r>
        <w:rPr>
          <w:szCs w:val="24"/>
        </w:rPr>
        <w:t>phone:</w:t>
      </w:r>
      <w:r w:rsidRPr="00BB5DCF">
        <w:rPr>
          <w:szCs w:val="24"/>
        </w:rPr>
        <w:t xml:space="preserve"> (03) 9653 2244 or email: </w:t>
      </w:r>
      <w:proofErr w:type="spellStart"/>
      <w:r w:rsidRPr="00BB5DCF">
        <w:rPr>
          <w:szCs w:val="24"/>
        </w:rPr>
        <w:t>maps@pc.gov.au</w:t>
      </w:r>
      <w:proofErr w:type="spellEnd"/>
    </w:p>
    <w:p w:rsidR="00EE6D20" w:rsidRDefault="00EE6D20" w:rsidP="00EE6D2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E6D20" w:rsidTr="000B6357">
        <w:tc>
          <w:tcPr>
            <w:tcW w:w="8771" w:type="dxa"/>
            <w:tcBorders>
              <w:top w:val="single" w:sz="6" w:space="0" w:color="78A22F"/>
              <w:left w:val="nil"/>
              <w:bottom w:val="nil"/>
              <w:right w:val="nil"/>
            </w:tcBorders>
            <w:shd w:val="clear" w:color="auto" w:fill="F2F2F2" w:themeFill="background1" w:themeFillShade="F2"/>
          </w:tcPr>
          <w:p w:rsidR="00EE6D20" w:rsidRPr="008A3857" w:rsidRDefault="00EE6D20" w:rsidP="000B6357">
            <w:pPr>
              <w:pStyle w:val="BoxTitle"/>
              <w:rPr>
                <w:sz w:val="22"/>
                <w:szCs w:val="22"/>
              </w:rPr>
            </w:pPr>
            <w:r w:rsidRPr="008A3857">
              <w:rPr>
                <w:sz w:val="22"/>
                <w:szCs w:val="22"/>
              </w:rPr>
              <w:t>The Productivity Commission</w:t>
            </w:r>
          </w:p>
        </w:tc>
      </w:tr>
      <w:tr w:rsidR="00EE6D20" w:rsidTr="000B6357">
        <w:tc>
          <w:tcPr>
            <w:tcW w:w="8771" w:type="dxa"/>
            <w:tcBorders>
              <w:top w:val="nil"/>
              <w:left w:val="nil"/>
              <w:bottom w:val="nil"/>
              <w:right w:val="nil"/>
            </w:tcBorders>
            <w:shd w:val="clear" w:color="auto" w:fill="F2F2F2" w:themeFill="background1" w:themeFillShade="F2"/>
          </w:tcPr>
          <w:p w:rsidR="00EE6D20" w:rsidRDefault="00EE6D20" w:rsidP="000B6357">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EE6D20" w:rsidRDefault="00EE6D20" w:rsidP="000B6357">
            <w:pPr>
              <w:pStyle w:val="Box"/>
            </w:pPr>
            <w:r w:rsidRPr="00BB5DCF">
              <w:t>The Commission’s independence is underpinned by an Act of Parliament. Its processes and outputs are open to public scrutiny and are driven by concern for the wellbeing of the community as a whole.</w:t>
            </w:r>
          </w:p>
          <w:p w:rsidR="00EE6D20" w:rsidRDefault="00EE6D20" w:rsidP="000B6357">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Pr>
                <w:szCs w:val="24"/>
              </w:rPr>
              <w:t>.</w:t>
            </w:r>
          </w:p>
        </w:tc>
      </w:tr>
      <w:tr w:rsidR="00EE6D20" w:rsidTr="000B6357">
        <w:tc>
          <w:tcPr>
            <w:tcW w:w="8771" w:type="dxa"/>
            <w:tcBorders>
              <w:top w:val="nil"/>
              <w:left w:val="nil"/>
              <w:bottom w:val="single" w:sz="6" w:space="0" w:color="78A22F"/>
              <w:right w:val="nil"/>
            </w:tcBorders>
            <w:shd w:val="clear" w:color="auto" w:fill="F2F2F2" w:themeFill="background1" w:themeFillShade="F2"/>
          </w:tcPr>
          <w:p w:rsidR="00EE6D20" w:rsidRDefault="00EE6D20" w:rsidP="000B6357">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8D6425" w:rsidRDefault="00735FEA" w:rsidP="008206EE">
      <w:pPr>
        <w:pStyle w:val="Heading1NotTOC"/>
        <w:rPr>
          <w:noProof/>
        </w:rPr>
      </w:pPr>
      <w:bookmarkStart w:id="4" w:name="Contents"/>
      <w:bookmarkEnd w:id="4"/>
      <w:r w:rsidRPr="00B153C3">
        <w:lastRenderedPageBreak/>
        <w:t>Contents</w:t>
      </w:r>
      <w:bookmarkStart w:id="5" w:name="InsertContents"/>
      <w:bookmarkEnd w:id="5"/>
    </w:p>
    <w:p w:rsidR="000B6357" w:rsidRDefault="000B6357" w:rsidP="000B6357">
      <w:pPr>
        <w:pStyle w:val="TOC1"/>
        <w:spacing w:before="360"/>
        <w:rPr>
          <w:rFonts w:asciiTheme="minorHAnsi" w:eastAsiaTheme="minorEastAsia" w:hAnsiTheme="minorHAnsi" w:cstheme="minorBidi"/>
          <w:b w:val="0"/>
          <w:noProof/>
          <w:sz w:val="22"/>
          <w:szCs w:val="22"/>
          <w:lang w:eastAsia="en-AU"/>
        </w:rPr>
      </w:pPr>
      <w:r>
        <w:rPr>
          <w:noProof/>
        </w:rPr>
        <w:t>Abbreviations</w:t>
      </w:r>
      <w:r>
        <w:rPr>
          <w:noProof/>
        </w:rPr>
        <w:tab/>
      </w:r>
      <w:r w:rsidR="00B56E5D">
        <w:rPr>
          <w:noProof/>
        </w:rPr>
        <w:t>iv</w:t>
      </w:r>
    </w:p>
    <w:p w:rsidR="00213329" w:rsidRDefault="00080A34" w:rsidP="00213329">
      <w:pPr>
        <w:pStyle w:val="TOC1"/>
        <w:spacing w:before="160"/>
        <w:rPr>
          <w:noProof/>
        </w:rPr>
      </w:pPr>
      <w:r>
        <w:rPr>
          <w:noProof/>
        </w:rPr>
        <w:t>Key points</w:t>
      </w:r>
      <w:r>
        <w:rPr>
          <w:noProof/>
        </w:rPr>
        <w:tab/>
      </w:r>
      <w:r w:rsidR="00930AF3">
        <w:rPr>
          <w:noProof/>
        </w:rPr>
        <w:t>3</w:t>
      </w:r>
    </w:p>
    <w:p w:rsidR="00213329" w:rsidRPr="00213329" w:rsidRDefault="00213329" w:rsidP="00213329">
      <w:pPr>
        <w:pStyle w:val="TOC1"/>
        <w:spacing w:before="160"/>
        <w:rPr>
          <w:noProof/>
        </w:rPr>
      </w:pPr>
      <w:r>
        <w:rPr>
          <w:noProof/>
        </w:rPr>
        <w:t>Rules of Origin</w:t>
      </w:r>
      <w:r>
        <w:rPr>
          <w:noProof/>
        </w:rPr>
        <w:tab/>
        <w:t>4</w:t>
      </w:r>
    </w:p>
    <w:p w:rsidR="008D6425" w:rsidRDefault="008D6425" w:rsidP="00080A34">
      <w:pPr>
        <w:pStyle w:val="TOC2"/>
        <w:tabs>
          <w:tab w:val="left" w:pos="1020"/>
        </w:tabs>
        <w:spacing w:before="240"/>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Why look at Rules of Origin?</w:t>
      </w:r>
      <w:r>
        <w:rPr>
          <w:noProof/>
        </w:rPr>
        <w:tab/>
      </w:r>
      <w:r w:rsidR="00930AF3">
        <w:rPr>
          <w:noProof/>
        </w:rPr>
        <w:t>4</w:t>
      </w:r>
    </w:p>
    <w:p w:rsidR="008D6425" w:rsidRDefault="008D6425" w:rsidP="00080A34">
      <w:pPr>
        <w:pStyle w:val="TOC2"/>
        <w:tabs>
          <w:tab w:val="left" w:pos="1020"/>
        </w:tabs>
        <w:spacing w:before="240"/>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How protectionist are RoO?</w:t>
      </w:r>
      <w:r>
        <w:rPr>
          <w:noProof/>
        </w:rPr>
        <w:tab/>
      </w:r>
      <w:r w:rsidR="00213329">
        <w:rPr>
          <w:noProof/>
        </w:rPr>
        <w:t>5</w:t>
      </w:r>
    </w:p>
    <w:p w:rsidR="008D6425" w:rsidRDefault="008D6425" w:rsidP="00080A34">
      <w:pPr>
        <w:pStyle w:val="TOC2"/>
        <w:tabs>
          <w:tab w:val="left" w:pos="1020"/>
        </w:tabs>
        <w:spacing w:before="240"/>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Are RoO adding stumbling blocks to multilateralisation?</w:t>
      </w:r>
      <w:r>
        <w:rPr>
          <w:noProof/>
        </w:rPr>
        <w:tab/>
        <w:t>1</w:t>
      </w:r>
      <w:r w:rsidR="00213329">
        <w:rPr>
          <w:noProof/>
        </w:rPr>
        <w:t>6</w:t>
      </w:r>
    </w:p>
    <w:p w:rsidR="008D6425" w:rsidRDefault="008D6425" w:rsidP="00080A34">
      <w:pPr>
        <w:pStyle w:val="TOC2"/>
        <w:tabs>
          <w:tab w:val="left" w:pos="1020"/>
        </w:tabs>
        <w:spacing w:before="240"/>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Does the cost of compliance</w:t>
      </w:r>
      <w:r w:rsidR="00930AF3">
        <w:rPr>
          <w:noProof/>
        </w:rPr>
        <w:t xml:space="preserve"> undermine the value of PTAs?</w:t>
      </w:r>
      <w:r w:rsidR="00930AF3">
        <w:rPr>
          <w:noProof/>
        </w:rPr>
        <w:tab/>
        <w:t>21</w:t>
      </w:r>
    </w:p>
    <w:p w:rsidR="008D6425" w:rsidRDefault="008D6425" w:rsidP="00080A34">
      <w:pPr>
        <w:pStyle w:val="TOC2"/>
        <w:tabs>
          <w:tab w:val="left" w:pos="1020"/>
        </w:tabs>
        <w:spacing w:before="240"/>
        <w:rPr>
          <w:rFonts w:asciiTheme="minorHAnsi" w:eastAsiaTheme="minorEastAsia" w:hAnsiTheme="minorHAnsi" w:cstheme="minorBidi"/>
          <w:noProof/>
          <w:sz w:val="22"/>
          <w:szCs w:val="22"/>
          <w:lang w:eastAsia="en-AU"/>
        </w:rPr>
      </w:pPr>
      <w:r>
        <w:rPr>
          <w:noProof/>
        </w:rPr>
        <w:t>5</w:t>
      </w:r>
      <w:r>
        <w:rPr>
          <w:rFonts w:asciiTheme="minorHAnsi" w:eastAsiaTheme="minorEastAsia" w:hAnsiTheme="minorHAnsi" w:cstheme="minorBidi"/>
          <w:noProof/>
          <w:sz w:val="22"/>
          <w:szCs w:val="22"/>
          <w:lang w:eastAsia="en-AU"/>
        </w:rPr>
        <w:tab/>
      </w:r>
      <w:r>
        <w:rPr>
          <w:noProof/>
        </w:rPr>
        <w:t xml:space="preserve">What can be done to improve </w:t>
      </w:r>
      <w:r w:rsidR="00930AF3">
        <w:rPr>
          <w:noProof/>
        </w:rPr>
        <w:t>RoO to make PTAs work better?</w:t>
      </w:r>
      <w:r w:rsidR="00930AF3">
        <w:rPr>
          <w:noProof/>
        </w:rPr>
        <w:tab/>
        <w:t>30</w:t>
      </w:r>
    </w:p>
    <w:p w:rsidR="008D6425" w:rsidRDefault="008D6425" w:rsidP="00254C18">
      <w:pPr>
        <w:pStyle w:val="TOC1"/>
        <w:spacing w:before="240"/>
        <w:rPr>
          <w:rFonts w:asciiTheme="minorHAnsi" w:eastAsiaTheme="minorEastAsia" w:hAnsiTheme="minorHAnsi" w:cstheme="minorBidi"/>
          <w:b w:val="0"/>
          <w:noProof/>
          <w:sz w:val="22"/>
          <w:szCs w:val="22"/>
          <w:lang w:eastAsia="en-AU"/>
        </w:rPr>
      </w:pPr>
      <w:r>
        <w:rPr>
          <w:noProof/>
        </w:rPr>
        <w:t>References</w:t>
      </w:r>
      <w:r>
        <w:rPr>
          <w:noProof/>
        </w:rPr>
        <w:tab/>
      </w:r>
      <w:r w:rsidR="00B56E5D">
        <w:rPr>
          <w:noProof/>
        </w:rPr>
        <w:t>35</w:t>
      </w:r>
    </w:p>
    <w:p w:rsidR="00C058AB" w:rsidRDefault="00C058AB">
      <w:pPr>
        <w:pStyle w:val="BodyText"/>
      </w:pPr>
    </w:p>
    <w:p w:rsidR="000B6357" w:rsidRDefault="000B6357">
      <w:pPr>
        <w:pStyle w:val="BodyText"/>
        <w:sectPr w:rsidR="000B6357" w:rsidSect="007448F7">
          <w:headerReference w:type="even" r:id="rId11"/>
          <w:headerReference w:type="default" r:id="rId12"/>
          <w:footerReference w:type="even" r:id="rId13"/>
          <w:footerReference w:type="default" r:id="rId14"/>
          <w:type w:val="oddPage"/>
          <w:pgSz w:w="11907" w:h="16840" w:code="9"/>
          <w:pgMar w:top="1985" w:right="1304" w:bottom="1247" w:left="1814" w:header="1701" w:footer="397" w:gutter="0"/>
          <w:pgNumType w:fmt="lowerRoman"/>
          <w:cols w:space="720"/>
        </w:sectPr>
      </w:pPr>
    </w:p>
    <w:p w:rsidR="000B6357" w:rsidRPr="000B6357" w:rsidRDefault="000B6357" w:rsidP="000B6357">
      <w:pPr>
        <w:pStyle w:val="Heading1"/>
      </w:pPr>
      <w:bookmarkStart w:id="6" w:name="_Toc481069269"/>
      <w:r w:rsidRPr="000B6357">
        <w:lastRenderedPageBreak/>
        <w:t xml:space="preserve">Abbreviations </w:t>
      </w:r>
      <w:bookmarkEnd w:id="6"/>
    </w:p>
    <w:tbl>
      <w:tblPr>
        <w:tblW w:w="0" w:type="auto"/>
        <w:tblCellMar>
          <w:left w:w="0" w:type="dxa"/>
          <w:right w:w="0" w:type="dxa"/>
        </w:tblCellMar>
        <w:tblLook w:val="0000" w:firstRow="0" w:lastRow="0" w:firstColumn="0" w:lastColumn="0" w:noHBand="0" w:noVBand="0"/>
        <w:tblDescription w:val="Table used for design layout."/>
      </w:tblPr>
      <w:tblGrid>
        <w:gridCol w:w="1701"/>
        <w:gridCol w:w="7088"/>
      </w:tblGrid>
      <w:tr w:rsidR="000B6357" w:rsidTr="000B6357">
        <w:tc>
          <w:tcPr>
            <w:tcW w:w="1701" w:type="dxa"/>
            <w:shd w:val="clear" w:color="auto" w:fill="F2F2F2" w:themeFill="accent4"/>
          </w:tcPr>
          <w:p w:rsidR="000B6357" w:rsidRDefault="000B6357" w:rsidP="000B6357">
            <w:pPr>
              <w:pStyle w:val="BodyText"/>
            </w:pPr>
            <w:proofErr w:type="spellStart"/>
            <w:r>
              <w:t>AANZFTA</w:t>
            </w:r>
            <w:proofErr w:type="spellEnd"/>
          </w:p>
        </w:tc>
        <w:tc>
          <w:tcPr>
            <w:tcW w:w="7088" w:type="dxa"/>
            <w:shd w:val="clear" w:color="auto" w:fill="F2F2F2" w:themeFill="accent4"/>
          </w:tcPr>
          <w:p w:rsidR="000B6357" w:rsidRDefault="000B6357" w:rsidP="000B6357">
            <w:pPr>
              <w:pStyle w:val="BodyText"/>
            </w:pPr>
            <w:r>
              <w:t>ASEAN</w:t>
            </w:r>
            <w:r>
              <w:noBreakHyphen/>
              <w:t>Australia</w:t>
            </w:r>
            <w:r>
              <w:noBreakHyphen/>
              <w:t>New Zealand Free Trade Agreement</w:t>
            </w:r>
          </w:p>
        </w:tc>
      </w:tr>
      <w:tr w:rsidR="000B6357" w:rsidTr="000B6357">
        <w:tc>
          <w:tcPr>
            <w:tcW w:w="1701" w:type="dxa"/>
          </w:tcPr>
          <w:p w:rsidR="000B6357" w:rsidRDefault="000B6357" w:rsidP="000B6357">
            <w:pPr>
              <w:pStyle w:val="BodyText"/>
            </w:pPr>
            <w:proofErr w:type="spellStart"/>
            <w:r>
              <w:t>ACIFTA</w:t>
            </w:r>
            <w:proofErr w:type="spellEnd"/>
          </w:p>
        </w:tc>
        <w:tc>
          <w:tcPr>
            <w:tcW w:w="7088" w:type="dxa"/>
          </w:tcPr>
          <w:p w:rsidR="000B6357" w:rsidRDefault="000B6357" w:rsidP="000B6357">
            <w:pPr>
              <w:pStyle w:val="BodyText"/>
            </w:pPr>
            <w:r>
              <w:t>Australia</w:t>
            </w:r>
            <w:r>
              <w:noBreakHyphen/>
              <w:t>Chile Free Trade Agreement</w:t>
            </w:r>
          </w:p>
        </w:tc>
      </w:tr>
      <w:tr w:rsidR="000B6357" w:rsidTr="000B6357">
        <w:tc>
          <w:tcPr>
            <w:tcW w:w="1701" w:type="dxa"/>
            <w:shd w:val="clear" w:color="auto" w:fill="F2F2F2" w:themeFill="accent4"/>
          </w:tcPr>
          <w:p w:rsidR="000B6357" w:rsidRDefault="000B6357" w:rsidP="000B6357">
            <w:pPr>
              <w:pStyle w:val="BodyText"/>
            </w:pPr>
            <w:proofErr w:type="spellStart"/>
            <w:r>
              <w:t>ANZCERTA</w:t>
            </w:r>
            <w:proofErr w:type="spellEnd"/>
          </w:p>
        </w:tc>
        <w:tc>
          <w:tcPr>
            <w:tcW w:w="7088" w:type="dxa"/>
            <w:shd w:val="clear" w:color="auto" w:fill="F2F2F2" w:themeFill="accent4"/>
          </w:tcPr>
          <w:p w:rsidR="000B6357" w:rsidRDefault="000B6357" w:rsidP="000B6357">
            <w:pPr>
              <w:pStyle w:val="BodyText"/>
            </w:pPr>
            <w:r>
              <w:t>Australia</w:t>
            </w:r>
            <w:r>
              <w:noBreakHyphen/>
              <w:t xml:space="preserve">New Zealand Closer Economic Relation Trade Agreement </w:t>
            </w:r>
          </w:p>
        </w:tc>
      </w:tr>
      <w:tr w:rsidR="000B6357" w:rsidTr="000B6357">
        <w:tc>
          <w:tcPr>
            <w:tcW w:w="1701" w:type="dxa"/>
          </w:tcPr>
          <w:p w:rsidR="000B6357" w:rsidRDefault="000B6357" w:rsidP="000B6357">
            <w:pPr>
              <w:pStyle w:val="BodyText"/>
            </w:pPr>
            <w:r>
              <w:t>APEC</w:t>
            </w:r>
          </w:p>
        </w:tc>
        <w:tc>
          <w:tcPr>
            <w:tcW w:w="7088" w:type="dxa"/>
          </w:tcPr>
          <w:p w:rsidR="000B6357" w:rsidRDefault="000B6357" w:rsidP="000B6357">
            <w:pPr>
              <w:pStyle w:val="BodyText"/>
            </w:pPr>
            <w:r>
              <w:t>The Asia</w:t>
            </w:r>
            <w:r>
              <w:noBreakHyphen/>
              <w:t>Pacific Economic Community (</w:t>
            </w:r>
            <w:r w:rsidRPr="001F25DD">
              <w:t>Australia</w:t>
            </w:r>
            <w:r>
              <w:t>,</w:t>
            </w:r>
            <w:r w:rsidRPr="001F25DD">
              <w:t xml:space="preserve"> Brunei Darussalam</w:t>
            </w:r>
            <w:r>
              <w:t>,</w:t>
            </w:r>
            <w:r w:rsidRPr="001F25DD">
              <w:t xml:space="preserve"> Canada</w:t>
            </w:r>
            <w:r>
              <w:t>,</w:t>
            </w:r>
            <w:r w:rsidRPr="001F25DD">
              <w:t xml:space="preserve"> Chile</w:t>
            </w:r>
            <w:r>
              <w:t>,</w:t>
            </w:r>
            <w:r w:rsidRPr="001F25DD">
              <w:t xml:space="preserve"> People</w:t>
            </w:r>
            <w:r>
              <w:t>’</w:t>
            </w:r>
            <w:r w:rsidRPr="001F25DD">
              <w:t>s Republic of China</w:t>
            </w:r>
            <w:r>
              <w:t>,</w:t>
            </w:r>
            <w:r w:rsidRPr="001F25DD">
              <w:t xml:space="preserve"> Hong Kong, Indonesia</w:t>
            </w:r>
            <w:r>
              <w:t>,</w:t>
            </w:r>
            <w:r w:rsidRPr="001F25DD">
              <w:t xml:space="preserve"> Japan</w:t>
            </w:r>
            <w:r>
              <w:t>,</w:t>
            </w:r>
            <w:r w:rsidRPr="001F25DD">
              <w:t xml:space="preserve"> Republic of Korea</w:t>
            </w:r>
            <w:r>
              <w:t>,</w:t>
            </w:r>
            <w:r w:rsidRPr="001F25DD">
              <w:t xml:space="preserve"> Malaysia</w:t>
            </w:r>
            <w:r>
              <w:t>,</w:t>
            </w:r>
            <w:r w:rsidRPr="001F25DD">
              <w:t xml:space="preserve"> Mexico</w:t>
            </w:r>
            <w:r>
              <w:t>,</w:t>
            </w:r>
            <w:r w:rsidRPr="001F25DD">
              <w:t xml:space="preserve"> New Zealand Papua New Guinea</w:t>
            </w:r>
            <w:r>
              <w:t>,</w:t>
            </w:r>
            <w:r w:rsidRPr="001F25DD">
              <w:t xml:space="preserve"> Peru, the Philippines</w:t>
            </w:r>
            <w:r>
              <w:t>,</w:t>
            </w:r>
            <w:r w:rsidRPr="001F25DD">
              <w:t xml:space="preserve"> </w:t>
            </w:r>
            <w:r>
              <w:t>t</w:t>
            </w:r>
            <w:r w:rsidRPr="001F25DD">
              <w:t>he Russian Federation Singapore, Chinese Taipei, Thailand, United States of America, Viet</w:t>
            </w:r>
            <w:r>
              <w:t>nam)</w:t>
            </w:r>
            <w:r w:rsidRPr="001F25DD">
              <w:t>.</w:t>
            </w:r>
          </w:p>
        </w:tc>
      </w:tr>
      <w:tr w:rsidR="000B6357" w:rsidTr="000B6357">
        <w:tc>
          <w:tcPr>
            <w:tcW w:w="1701" w:type="dxa"/>
            <w:shd w:val="clear" w:color="auto" w:fill="F2F2F2" w:themeFill="accent4"/>
          </w:tcPr>
          <w:p w:rsidR="000B6357" w:rsidRDefault="000B6357" w:rsidP="000B6357">
            <w:pPr>
              <w:pStyle w:val="BodyText"/>
            </w:pPr>
            <w:r>
              <w:t>ASEAN</w:t>
            </w:r>
          </w:p>
        </w:tc>
        <w:tc>
          <w:tcPr>
            <w:tcW w:w="7088" w:type="dxa"/>
            <w:shd w:val="clear" w:color="auto" w:fill="F2F2F2" w:themeFill="accent4"/>
          </w:tcPr>
          <w:p w:rsidR="000B6357" w:rsidRDefault="000B6357" w:rsidP="000B6357">
            <w:pPr>
              <w:pStyle w:val="BodyText"/>
            </w:pPr>
            <w:r>
              <w:t>Association of South East Asian Nations (Brunei</w:t>
            </w:r>
            <w:r>
              <w:noBreakHyphen/>
              <w:t>Darussalam, Cambodia, Indonesia, Laos, Malaysia, the Philippines, Singapore, Thailand, Vietnam)</w:t>
            </w:r>
          </w:p>
        </w:tc>
      </w:tr>
      <w:tr w:rsidR="000B6357" w:rsidTr="000B6357">
        <w:tc>
          <w:tcPr>
            <w:tcW w:w="1701" w:type="dxa"/>
          </w:tcPr>
          <w:p w:rsidR="000B6357" w:rsidRDefault="000B6357" w:rsidP="000B6357">
            <w:pPr>
              <w:pStyle w:val="BodyText"/>
            </w:pPr>
            <w:proofErr w:type="spellStart"/>
            <w:r>
              <w:t>AUSFTA</w:t>
            </w:r>
            <w:proofErr w:type="spellEnd"/>
          </w:p>
        </w:tc>
        <w:tc>
          <w:tcPr>
            <w:tcW w:w="7088" w:type="dxa"/>
          </w:tcPr>
          <w:p w:rsidR="000B6357" w:rsidRDefault="000B6357" w:rsidP="000B6357">
            <w:pPr>
              <w:pStyle w:val="BodyText"/>
            </w:pPr>
            <w:r>
              <w:t>Australia</w:t>
            </w:r>
            <w:r>
              <w:noBreakHyphen/>
              <w:t>United State Free Trade Agreement</w:t>
            </w:r>
          </w:p>
        </w:tc>
      </w:tr>
      <w:tr w:rsidR="000B6357" w:rsidTr="000B6357">
        <w:tc>
          <w:tcPr>
            <w:tcW w:w="1701" w:type="dxa"/>
            <w:shd w:val="clear" w:color="auto" w:fill="F2F2F2" w:themeFill="accent4"/>
          </w:tcPr>
          <w:p w:rsidR="000B6357" w:rsidRDefault="000B6357" w:rsidP="000B6357">
            <w:pPr>
              <w:pStyle w:val="BodyText"/>
            </w:pPr>
            <w:proofErr w:type="spellStart"/>
            <w:r>
              <w:t>ChAFTA</w:t>
            </w:r>
            <w:proofErr w:type="spellEnd"/>
          </w:p>
        </w:tc>
        <w:tc>
          <w:tcPr>
            <w:tcW w:w="7088" w:type="dxa"/>
            <w:shd w:val="clear" w:color="auto" w:fill="F2F2F2" w:themeFill="accent4"/>
          </w:tcPr>
          <w:p w:rsidR="000B6357" w:rsidRDefault="000B6357" w:rsidP="000B6357">
            <w:pPr>
              <w:pStyle w:val="BodyText"/>
            </w:pPr>
            <w:r>
              <w:t>China</w:t>
            </w:r>
            <w:r>
              <w:noBreakHyphen/>
              <w:t>Australia Free Trade Agreement</w:t>
            </w:r>
          </w:p>
        </w:tc>
      </w:tr>
      <w:tr w:rsidR="000B6357" w:rsidTr="000B6357">
        <w:tc>
          <w:tcPr>
            <w:tcW w:w="1701" w:type="dxa"/>
          </w:tcPr>
          <w:p w:rsidR="000B6357" w:rsidRDefault="000B6357" w:rsidP="000B6357">
            <w:pPr>
              <w:pStyle w:val="BodyText"/>
            </w:pPr>
            <w:proofErr w:type="spellStart"/>
            <w:r>
              <w:t>CoO</w:t>
            </w:r>
            <w:proofErr w:type="spellEnd"/>
          </w:p>
        </w:tc>
        <w:tc>
          <w:tcPr>
            <w:tcW w:w="7088" w:type="dxa"/>
          </w:tcPr>
          <w:p w:rsidR="000B6357" w:rsidRDefault="000B6357" w:rsidP="000B6357">
            <w:pPr>
              <w:pStyle w:val="BodyText"/>
            </w:pPr>
            <w:r>
              <w:t>Certificate of Origin</w:t>
            </w:r>
          </w:p>
        </w:tc>
      </w:tr>
      <w:tr w:rsidR="000B6357" w:rsidTr="000B6357">
        <w:tc>
          <w:tcPr>
            <w:tcW w:w="1701" w:type="dxa"/>
            <w:shd w:val="clear" w:color="auto" w:fill="F2F2F2" w:themeFill="accent4"/>
          </w:tcPr>
          <w:p w:rsidR="000B6357" w:rsidRDefault="000B6357" w:rsidP="000B6357">
            <w:pPr>
              <w:pStyle w:val="BodyText"/>
            </w:pPr>
            <w:r>
              <w:t>CTC</w:t>
            </w:r>
          </w:p>
        </w:tc>
        <w:tc>
          <w:tcPr>
            <w:tcW w:w="7088" w:type="dxa"/>
            <w:shd w:val="clear" w:color="auto" w:fill="F2F2F2" w:themeFill="accent4"/>
          </w:tcPr>
          <w:p w:rsidR="000B6357" w:rsidRDefault="000B6357" w:rsidP="000B6357">
            <w:pPr>
              <w:pStyle w:val="BodyText"/>
            </w:pPr>
            <w:r>
              <w:t>Change of tariff classification</w:t>
            </w:r>
          </w:p>
        </w:tc>
      </w:tr>
      <w:tr w:rsidR="000B6357" w:rsidTr="000B6357">
        <w:tc>
          <w:tcPr>
            <w:tcW w:w="1701" w:type="dxa"/>
          </w:tcPr>
          <w:p w:rsidR="000B6357" w:rsidRDefault="000B6357" w:rsidP="000B6357">
            <w:pPr>
              <w:pStyle w:val="BodyText"/>
            </w:pPr>
            <w:proofErr w:type="spellStart"/>
            <w:r>
              <w:t>DFAT</w:t>
            </w:r>
            <w:proofErr w:type="spellEnd"/>
          </w:p>
        </w:tc>
        <w:tc>
          <w:tcPr>
            <w:tcW w:w="7088" w:type="dxa"/>
          </w:tcPr>
          <w:p w:rsidR="000B6357" w:rsidRDefault="000B6357" w:rsidP="000B6357">
            <w:pPr>
              <w:pStyle w:val="BodyText"/>
            </w:pPr>
            <w:r>
              <w:t>Department of Foreign Affairs and Trade</w:t>
            </w:r>
          </w:p>
        </w:tc>
      </w:tr>
      <w:tr w:rsidR="000B6357" w:rsidTr="000B6357">
        <w:tc>
          <w:tcPr>
            <w:tcW w:w="1701" w:type="dxa"/>
            <w:shd w:val="clear" w:color="auto" w:fill="F2F2F2" w:themeFill="accent4"/>
          </w:tcPr>
          <w:p w:rsidR="000B6357" w:rsidRDefault="000B6357" w:rsidP="000B6357">
            <w:pPr>
              <w:pStyle w:val="BodyText"/>
            </w:pPr>
            <w:r>
              <w:t>HS</w:t>
            </w:r>
          </w:p>
        </w:tc>
        <w:tc>
          <w:tcPr>
            <w:tcW w:w="7088" w:type="dxa"/>
            <w:shd w:val="clear" w:color="auto" w:fill="F2F2F2" w:themeFill="accent4"/>
          </w:tcPr>
          <w:p w:rsidR="000B6357" w:rsidRDefault="000B6357" w:rsidP="000B6357">
            <w:pPr>
              <w:pStyle w:val="BodyText"/>
            </w:pPr>
            <w:r>
              <w:t>Harmonized System</w:t>
            </w:r>
          </w:p>
        </w:tc>
      </w:tr>
      <w:tr w:rsidR="000B6357" w:rsidTr="000B6357">
        <w:tc>
          <w:tcPr>
            <w:tcW w:w="1701" w:type="dxa"/>
          </w:tcPr>
          <w:p w:rsidR="000B6357" w:rsidRDefault="000B6357" w:rsidP="000B6357">
            <w:pPr>
              <w:pStyle w:val="BodyText"/>
            </w:pPr>
            <w:proofErr w:type="spellStart"/>
            <w:r>
              <w:t>ITA</w:t>
            </w:r>
            <w:proofErr w:type="spellEnd"/>
          </w:p>
        </w:tc>
        <w:tc>
          <w:tcPr>
            <w:tcW w:w="7088" w:type="dxa"/>
          </w:tcPr>
          <w:p w:rsidR="000B6357" w:rsidRDefault="000B6357" w:rsidP="000B6357">
            <w:pPr>
              <w:pStyle w:val="BodyText"/>
            </w:pPr>
            <w:r>
              <w:t>Information Technology Agreement</w:t>
            </w:r>
          </w:p>
        </w:tc>
      </w:tr>
      <w:tr w:rsidR="000B6357" w:rsidTr="000B6357">
        <w:tc>
          <w:tcPr>
            <w:tcW w:w="1701" w:type="dxa"/>
            <w:shd w:val="clear" w:color="auto" w:fill="F2F2F2" w:themeFill="accent4"/>
          </w:tcPr>
          <w:p w:rsidR="000B6357" w:rsidRDefault="000B6357" w:rsidP="000B6357">
            <w:pPr>
              <w:pStyle w:val="BodyText"/>
            </w:pPr>
            <w:proofErr w:type="spellStart"/>
            <w:r>
              <w:t>JAEPA</w:t>
            </w:r>
            <w:proofErr w:type="spellEnd"/>
          </w:p>
        </w:tc>
        <w:tc>
          <w:tcPr>
            <w:tcW w:w="7088" w:type="dxa"/>
            <w:shd w:val="clear" w:color="auto" w:fill="F2F2F2" w:themeFill="accent4"/>
          </w:tcPr>
          <w:p w:rsidR="000B6357" w:rsidRDefault="000B6357" w:rsidP="000B6357">
            <w:pPr>
              <w:pStyle w:val="BodyText"/>
            </w:pPr>
            <w:r>
              <w:t>Japan</w:t>
            </w:r>
            <w:r>
              <w:noBreakHyphen/>
              <w:t>Australia Economic Partnership Agreement</w:t>
            </w:r>
          </w:p>
        </w:tc>
      </w:tr>
      <w:tr w:rsidR="000B6357" w:rsidTr="000B6357">
        <w:tc>
          <w:tcPr>
            <w:tcW w:w="1701" w:type="dxa"/>
          </w:tcPr>
          <w:p w:rsidR="000B6357" w:rsidRDefault="000B6357" w:rsidP="000B6357">
            <w:pPr>
              <w:pStyle w:val="BodyText"/>
            </w:pPr>
            <w:proofErr w:type="spellStart"/>
            <w:r>
              <w:t>MAFTA</w:t>
            </w:r>
            <w:proofErr w:type="spellEnd"/>
          </w:p>
        </w:tc>
        <w:tc>
          <w:tcPr>
            <w:tcW w:w="7088" w:type="dxa"/>
          </w:tcPr>
          <w:p w:rsidR="000B6357" w:rsidRDefault="000B6357" w:rsidP="000B6357">
            <w:pPr>
              <w:pStyle w:val="BodyText"/>
            </w:pPr>
            <w:r>
              <w:t>Malaysia</w:t>
            </w:r>
            <w:r>
              <w:noBreakHyphen/>
              <w:t>Australia Free Trade Agreement</w:t>
            </w:r>
          </w:p>
        </w:tc>
      </w:tr>
      <w:tr w:rsidR="000B6357" w:rsidTr="000B6357">
        <w:tc>
          <w:tcPr>
            <w:tcW w:w="1701" w:type="dxa"/>
            <w:shd w:val="clear" w:color="auto" w:fill="F2F2F2" w:themeFill="accent4"/>
          </w:tcPr>
          <w:p w:rsidR="000B6357" w:rsidRDefault="000B6357" w:rsidP="000B6357">
            <w:pPr>
              <w:pStyle w:val="BodyText"/>
            </w:pPr>
            <w:r>
              <w:t>MFN</w:t>
            </w:r>
          </w:p>
        </w:tc>
        <w:tc>
          <w:tcPr>
            <w:tcW w:w="7088" w:type="dxa"/>
            <w:shd w:val="clear" w:color="auto" w:fill="F2F2F2" w:themeFill="accent4"/>
          </w:tcPr>
          <w:p w:rsidR="000B6357" w:rsidRDefault="000B6357" w:rsidP="000B6357">
            <w:pPr>
              <w:pStyle w:val="BodyText"/>
            </w:pPr>
            <w:r>
              <w:t>Most Favoured Nation</w:t>
            </w:r>
          </w:p>
        </w:tc>
      </w:tr>
      <w:tr w:rsidR="000B6357" w:rsidTr="000B6357">
        <w:tc>
          <w:tcPr>
            <w:tcW w:w="1701" w:type="dxa"/>
          </w:tcPr>
          <w:p w:rsidR="000B6357" w:rsidRDefault="000B6357" w:rsidP="000B6357">
            <w:pPr>
              <w:pStyle w:val="BodyText"/>
            </w:pPr>
            <w:r>
              <w:t>NAFTA</w:t>
            </w:r>
          </w:p>
        </w:tc>
        <w:tc>
          <w:tcPr>
            <w:tcW w:w="7088" w:type="dxa"/>
          </w:tcPr>
          <w:p w:rsidR="000B6357" w:rsidRDefault="000B6357" w:rsidP="000B6357">
            <w:pPr>
              <w:pStyle w:val="BodyText"/>
            </w:pPr>
            <w:r>
              <w:t>North American Free Trade Agreement</w:t>
            </w:r>
          </w:p>
        </w:tc>
      </w:tr>
      <w:tr w:rsidR="000B6357" w:rsidTr="000B6357">
        <w:tc>
          <w:tcPr>
            <w:tcW w:w="1701" w:type="dxa"/>
            <w:shd w:val="clear" w:color="auto" w:fill="F2F2F2" w:themeFill="accent4"/>
          </w:tcPr>
          <w:p w:rsidR="000B6357" w:rsidRDefault="000B6357" w:rsidP="000B6357">
            <w:pPr>
              <w:pStyle w:val="BodyText"/>
            </w:pPr>
            <w:r>
              <w:t>PTA</w:t>
            </w:r>
          </w:p>
        </w:tc>
        <w:tc>
          <w:tcPr>
            <w:tcW w:w="7088" w:type="dxa"/>
            <w:shd w:val="clear" w:color="auto" w:fill="F2F2F2" w:themeFill="accent4"/>
          </w:tcPr>
          <w:p w:rsidR="000B6357" w:rsidRDefault="000B6357" w:rsidP="000B6357">
            <w:pPr>
              <w:pStyle w:val="BodyText"/>
            </w:pPr>
            <w:r>
              <w:t>Preferential Trade Agreement</w:t>
            </w:r>
          </w:p>
        </w:tc>
      </w:tr>
      <w:tr w:rsidR="000B6357" w:rsidTr="000B6357">
        <w:tc>
          <w:tcPr>
            <w:tcW w:w="1701" w:type="dxa"/>
          </w:tcPr>
          <w:p w:rsidR="000B6357" w:rsidRDefault="000B6357" w:rsidP="000B6357">
            <w:pPr>
              <w:pStyle w:val="BodyText"/>
            </w:pPr>
            <w:proofErr w:type="spellStart"/>
            <w:r>
              <w:lastRenderedPageBreak/>
              <w:t>RCEP</w:t>
            </w:r>
            <w:proofErr w:type="spellEnd"/>
          </w:p>
        </w:tc>
        <w:tc>
          <w:tcPr>
            <w:tcW w:w="7088" w:type="dxa"/>
          </w:tcPr>
          <w:p w:rsidR="000B6357" w:rsidRDefault="000B6357" w:rsidP="000B6357">
            <w:pPr>
              <w:pStyle w:val="BodyText"/>
            </w:pPr>
            <w:r>
              <w:t xml:space="preserve">Regional Comprehensive Economic Partnership (proposed between </w:t>
            </w:r>
            <w:r>
              <w:rPr>
                <w:lang w:val="en"/>
              </w:rPr>
              <w:t xml:space="preserve">ASEAN, </w:t>
            </w:r>
            <w:r w:rsidRPr="001C146A">
              <w:rPr>
                <w:lang w:val="en"/>
              </w:rPr>
              <w:t>Australia</w:t>
            </w:r>
            <w:r w:rsidRPr="00835C62">
              <w:rPr>
                <w:lang w:val="en"/>
              </w:rPr>
              <w:t xml:space="preserve">, </w:t>
            </w:r>
            <w:r w:rsidRPr="001C146A">
              <w:rPr>
                <w:lang w:val="en"/>
              </w:rPr>
              <w:t>China</w:t>
            </w:r>
            <w:r w:rsidRPr="00835C62">
              <w:rPr>
                <w:lang w:val="en"/>
              </w:rPr>
              <w:t xml:space="preserve">, </w:t>
            </w:r>
            <w:r w:rsidRPr="001C146A">
              <w:rPr>
                <w:lang w:val="en"/>
              </w:rPr>
              <w:t>India</w:t>
            </w:r>
            <w:r w:rsidRPr="00835C62">
              <w:rPr>
                <w:lang w:val="en"/>
              </w:rPr>
              <w:t xml:space="preserve">, </w:t>
            </w:r>
            <w:r w:rsidRPr="001C146A">
              <w:rPr>
                <w:lang w:val="en"/>
              </w:rPr>
              <w:t>Japan</w:t>
            </w:r>
            <w:r w:rsidRPr="00835C62">
              <w:rPr>
                <w:lang w:val="en"/>
              </w:rPr>
              <w:t xml:space="preserve">, </w:t>
            </w:r>
            <w:r w:rsidRPr="001C146A">
              <w:rPr>
                <w:lang w:val="en"/>
              </w:rPr>
              <w:t>South Korea</w:t>
            </w:r>
            <w:r w:rsidRPr="00835C62">
              <w:rPr>
                <w:lang w:val="en"/>
              </w:rPr>
              <w:t xml:space="preserve"> and </w:t>
            </w:r>
            <w:r w:rsidRPr="001C146A">
              <w:rPr>
                <w:lang w:val="en"/>
              </w:rPr>
              <w:t>New Zealand</w:t>
            </w:r>
            <w:r w:rsidRPr="00835C62">
              <w:rPr>
                <w:lang w:val="en"/>
              </w:rPr>
              <w:t>).</w:t>
            </w:r>
          </w:p>
        </w:tc>
      </w:tr>
      <w:tr w:rsidR="000B6357" w:rsidTr="000B6357">
        <w:tc>
          <w:tcPr>
            <w:tcW w:w="1701" w:type="dxa"/>
            <w:shd w:val="clear" w:color="auto" w:fill="F2F2F2" w:themeFill="accent4"/>
          </w:tcPr>
          <w:p w:rsidR="000B6357" w:rsidRDefault="000B6357" w:rsidP="000B6357">
            <w:pPr>
              <w:pStyle w:val="BodyText"/>
            </w:pPr>
            <w:proofErr w:type="spellStart"/>
            <w:r>
              <w:t>RoO</w:t>
            </w:r>
            <w:proofErr w:type="spellEnd"/>
          </w:p>
        </w:tc>
        <w:tc>
          <w:tcPr>
            <w:tcW w:w="7088" w:type="dxa"/>
            <w:shd w:val="clear" w:color="auto" w:fill="F2F2F2" w:themeFill="accent4"/>
          </w:tcPr>
          <w:p w:rsidR="000B6357" w:rsidRDefault="000B6357" w:rsidP="000B6357">
            <w:pPr>
              <w:pStyle w:val="BodyText"/>
            </w:pPr>
            <w:r>
              <w:t>Rules of Origin</w:t>
            </w:r>
          </w:p>
        </w:tc>
      </w:tr>
      <w:tr w:rsidR="000B6357" w:rsidTr="000B6357">
        <w:tc>
          <w:tcPr>
            <w:tcW w:w="1701" w:type="dxa"/>
          </w:tcPr>
          <w:p w:rsidR="000B6357" w:rsidRDefault="000B6357" w:rsidP="000B6357">
            <w:pPr>
              <w:pStyle w:val="BodyText"/>
            </w:pPr>
            <w:proofErr w:type="spellStart"/>
            <w:r>
              <w:t>RVC</w:t>
            </w:r>
            <w:proofErr w:type="spellEnd"/>
          </w:p>
        </w:tc>
        <w:tc>
          <w:tcPr>
            <w:tcW w:w="7088" w:type="dxa"/>
          </w:tcPr>
          <w:p w:rsidR="000B6357" w:rsidRDefault="000B6357" w:rsidP="000B6357">
            <w:pPr>
              <w:pStyle w:val="BodyText"/>
            </w:pPr>
            <w:r>
              <w:t>Regional Value Content</w:t>
            </w:r>
          </w:p>
        </w:tc>
      </w:tr>
      <w:tr w:rsidR="000B6357" w:rsidTr="000B6357">
        <w:tc>
          <w:tcPr>
            <w:tcW w:w="1701" w:type="dxa"/>
            <w:shd w:val="clear" w:color="auto" w:fill="F2F2F2" w:themeFill="accent4"/>
          </w:tcPr>
          <w:p w:rsidR="000B6357" w:rsidRDefault="000B6357" w:rsidP="000B6357">
            <w:pPr>
              <w:pStyle w:val="BodyText"/>
            </w:pPr>
            <w:proofErr w:type="spellStart"/>
            <w:r>
              <w:t>SAFTA</w:t>
            </w:r>
            <w:proofErr w:type="spellEnd"/>
          </w:p>
        </w:tc>
        <w:tc>
          <w:tcPr>
            <w:tcW w:w="7088" w:type="dxa"/>
            <w:shd w:val="clear" w:color="auto" w:fill="F2F2F2" w:themeFill="accent4"/>
          </w:tcPr>
          <w:p w:rsidR="000B6357" w:rsidRDefault="000B6357" w:rsidP="000B6357">
            <w:pPr>
              <w:pStyle w:val="BodyText"/>
            </w:pPr>
            <w:r>
              <w:t>Singapore</w:t>
            </w:r>
            <w:r>
              <w:noBreakHyphen/>
              <w:t>Australia Free Trade Agreement</w:t>
            </w:r>
          </w:p>
        </w:tc>
      </w:tr>
      <w:tr w:rsidR="000B6357" w:rsidTr="000B6357">
        <w:tc>
          <w:tcPr>
            <w:tcW w:w="1701" w:type="dxa"/>
          </w:tcPr>
          <w:p w:rsidR="000B6357" w:rsidRDefault="000B6357" w:rsidP="000B6357">
            <w:pPr>
              <w:pStyle w:val="BodyText"/>
            </w:pPr>
            <w:proofErr w:type="spellStart"/>
            <w:r>
              <w:t>TAFTA</w:t>
            </w:r>
            <w:proofErr w:type="spellEnd"/>
          </w:p>
        </w:tc>
        <w:tc>
          <w:tcPr>
            <w:tcW w:w="7088" w:type="dxa"/>
          </w:tcPr>
          <w:p w:rsidR="000B6357" w:rsidRDefault="000B6357" w:rsidP="000B6357">
            <w:pPr>
              <w:pStyle w:val="BodyText"/>
            </w:pPr>
            <w:r>
              <w:t>Thailand</w:t>
            </w:r>
            <w:r>
              <w:noBreakHyphen/>
              <w:t>Australia Free Trade Agreement</w:t>
            </w:r>
          </w:p>
        </w:tc>
      </w:tr>
      <w:tr w:rsidR="000B6357" w:rsidTr="000B6357">
        <w:tc>
          <w:tcPr>
            <w:tcW w:w="1701" w:type="dxa"/>
            <w:shd w:val="clear" w:color="auto" w:fill="F2F2F2" w:themeFill="accent4"/>
          </w:tcPr>
          <w:p w:rsidR="000B6357" w:rsidRDefault="000B6357" w:rsidP="000B6357">
            <w:pPr>
              <w:pStyle w:val="BodyText"/>
            </w:pPr>
            <w:proofErr w:type="spellStart"/>
            <w:r>
              <w:t>TPP</w:t>
            </w:r>
            <w:proofErr w:type="spellEnd"/>
          </w:p>
        </w:tc>
        <w:tc>
          <w:tcPr>
            <w:tcW w:w="7088" w:type="dxa"/>
            <w:shd w:val="clear" w:color="auto" w:fill="F2F2F2" w:themeFill="accent4"/>
          </w:tcPr>
          <w:p w:rsidR="000B6357" w:rsidRPr="001C146A" w:rsidRDefault="000B6357" w:rsidP="000B6357">
            <w:pPr>
              <w:pStyle w:val="BodyText"/>
            </w:pPr>
            <w:r w:rsidRPr="001C146A">
              <w:t>Trans</w:t>
            </w:r>
            <w:r>
              <w:noBreakHyphen/>
            </w:r>
            <w:r w:rsidRPr="001C146A">
              <w:t>Pacific Partnership Agreement (agreed between Australia, Brunei, Canada, Chile, Japan, Malaysia, Mexico, New Zealand, Peru, Singapore, the United States (until 23 January 2017) and Vietnam.</w:t>
            </w:r>
          </w:p>
        </w:tc>
      </w:tr>
      <w:tr w:rsidR="000B6357" w:rsidTr="000B6357">
        <w:tc>
          <w:tcPr>
            <w:tcW w:w="1701" w:type="dxa"/>
          </w:tcPr>
          <w:p w:rsidR="000B6357" w:rsidRDefault="000B6357" w:rsidP="000B6357">
            <w:pPr>
              <w:pStyle w:val="BodyText"/>
            </w:pPr>
            <w:proofErr w:type="spellStart"/>
            <w:r>
              <w:t>WCO</w:t>
            </w:r>
            <w:proofErr w:type="spellEnd"/>
          </w:p>
        </w:tc>
        <w:tc>
          <w:tcPr>
            <w:tcW w:w="7088" w:type="dxa"/>
          </w:tcPr>
          <w:p w:rsidR="000B6357" w:rsidRDefault="000B6357" w:rsidP="000B6357">
            <w:pPr>
              <w:pStyle w:val="BodyText"/>
            </w:pPr>
            <w:r>
              <w:t>World Customs Organization</w:t>
            </w:r>
          </w:p>
        </w:tc>
      </w:tr>
      <w:tr w:rsidR="000B6357" w:rsidTr="000B6357">
        <w:tc>
          <w:tcPr>
            <w:tcW w:w="1701" w:type="dxa"/>
            <w:shd w:val="clear" w:color="auto" w:fill="F2F2F2" w:themeFill="accent4"/>
          </w:tcPr>
          <w:p w:rsidR="000B6357" w:rsidRDefault="000B6357" w:rsidP="000B6357">
            <w:pPr>
              <w:pStyle w:val="BodyText"/>
            </w:pPr>
            <w:r>
              <w:t>WTO</w:t>
            </w:r>
          </w:p>
        </w:tc>
        <w:tc>
          <w:tcPr>
            <w:tcW w:w="7088" w:type="dxa"/>
            <w:shd w:val="clear" w:color="auto" w:fill="F2F2F2" w:themeFill="accent4"/>
          </w:tcPr>
          <w:p w:rsidR="000B6357" w:rsidRDefault="000B6357" w:rsidP="000B6357">
            <w:pPr>
              <w:pStyle w:val="BodyText"/>
            </w:pPr>
            <w:r>
              <w:t>World Trade Organization</w:t>
            </w:r>
          </w:p>
        </w:tc>
      </w:tr>
    </w:tbl>
    <w:p w:rsidR="000B6357" w:rsidRDefault="000B6357">
      <w:pPr>
        <w:pStyle w:val="BodyText"/>
      </w:pPr>
    </w:p>
    <w:p w:rsidR="000B6357" w:rsidRDefault="000B6357">
      <w:pPr>
        <w:pStyle w:val="BodyText"/>
        <w:sectPr w:rsidR="000B6357" w:rsidSect="000B6357">
          <w:footerReference w:type="default" r:id="rId15"/>
          <w:pgSz w:w="11907" w:h="16840" w:code="9"/>
          <w:pgMar w:top="1985" w:right="1304" w:bottom="1247" w:left="1814" w:header="1701" w:footer="397" w:gutter="0"/>
          <w:pgNumType w:fmt="lowerRoman"/>
          <w:cols w:space="720"/>
        </w:sectPr>
      </w:pPr>
    </w:p>
    <w:p w:rsidR="00254C18" w:rsidRPr="00254C18" w:rsidRDefault="00F360A1" w:rsidP="00254C18">
      <w:pPr>
        <w:pStyle w:val="BodyText"/>
        <w:rPr>
          <w:lang w:eastAsia="en-US"/>
        </w:rPr>
      </w:pPr>
      <w:bookmarkStart w:id="7" w:name="Abbreviations"/>
      <w:bookmarkStart w:id="8" w:name="RDnote"/>
      <w:bookmarkStart w:id="9" w:name="EndContents"/>
      <w:bookmarkEnd w:id="7"/>
      <w:bookmarkEnd w:id="8"/>
      <w:bookmarkEnd w:id="9"/>
      <w:r w:rsidRPr="00F360A1">
        <w:rPr>
          <w:noProof/>
        </w:rPr>
        <w:lastRenderedPageBreak/>
        <w:drawing>
          <wp:anchor distT="0" distB="0" distL="114300" distR="114300" simplePos="0" relativeHeight="251659264" behindDoc="0" locked="0" layoutInCell="1" allowOverlap="1" wp14:anchorId="18900CE8" wp14:editId="694BD8DA">
            <wp:simplePos x="0" y="0"/>
            <wp:positionH relativeFrom="page">
              <wp:align>center</wp:align>
            </wp:positionH>
            <wp:positionV relativeFrom="page">
              <wp:align>center</wp:align>
            </wp:positionV>
            <wp:extent cx="5439600" cy="6789600"/>
            <wp:effectExtent l="0" t="0" r="8890" b="0"/>
            <wp:wrapNone/>
            <wp:docPr id="1" name="Picture 1" descr="Rules of origin make accessing the benefits of trade agreements about as easy as eating a bowl of noodles with only one chop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orsfall\AppData\Local\Microsoft\Windows\INetCache\Content.Outlook\417OBJUQ\noodle-bowl-v2-01.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r="2553"/>
                    <a:stretch/>
                  </pic:blipFill>
                  <pic:spPr bwMode="auto">
                    <a:xfrm>
                      <a:off x="0" y="0"/>
                      <a:ext cx="5439600" cy="678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254C18" w:rsidRPr="00254C18" w:rsidSect="00585B3F">
      <w:headerReference w:type="even" r:id="rId17"/>
      <w:headerReference w:type="default" r:id="rId18"/>
      <w:footerReference w:type="even" r:id="rId19"/>
      <w:footerReference w:type="default" r:id="rId2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389" w:rsidRDefault="00E62389">
      <w:r>
        <w:separator/>
      </w:r>
    </w:p>
    <w:p w:rsidR="00E62389" w:rsidRDefault="00E62389"/>
    <w:p w:rsidR="00E62389" w:rsidRDefault="00E62389"/>
  </w:endnote>
  <w:endnote w:type="continuationSeparator" w:id="0">
    <w:p w:rsidR="00E62389" w:rsidRDefault="00E62389">
      <w:r>
        <w:continuationSeparator/>
      </w:r>
    </w:p>
    <w:p w:rsidR="00E62389" w:rsidRDefault="00E62389"/>
    <w:p w:rsidR="00E62389" w:rsidRDefault="00E62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62389" w:rsidTr="000B6357">
      <w:trPr>
        <w:trHeight w:hRule="exact" w:val="567"/>
      </w:trPr>
      <w:tc>
        <w:tcPr>
          <w:tcW w:w="510" w:type="dxa"/>
        </w:tcPr>
        <w:p w:rsidR="00E62389" w:rsidRPr="00A24443" w:rsidRDefault="00E62389" w:rsidP="000B635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77616">
            <w:rPr>
              <w:rStyle w:val="PageNumber"/>
              <w:caps w:val="0"/>
              <w:noProof/>
            </w:rPr>
            <w:t>iv</w:t>
          </w:r>
          <w:r w:rsidRPr="00A24443">
            <w:rPr>
              <w:rStyle w:val="PageNumber"/>
              <w:caps w:val="0"/>
            </w:rPr>
            <w:fldChar w:fldCharType="end"/>
          </w:r>
        </w:p>
      </w:tc>
      <w:tc>
        <w:tcPr>
          <w:tcW w:w="7767" w:type="dxa"/>
        </w:tcPr>
        <w:p w:rsidR="00E62389" w:rsidRPr="0013739A" w:rsidRDefault="00E62389" w:rsidP="000B635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Rules of Origin</w:t>
          </w:r>
          <w:r w:rsidRPr="00BA5B14">
            <w:rPr>
              <w:rFonts w:cs="Arial"/>
            </w:rPr>
            <w:fldChar w:fldCharType="end"/>
          </w:r>
        </w:p>
      </w:tc>
      <w:tc>
        <w:tcPr>
          <w:tcW w:w="510" w:type="dxa"/>
        </w:tcPr>
        <w:p w:rsidR="00E62389" w:rsidRDefault="00E62389" w:rsidP="000B6357">
          <w:pPr>
            <w:pStyle w:val="Footer"/>
          </w:pPr>
        </w:p>
      </w:tc>
    </w:tr>
  </w:tbl>
  <w:p w:rsidR="00E62389" w:rsidRDefault="00E62389" w:rsidP="000B6357">
    <w:pPr>
      <w:pStyle w:val="FooterEnd"/>
    </w:pPr>
  </w:p>
  <w:p w:rsidR="00E62389" w:rsidRDefault="00E6238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62389" w:rsidTr="000B6357">
      <w:trPr>
        <w:trHeight w:hRule="exact" w:val="567"/>
      </w:trPr>
      <w:tc>
        <w:tcPr>
          <w:tcW w:w="510" w:type="dxa"/>
        </w:tcPr>
        <w:p w:rsidR="00E62389" w:rsidRDefault="00E62389">
          <w:pPr>
            <w:pStyle w:val="Footer"/>
            <w:ind w:right="360" w:firstLine="360"/>
          </w:pPr>
        </w:p>
      </w:tc>
      <w:tc>
        <w:tcPr>
          <w:tcW w:w="7767" w:type="dxa"/>
        </w:tcPr>
        <w:p w:rsidR="00E62389" w:rsidRPr="00BA5B14" w:rsidRDefault="00E62389"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77616" w:rsidRPr="00977616">
            <w:rPr>
              <w:bCs/>
              <w:noProof/>
            </w:rPr>
            <w:t>Contents</w:t>
          </w:r>
          <w:r w:rsidRPr="008F7DB7">
            <w:rPr>
              <w:noProof/>
            </w:rPr>
            <w:fldChar w:fldCharType="end"/>
          </w:r>
          <w:r>
            <w:rPr>
              <w:rFonts w:cs="Arial"/>
            </w:rPr>
            <w:t xml:space="preserve"> </w:t>
          </w:r>
        </w:p>
      </w:tc>
      <w:tc>
        <w:tcPr>
          <w:tcW w:w="510" w:type="dxa"/>
        </w:tcPr>
        <w:p w:rsidR="00E62389" w:rsidRPr="007448F7" w:rsidRDefault="00E6238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77616">
            <w:rPr>
              <w:rStyle w:val="PageNumber"/>
              <w:caps w:val="0"/>
              <w:noProof/>
            </w:rPr>
            <w:t>iii</w:t>
          </w:r>
          <w:r w:rsidRPr="007448F7">
            <w:rPr>
              <w:rStyle w:val="PageNumber"/>
              <w:caps w:val="0"/>
            </w:rPr>
            <w:fldChar w:fldCharType="end"/>
          </w:r>
        </w:p>
      </w:tc>
    </w:tr>
  </w:tbl>
  <w:p w:rsidR="00E62389" w:rsidRDefault="00E62389">
    <w:pPr>
      <w:pStyle w:val="FooterEnd"/>
    </w:pPr>
  </w:p>
  <w:p w:rsidR="00E62389" w:rsidRDefault="00E6238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62389" w:rsidTr="000B6357">
      <w:trPr>
        <w:trHeight w:hRule="exact" w:val="567"/>
      </w:trPr>
      <w:tc>
        <w:tcPr>
          <w:tcW w:w="510" w:type="dxa"/>
        </w:tcPr>
        <w:p w:rsidR="00E62389" w:rsidRDefault="00E62389">
          <w:pPr>
            <w:pStyle w:val="Footer"/>
            <w:ind w:right="360" w:firstLine="360"/>
          </w:pPr>
        </w:p>
      </w:tc>
      <w:tc>
        <w:tcPr>
          <w:tcW w:w="7767" w:type="dxa"/>
        </w:tcPr>
        <w:p w:rsidR="00E62389" w:rsidRPr="00BA5B14" w:rsidRDefault="00E62389" w:rsidP="007448F7">
          <w:pPr>
            <w:pStyle w:val="Footer"/>
            <w:jc w:val="right"/>
            <w:rPr>
              <w:rFonts w:cs="Arial"/>
            </w:rPr>
          </w:pPr>
          <w:r>
            <w:rPr>
              <w:noProof/>
            </w:rPr>
            <w:t>Abbreviations</w:t>
          </w:r>
          <w:r>
            <w:rPr>
              <w:rFonts w:cs="Arial"/>
            </w:rPr>
            <w:t xml:space="preserve"> </w:t>
          </w:r>
        </w:p>
      </w:tc>
      <w:tc>
        <w:tcPr>
          <w:tcW w:w="510" w:type="dxa"/>
        </w:tcPr>
        <w:p w:rsidR="00E62389" w:rsidRPr="007448F7" w:rsidRDefault="00E6238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77616">
            <w:rPr>
              <w:rStyle w:val="PageNumber"/>
              <w:caps w:val="0"/>
              <w:noProof/>
            </w:rPr>
            <w:t>v</w:t>
          </w:r>
          <w:r w:rsidRPr="007448F7">
            <w:rPr>
              <w:rStyle w:val="PageNumber"/>
              <w:caps w:val="0"/>
            </w:rPr>
            <w:fldChar w:fldCharType="end"/>
          </w:r>
        </w:p>
      </w:tc>
    </w:tr>
  </w:tbl>
  <w:p w:rsidR="00E62389" w:rsidRDefault="00E62389">
    <w:pPr>
      <w:pStyle w:val="FooterEnd"/>
    </w:pPr>
  </w:p>
  <w:p w:rsidR="00E62389" w:rsidRDefault="00E62389">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89" w:rsidRDefault="00E62389" w:rsidP="000B6357">
    <w:pPr>
      <w:pStyle w:val="FooterEnd"/>
    </w:pPr>
  </w:p>
  <w:p w:rsidR="00E62389" w:rsidRDefault="00E6238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62389" w:rsidTr="000B6357">
      <w:trPr>
        <w:trHeight w:hRule="exact" w:val="567"/>
      </w:trPr>
      <w:tc>
        <w:tcPr>
          <w:tcW w:w="510" w:type="dxa"/>
        </w:tcPr>
        <w:p w:rsidR="00E62389" w:rsidRDefault="00E62389">
          <w:pPr>
            <w:pStyle w:val="Footer"/>
            <w:ind w:right="360" w:firstLine="360"/>
          </w:pPr>
        </w:p>
      </w:tc>
      <w:tc>
        <w:tcPr>
          <w:tcW w:w="7767" w:type="dxa"/>
        </w:tcPr>
        <w:p w:rsidR="00E62389" w:rsidRPr="00340511" w:rsidRDefault="00E62389"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Pr>
              <w:b/>
              <w:bCs/>
              <w:noProof/>
              <w:lang w:val="en-US"/>
            </w:rPr>
            <w:t>Error! No text of specified style in document.</w:t>
          </w:r>
          <w:r w:rsidRPr="00340511">
            <w:rPr>
              <w:noProof/>
            </w:rPr>
            <w:fldChar w:fldCharType="end"/>
          </w:r>
        </w:p>
      </w:tc>
      <w:tc>
        <w:tcPr>
          <w:tcW w:w="510" w:type="dxa"/>
        </w:tcPr>
        <w:p w:rsidR="00E62389" w:rsidRPr="00A24443" w:rsidRDefault="00E6238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rsidR="00E62389" w:rsidRDefault="00E62389">
    <w:pPr>
      <w:pStyle w:val="FooterEnd"/>
    </w:pPr>
  </w:p>
  <w:p w:rsidR="00E62389" w:rsidRDefault="00E62389"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389" w:rsidRDefault="00E62389">
      <w:r>
        <w:separator/>
      </w:r>
    </w:p>
    <w:p w:rsidR="00E62389" w:rsidRDefault="00E62389"/>
    <w:p w:rsidR="00E62389" w:rsidRDefault="00E62389"/>
  </w:footnote>
  <w:footnote w:type="continuationSeparator" w:id="0">
    <w:p w:rsidR="00E62389" w:rsidRDefault="00E62389">
      <w:r>
        <w:continuationSeparator/>
      </w:r>
    </w:p>
    <w:p w:rsidR="00E62389" w:rsidRDefault="00E62389"/>
    <w:p w:rsidR="00E62389" w:rsidRDefault="00E623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62389">
      <w:tc>
        <w:tcPr>
          <w:tcW w:w="2155" w:type="dxa"/>
          <w:tcBorders>
            <w:top w:val="single" w:sz="24" w:space="0" w:color="auto"/>
          </w:tcBorders>
        </w:tcPr>
        <w:p w:rsidR="00E62389" w:rsidRDefault="00E62389">
          <w:pPr>
            <w:pStyle w:val="Header"/>
          </w:pPr>
        </w:p>
      </w:tc>
      <w:tc>
        <w:tcPr>
          <w:tcW w:w="6634" w:type="dxa"/>
          <w:tcBorders>
            <w:top w:val="single" w:sz="6" w:space="0" w:color="auto"/>
          </w:tcBorders>
        </w:tcPr>
        <w:p w:rsidR="00E62389" w:rsidRDefault="00E62389">
          <w:pPr>
            <w:pStyle w:val="Header"/>
          </w:pPr>
        </w:p>
      </w:tc>
    </w:tr>
  </w:tbl>
  <w:p w:rsidR="00E62389" w:rsidRDefault="00E6238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62389" w:rsidTr="005C68FE">
      <w:tc>
        <w:tcPr>
          <w:tcW w:w="6634" w:type="dxa"/>
          <w:tcBorders>
            <w:top w:val="single" w:sz="6" w:space="0" w:color="auto"/>
          </w:tcBorders>
        </w:tcPr>
        <w:p w:rsidR="00E62389" w:rsidRDefault="00E62389" w:rsidP="005C68FE">
          <w:pPr>
            <w:pStyle w:val="HeaderOdd"/>
          </w:pPr>
        </w:p>
      </w:tc>
      <w:tc>
        <w:tcPr>
          <w:tcW w:w="2155" w:type="dxa"/>
          <w:tcBorders>
            <w:top w:val="single" w:sz="24" w:space="0" w:color="auto"/>
          </w:tcBorders>
        </w:tcPr>
        <w:p w:rsidR="00E62389" w:rsidRDefault="00E62389" w:rsidP="005C68FE">
          <w:pPr>
            <w:pStyle w:val="HeaderOdd"/>
          </w:pPr>
        </w:p>
      </w:tc>
    </w:tr>
  </w:tbl>
  <w:p w:rsidR="00E62389" w:rsidRPr="005C68FE" w:rsidRDefault="00E62389"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89" w:rsidRDefault="00E62389"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62389">
      <w:tc>
        <w:tcPr>
          <w:tcW w:w="6634" w:type="dxa"/>
          <w:tcBorders>
            <w:top w:val="single" w:sz="6" w:space="0" w:color="auto"/>
          </w:tcBorders>
        </w:tcPr>
        <w:p w:rsidR="00E62389" w:rsidRDefault="00E62389">
          <w:pPr>
            <w:pStyle w:val="HeaderOdd"/>
          </w:pPr>
        </w:p>
      </w:tc>
      <w:tc>
        <w:tcPr>
          <w:tcW w:w="2155" w:type="dxa"/>
          <w:tcBorders>
            <w:top w:val="single" w:sz="24" w:space="0" w:color="auto"/>
          </w:tcBorders>
        </w:tcPr>
        <w:p w:rsidR="00E62389" w:rsidRDefault="00E62389">
          <w:pPr>
            <w:pStyle w:val="HeaderOdd"/>
          </w:pPr>
        </w:p>
      </w:tc>
    </w:tr>
  </w:tbl>
  <w:p w:rsidR="00E62389" w:rsidRDefault="00E62389"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896"/>
    <w:rsid w:val="00017AFC"/>
    <w:rsid w:val="00025878"/>
    <w:rsid w:val="00026B38"/>
    <w:rsid w:val="000502D3"/>
    <w:rsid w:val="00052CB2"/>
    <w:rsid w:val="000623BF"/>
    <w:rsid w:val="000779EB"/>
    <w:rsid w:val="00080A34"/>
    <w:rsid w:val="00095EEA"/>
    <w:rsid w:val="00097C15"/>
    <w:rsid w:val="000A0A0E"/>
    <w:rsid w:val="000A5E12"/>
    <w:rsid w:val="000B416E"/>
    <w:rsid w:val="000B6357"/>
    <w:rsid w:val="000F185F"/>
    <w:rsid w:val="000F2F5F"/>
    <w:rsid w:val="00106041"/>
    <w:rsid w:val="0010611E"/>
    <w:rsid w:val="00122FE9"/>
    <w:rsid w:val="00131572"/>
    <w:rsid w:val="00131D4F"/>
    <w:rsid w:val="0013399B"/>
    <w:rsid w:val="00180515"/>
    <w:rsid w:val="00181F4B"/>
    <w:rsid w:val="00187E35"/>
    <w:rsid w:val="00190919"/>
    <w:rsid w:val="00196FB3"/>
    <w:rsid w:val="001A5071"/>
    <w:rsid w:val="001B4E73"/>
    <w:rsid w:val="001B7F1E"/>
    <w:rsid w:val="001D4B1F"/>
    <w:rsid w:val="001D6629"/>
    <w:rsid w:val="001E3390"/>
    <w:rsid w:val="001F2270"/>
    <w:rsid w:val="001F25DD"/>
    <w:rsid w:val="00203B40"/>
    <w:rsid w:val="00205A82"/>
    <w:rsid w:val="00211BEE"/>
    <w:rsid w:val="00213329"/>
    <w:rsid w:val="002179C6"/>
    <w:rsid w:val="00223A28"/>
    <w:rsid w:val="00254C18"/>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65150"/>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0519"/>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11C23"/>
    <w:rsid w:val="00731F96"/>
    <w:rsid w:val="00734127"/>
    <w:rsid w:val="00735FEA"/>
    <w:rsid w:val="00743460"/>
    <w:rsid w:val="00743A27"/>
    <w:rsid w:val="007448F7"/>
    <w:rsid w:val="00753DC6"/>
    <w:rsid w:val="0075578C"/>
    <w:rsid w:val="00766DFB"/>
    <w:rsid w:val="007734B5"/>
    <w:rsid w:val="007809B8"/>
    <w:rsid w:val="007813A6"/>
    <w:rsid w:val="007C4668"/>
    <w:rsid w:val="00805FD7"/>
    <w:rsid w:val="00806E54"/>
    <w:rsid w:val="008206EE"/>
    <w:rsid w:val="008214B1"/>
    <w:rsid w:val="008273A9"/>
    <w:rsid w:val="00835C62"/>
    <w:rsid w:val="00836ED7"/>
    <w:rsid w:val="0084355E"/>
    <w:rsid w:val="008453AC"/>
    <w:rsid w:val="00850324"/>
    <w:rsid w:val="00860D09"/>
    <w:rsid w:val="00862044"/>
    <w:rsid w:val="00880BF7"/>
    <w:rsid w:val="008921BF"/>
    <w:rsid w:val="0089269F"/>
    <w:rsid w:val="008A2133"/>
    <w:rsid w:val="008A3857"/>
    <w:rsid w:val="008B2205"/>
    <w:rsid w:val="008B4F9D"/>
    <w:rsid w:val="008C08EF"/>
    <w:rsid w:val="008C305F"/>
    <w:rsid w:val="008C3AD2"/>
    <w:rsid w:val="008C7C3D"/>
    <w:rsid w:val="008D0896"/>
    <w:rsid w:val="008D6425"/>
    <w:rsid w:val="008D6F66"/>
    <w:rsid w:val="008E1BEA"/>
    <w:rsid w:val="008E242D"/>
    <w:rsid w:val="008E43D2"/>
    <w:rsid w:val="008E5248"/>
    <w:rsid w:val="008F04C9"/>
    <w:rsid w:val="008F7C50"/>
    <w:rsid w:val="008F7DB7"/>
    <w:rsid w:val="009064D3"/>
    <w:rsid w:val="00915300"/>
    <w:rsid w:val="00930AF3"/>
    <w:rsid w:val="00933B0C"/>
    <w:rsid w:val="00935676"/>
    <w:rsid w:val="00977616"/>
    <w:rsid w:val="0098401D"/>
    <w:rsid w:val="009A789F"/>
    <w:rsid w:val="009B12EF"/>
    <w:rsid w:val="009B48F7"/>
    <w:rsid w:val="009B6185"/>
    <w:rsid w:val="009C6C6D"/>
    <w:rsid w:val="009E1E78"/>
    <w:rsid w:val="00A1597D"/>
    <w:rsid w:val="00A46989"/>
    <w:rsid w:val="00A469AA"/>
    <w:rsid w:val="00A65C20"/>
    <w:rsid w:val="00A71CE9"/>
    <w:rsid w:val="00A72A19"/>
    <w:rsid w:val="00A75A30"/>
    <w:rsid w:val="00A93C82"/>
    <w:rsid w:val="00AB2A48"/>
    <w:rsid w:val="00AC3236"/>
    <w:rsid w:val="00AD4874"/>
    <w:rsid w:val="00AE1F8A"/>
    <w:rsid w:val="00B036B2"/>
    <w:rsid w:val="00B04D19"/>
    <w:rsid w:val="00B153C3"/>
    <w:rsid w:val="00B22087"/>
    <w:rsid w:val="00B45537"/>
    <w:rsid w:val="00B56E5D"/>
    <w:rsid w:val="00B722F2"/>
    <w:rsid w:val="00B80355"/>
    <w:rsid w:val="00B90958"/>
    <w:rsid w:val="00B95339"/>
    <w:rsid w:val="00BA0B81"/>
    <w:rsid w:val="00BA311E"/>
    <w:rsid w:val="00BB334E"/>
    <w:rsid w:val="00BB5DCF"/>
    <w:rsid w:val="00BC2476"/>
    <w:rsid w:val="00BF59EA"/>
    <w:rsid w:val="00BF79CD"/>
    <w:rsid w:val="00C058AB"/>
    <w:rsid w:val="00C0721B"/>
    <w:rsid w:val="00C11558"/>
    <w:rsid w:val="00C34C8C"/>
    <w:rsid w:val="00C50792"/>
    <w:rsid w:val="00C51371"/>
    <w:rsid w:val="00C55A45"/>
    <w:rsid w:val="00C670DE"/>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1C15"/>
    <w:rsid w:val="00E15FDC"/>
    <w:rsid w:val="00E2651B"/>
    <w:rsid w:val="00E30DDB"/>
    <w:rsid w:val="00E62389"/>
    <w:rsid w:val="00E6632E"/>
    <w:rsid w:val="00E90CF2"/>
    <w:rsid w:val="00EC38C1"/>
    <w:rsid w:val="00EC628B"/>
    <w:rsid w:val="00ED0F61"/>
    <w:rsid w:val="00EE3F6D"/>
    <w:rsid w:val="00EE6D20"/>
    <w:rsid w:val="00EE73E1"/>
    <w:rsid w:val="00F12107"/>
    <w:rsid w:val="00F13165"/>
    <w:rsid w:val="00F360A1"/>
    <w:rsid w:val="00F4234E"/>
    <w:rsid w:val="00F61429"/>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headBody Text,Body Text1,new legislation style,new legislation style1,new legislation style Ch"/>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headBody Text Char,Body Text1 Char,new legislation style Char,new legislation style1 Char,new legislation style Ch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8D0896"/>
    <w:rPr>
      <w:kern w:val="28"/>
      <w:sz w:val="52"/>
      <w:lang w:eastAsia="en-US"/>
    </w:rPr>
  </w:style>
  <w:style w:type="table" w:styleId="TableGrid">
    <w:name w:val="Table Grid"/>
    <w:basedOn w:val="TableNormal"/>
    <w:rsid w:val="008D0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headBody Text,Body Text1,new legislation style,new legislation style1,new legislation style Ch"/>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headBody Text Char,Body Text1 Char,new legislation style Char,new legislation style1 Char,new legislation style Ch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8D0896"/>
    <w:rPr>
      <w:kern w:val="28"/>
      <w:sz w:val="52"/>
      <w:lang w:eastAsia="en-US"/>
    </w:rPr>
  </w:style>
  <w:style w:type="table" w:styleId="TableGrid">
    <w:name w:val="Table Grid"/>
    <w:basedOn w:val="TableNormal"/>
    <w:rsid w:val="008D0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51A5B50-F35B-46C1-804F-FBC41197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37</TotalTime>
  <Pages>6</Pages>
  <Words>557</Words>
  <Characters>3412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Rules of Origin</vt:lpstr>
    </vt:vector>
  </TitlesOfParts>
  <Company>Productivity Commission</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of Origin</dc:title>
  <dc:creator>Horsfall, Tracey</dc:creator>
  <cp:lastModifiedBy>Leahan, Rebecca</cp:lastModifiedBy>
  <cp:revision>11</cp:revision>
  <cp:lastPrinted>2017-04-27T06:19:00Z</cp:lastPrinted>
  <dcterms:created xsi:type="dcterms:W3CDTF">2017-04-28T02:32:00Z</dcterms:created>
  <dcterms:modified xsi:type="dcterms:W3CDTF">2017-05-01T01:16:00Z</dcterms:modified>
</cp:coreProperties>
</file>