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11FF8" w14:textId="77777777" w:rsidR="007050BF" w:rsidRPr="00B0417B" w:rsidRDefault="007050BF" w:rsidP="00A000EA">
      <w:pPr>
        <w:pStyle w:val="BoxSpaceAbove"/>
        <w:rPr>
          <w:lang w:val="en-US"/>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42F62" w14:paraId="407F65D1" w14:textId="77777777" w:rsidTr="00B42F62">
        <w:tc>
          <w:tcPr>
            <w:tcW w:w="8771" w:type="dxa"/>
            <w:tcBorders>
              <w:top w:val="single" w:sz="6" w:space="0" w:color="78A22F"/>
              <w:left w:val="nil"/>
              <w:bottom w:val="nil"/>
              <w:right w:val="nil"/>
            </w:tcBorders>
            <w:shd w:val="clear" w:color="auto" w:fill="F2F2F2"/>
          </w:tcPr>
          <w:p w14:paraId="4F746CD1" w14:textId="77777777" w:rsidR="00B42F62" w:rsidRPr="00232B1E" w:rsidRDefault="00232B1E" w:rsidP="00232B1E">
            <w:pPr>
              <w:pStyle w:val="BoxTitle"/>
            </w:pPr>
            <w:r w:rsidRPr="00232B1E">
              <w:t>Key points</w:t>
            </w:r>
            <w:r w:rsidR="00B42F62" w:rsidRPr="00232B1E">
              <w:tab/>
            </w:r>
          </w:p>
        </w:tc>
      </w:tr>
      <w:tr w:rsidR="00B42F62" w14:paraId="55B93970" w14:textId="77777777" w:rsidTr="00B42F62">
        <w:tc>
          <w:tcPr>
            <w:tcW w:w="8771" w:type="dxa"/>
            <w:tcBorders>
              <w:top w:val="nil"/>
              <w:left w:val="nil"/>
              <w:bottom w:val="nil"/>
              <w:right w:val="nil"/>
            </w:tcBorders>
            <w:shd w:val="clear" w:color="auto" w:fill="F2F2F2"/>
          </w:tcPr>
          <w:p w14:paraId="6F927927" w14:textId="07F7E1D6" w:rsidR="00A9670B" w:rsidRDefault="00A9670B" w:rsidP="00A000EA">
            <w:pPr>
              <w:pStyle w:val="KeyPointsListBullet"/>
            </w:pPr>
            <w:r>
              <w:t>Rules of Origin (</w:t>
            </w:r>
            <w:proofErr w:type="spellStart"/>
            <w:r>
              <w:t>RoO</w:t>
            </w:r>
            <w:proofErr w:type="spellEnd"/>
            <w:r>
              <w:t>) have become a pernicious barrier to trade for Australian business.</w:t>
            </w:r>
            <w:r w:rsidR="00FE23A3">
              <w:t xml:space="preserve"> </w:t>
            </w:r>
            <w:r>
              <w:t xml:space="preserve">Their inherent protectionism is little known </w:t>
            </w:r>
            <w:r w:rsidR="00CE0E2D">
              <w:t>—</w:t>
            </w:r>
            <w:r>
              <w:t xml:space="preserve"> well disguised in their daunting yet mind numbingly dull complexity.</w:t>
            </w:r>
            <w:r w:rsidR="00FE23A3">
              <w:t xml:space="preserve"> </w:t>
            </w:r>
          </w:p>
          <w:p w14:paraId="613ECD85" w14:textId="25A13A93" w:rsidR="00A9670B" w:rsidRDefault="00A9670B" w:rsidP="00A000EA">
            <w:pPr>
              <w:pStyle w:val="KeyPointsListBullet"/>
            </w:pPr>
            <w:proofErr w:type="spellStart"/>
            <w:r>
              <w:t>RoO</w:t>
            </w:r>
            <w:proofErr w:type="spellEnd"/>
            <w:r>
              <w:t xml:space="preserve"> are transformation tests (</w:t>
            </w:r>
            <w:r w:rsidR="00DD7045">
              <w:t xml:space="preserve">often </w:t>
            </w:r>
            <w:r>
              <w:t>requiring a local value add</w:t>
            </w:r>
            <w:r w:rsidR="00520528">
              <w:t>ed</w:t>
            </w:r>
            <w:r>
              <w:t xml:space="preserve"> threshold be met) to earn tariff and quota preferen</w:t>
            </w:r>
            <w:r w:rsidR="000F001F">
              <w:t xml:space="preserve">ces under </w:t>
            </w:r>
            <w:r w:rsidR="00B6522E">
              <w:t>preferential trade agreements (PTAs)</w:t>
            </w:r>
            <w:r w:rsidR="000F001F">
              <w:t>.  They are a non-</w:t>
            </w:r>
            <w:r>
              <w:t xml:space="preserve">tariff barrier.  </w:t>
            </w:r>
          </w:p>
          <w:p w14:paraId="415F4700" w14:textId="3550ECA6" w:rsidR="00A9670B" w:rsidRDefault="00A9670B" w:rsidP="00A000EA">
            <w:pPr>
              <w:pStyle w:val="KeyPointsListBullet2"/>
            </w:pPr>
            <w:r>
              <w:t>The more stringent the transformation test, the greater protection afforded</w:t>
            </w:r>
            <w:r w:rsidR="00AD08BF">
              <w:t xml:space="preserve"> and higher</w:t>
            </w:r>
            <w:r w:rsidR="00DD7045">
              <w:t xml:space="preserve"> the</w:t>
            </w:r>
            <w:r w:rsidR="00AD08BF">
              <w:t xml:space="preserve"> import prices for consumers</w:t>
            </w:r>
            <w:r>
              <w:t xml:space="preserve">. </w:t>
            </w:r>
          </w:p>
          <w:p w14:paraId="7F33A31D" w14:textId="28502808" w:rsidR="00A9670B" w:rsidRDefault="00B6522E" w:rsidP="00A000EA">
            <w:pPr>
              <w:pStyle w:val="KeyPointsListBullet"/>
            </w:pPr>
            <w:r>
              <w:t xml:space="preserve">Australia’s PTAs </w:t>
            </w:r>
            <w:r w:rsidR="00A9670B">
              <w:t xml:space="preserve">contain </w:t>
            </w:r>
            <w:proofErr w:type="spellStart"/>
            <w:r w:rsidR="00A9670B">
              <w:t>RoO</w:t>
            </w:r>
            <w:proofErr w:type="spellEnd"/>
            <w:r w:rsidR="00A9670B">
              <w:t xml:space="preserve"> that can differ widely between </w:t>
            </w:r>
            <w:r>
              <w:t>agreements</w:t>
            </w:r>
            <w:r w:rsidR="00A9670B">
              <w:t>, creating a messy ‘</w:t>
            </w:r>
            <w:bookmarkStart w:id="0" w:name="_GoBack"/>
            <w:r w:rsidR="00A9670B">
              <w:t>noodle</w:t>
            </w:r>
            <w:bookmarkEnd w:id="0"/>
            <w:r w:rsidR="00A9670B">
              <w:t xml:space="preserve"> bowl’ that is hard for many Australian exporters and importers to navigate and raises the cost for those that do.    </w:t>
            </w:r>
          </w:p>
          <w:p w14:paraId="7B0580C0" w14:textId="77777777" w:rsidR="00A9670B" w:rsidRDefault="00A9670B" w:rsidP="00A000EA">
            <w:pPr>
              <w:pStyle w:val="KeyPointsListBullet"/>
            </w:pPr>
            <w:proofErr w:type="spellStart"/>
            <w:r>
              <w:t>RoO</w:t>
            </w:r>
            <w:proofErr w:type="spellEnd"/>
            <w:r>
              <w:t xml:space="preserve"> are insidious as they afford an impression of trade concessions, but instead their complexity and restrictiveness substantively erode the purported positive trade impacts of the PTA.  </w:t>
            </w:r>
          </w:p>
          <w:p w14:paraId="1D293146" w14:textId="611848DF" w:rsidR="00A9670B" w:rsidRDefault="00A9670B" w:rsidP="00A000EA">
            <w:pPr>
              <w:pStyle w:val="KeyPointsListBullet2"/>
            </w:pPr>
            <w:r>
              <w:t xml:space="preserve">One study estimated that </w:t>
            </w:r>
            <w:proofErr w:type="spellStart"/>
            <w:r>
              <w:t>RoO</w:t>
            </w:r>
            <w:proofErr w:type="spellEnd"/>
            <w:r>
              <w:t xml:space="preserve"> (across 149 countries) reduced the trade creation effects of PTAs by around two thirds.  </w:t>
            </w:r>
          </w:p>
          <w:p w14:paraId="50541715" w14:textId="5BFE2EDF" w:rsidR="00A9670B" w:rsidRDefault="00A9670B" w:rsidP="00A000EA">
            <w:pPr>
              <w:pStyle w:val="KeyPointsListBullet"/>
            </w:pPr>
            <w:r>
              <w:t xml:space="preserve">The costs of </w:t>
            </w:r>
            <w:proofErr w:type="spellStart"/>
            <w:r>
              <w:t>RoO</w:t>
            </w:r>
            <w:proofErr w:type="spellEnd"/>
            <w:r>
              <w:t xml:space="preserve"> (</w:t>
            </w:r>
            <w:r w:rsidR="00AD08BF">
              <w:t xml:space="preserve">which also include </w:t>
            </w:r>
            <w:r>
              <w:t xml:space="preserve">business uncertainty and trade concession erosion) will only worsen in a world of fragmented global value add chains and PTA proliferation.   </w:t>
            </w:r>
          </w:p>
          <w:p w14:paraId="45065380" w14:textId="50947060" w:rsidR="00A9670B" w:rsidRDefault="00A9670B" w:rsidP="00A000EA">
            <w:pPr>
              <w:pStyle w:val="KeyPointsListBullet"/>
            </w:pPr>
            <w:r>
              <w:t xml:space="preserve">There is also evidence that the application of </w:t>
            </w:r>
            <w:proofErr w:type="spellStart"/>
            <w:r>
              <w:t>RoO</w:t>
            </w:r>
            <w:proofErr w:type="spellEnd"/>
            <w:r>
              <w:t xml:space="preserve"> by Customs is a growing ‘at the border’ barrier in some </w:t>
            </w:r>
            <w:r w:rsidR="00263B0A">
              <w:t xml:space="preserve">Asian </w:t>
            </w:r>
            <w:r>
              <w:t>countries.</w:t>
            </w:r>
          </w:p>
          <w:p w14:paraId="1EBE2B4C" w14:textId="77777777" w:rsidR="00A9670B" w:rsidRDefault="00A9670B" w:rsidP="00A000EA">
            <w:pPr>
              <w:pStyle w:val="KeyPointsListBullet"/>
            </w:pPr>
            <w:proofErr w:type="spellStart"/>
            <w:r>
              <w:t>RoO</w:t>
            </w:r>
            <w:proofErr w:type="spellEnd"/>
            <w:r>
              <w:t xml:space="preserve"> reform is needed.  The most effective remediation is unilateral (MFN) tariff liberalisation.  This would make importing simpler and less costly, and assist Australian exporters through lower input costs.  </w:t>
            </w:r>
          </w:p>
          <w:p w14:paraId="0880CF96" w14:textId="7F5D4560" w:rsidR="00D373B6" w:rsidRDefault="00D373B6" w:rsidP="00A000EA">
            <w:pPr>
              <w:pStyle w:val="KeyPointsListBullet2"/>
            </w:pPr>
            <w:r>
              <w:t>There is no case against unilateral action as the negotiating coin argument has been comprehensively debunked</w:t>
            </w:r>
            <w:r w:rsidR="00AD08BF">
              <w:t>. Moreover, holding out for</w:t>
            </w:r>
            <w:r>
              <w:t xml:space="preserve"> reciprocity </w:t>
            </w:r>
            <w:r w:rsidR="00AD08BF">
              <w:t>would erode the wellbeing of Australians and deny the dynamic benefits of open markets</w:t>
            </w:r>
            <w:r>
              <w:t>.</w:t>
            </w:r>
          </w:p>
          <w:p w14:paraId="20FE4567" w14:textId="3FD6B5A1" w:rsidR="00B42F62" w:rsidRDefault="00263B0A" w:rsidP="00A000EA">
            <w:pPr>
              <w:pStyle w:val="KeyPointsListBullet"/>
            </w:pPr>
            <w:r>
              <w:t xml:space="preserve">PTAs will not deliver on their ‘advertised’ trade benefits if future regional agreements do not reduce </w:t>
            </w:r>
            <w:proofErr w:type="spellStart"/>
            <w:r>
              <w:t>RoO</w:t>
            </w:r>
            <w:proofErr w:type="spellEnd"/>
            <w:r>
              <w:t xml:space="preserve"> stringency and </w:t>
            </w:r>
            <w:r w:rsidRPr="00263B0A">
              <w:t xml:space="preserve">work toward removing </w:t>
            </w:r>
            <w:r>
              <w:t xml:space="preserve">them altogether – untangling the ‘noodle bowl’ thus far created.  </w:t>
            </w:r>
            <w:r w:rsidR="00297E4A">
              <w:t xml:space="preserve">Removing </w:t>
            </w:r>
            <w:proofErr w:type="spellStart"/>
            <w:r w:rsidR="00297E4A">
              <w:t>RoO</w:t>
            </w:r>
            <w:proofErr w:type="spellEnd"/>
            <w:r w:rsidR="00297E4A">
              <w:t xml:space="preserve"> that limit broader liberalisation </w:t>
            </w:r>
            <w:r>
              <w:t>may allow PTAs to become stepping stones for multilateral trade liberalisation, rather than the stumbling blocks they are today.</w:t>
            </w:r>
            <w:r w:rsidR="00297E4A">
              <w:t xml:space="preserve"> </w:t>
            </w:r>
          </w:p>
        </w:tc>
      </w:tr>
      <w:tr w:rsidR="00B42F62" w14:paraId="70C3F895" w14:textId="77777777" w:rsidTr="00B42F62">
        <w:tc>
          <w:tcPr>
            <w:tcW w:w="8771" w:type="dxa"/>
            <w:tcBorders>
              <w:top w:val="nil"/>
              <w:left w:val="nil"/>
              <w:bottom w:val="single" w:sz="6" w:space="0" w:color="78A22F"/>
              <w:right w:val="nil"/>
            </w:tcBorders>
            <w:shd w:val="clear" w:color="auto" w:fill="F2F2F2"/>
          </w:tcPr>
          <w:p w14:paraId="3DDD604B" w14:textId="77777777" w:rsidR="00B42F62" w:rsidRDefault="00B42F62" w:rsidP="00B42F62">
            <w:pPr>
              <w:pStyle w:val="Box"/>
              <w:spacing w:before="0" w:line="120" w:lineRule="exact"/>
            </w:pPr>
          </w:p>
        </w:tc>
      </w:tr>
    </w:tbl>
    <w:p w14:paraId="48197AE6" w14:textId="77777777" w:rsidR="00263B0A" w:rsidRDefault="00263B0A">
      <w:pPr>
        <w:rPr>
          <w:sz w:val="52"/>
          <w:szCs w:val="20"/>
        </w:rPr>
      </w:pPr>
      <w:r>
        <w:br w:type="page"/>
      </w:r>
    </w:p>
    <w:p w14:paraId="610BAF71" w14:textId="572505FE" w:rsidR="004127F6" w:rsidRDefault="00F35C07" w:rsidP="00DD7045">
      <w:pPr>
        <w:pStyle w:val="Heading1"/>
      </w:pPr>
      <w:r>
        <w:lastRenderedPageBreak/>
        <w:t>Rules of Origin</w:t>
      </w:r>
    </w:p>
    <w:p w14:paraId="7207111C" w14:textId="77777777" w:rsidR="0000722F" w:rsidRDefault="0000722F" w:rsidP="004127F6">
      <w:pPr>
        <w:pStyle w:val="ChapterSummary"/>
        <w:spacing w:before="360" w:after="600"/>
      </w:pPr>
      <w:r>
        <w:t>Rules of origin have long been ignored for two good reasons: they are dauntingly complex and at first sight appear mind-numbingly dull. The third standard reason for ignoring them — the assertion that they do not matter much — turns out to be wrong …. rules of origin are important barriers to trade. Moreover, such rules are emerging as an important trade issue for three additional reasons. First, preferential trade deals are proliferating worldwide. Second, the global fragmentation of production implies complex international supply chains which are particularly constrained and distorted by rules of origin. Third, the extent to which regionalism challenges the WTO-based trading system depends in part on incompatibilities and rigidities built into rules of origin. (Augier et al 2005)</w:t>
      </w:r>
    </w:p>
    <w:p w14:paraId="142842D4" w14:textId="77777777" w:rsidR="005A7D5E" w:rsidRPr="00DD7045" w:rsidRDefault="00BB012D" w:rsidP="00DD7045">
      <w:pPr>
        <w:pStyle w:val="Heading2"/>
      </w:pPr>
      <w:r w:rsidRPr="00DD7045">
        <w:t>1</w:t>
      </w:r>
      <w:r w:rsidR="00935E3A" w:rsidRPr="00DD7045">
        <w:tab/>
      </w:r>
      <w:r w:rsidR="005A7D5E" w:rsidRPr="00DD7045">
        <w:t>Why look at Rules of Origin?</w:t>
      </w:r>
    </w:p>
    <w:p w14:paraId="679888F8" w14:textId="0FFCB27A" w:rsidR="005A7D5E" w:rsidRDefault="00A9670B">
      <w:pPr>
        <w:pStyle w:val="BodyText"/>
      </w:pPr>
      <w:r>
        <w:t>Rules of Origin (</w:t>
      </w:r>
      <w:proofErr w:type="spellStart"/>
      <w:r>
        <w:t>RoO</w:t>
      </w:r>
      <w:proofErr w:type="spellEnd"/>
      <w:r w:rsidR="005A7D5E">
        <w:t xml:space="preserve">) </w:t>
      </w:r>
      <w:r w:rsidR="008135D9">
        <w:t>are intended to stop exporters in countries</w:t>
      </w:r>
      <w:r w:rsidR="00D532D1">
        <w:t>,</w:t>
      </w:r>
      <w:r w:rsidR="008135D9">
        <w:t xml:space="preserve"> other than partners to a</w:t>
      </w:r>
      <w:r w:rsidR="005A7D5E">
        <w:t xml:space="preserve"> </w:t>
      </w:r>
      <w:r w:rsidR="0069390F">
        <w:t xml:space="preserve">preferential </w:t>
      </w:r>
      <w:r w:rsidR="008135D9">
        <w:t>trade agreement</w:t>
      </w:r>
      <w:r w:rsidR="005A7D5E">
        <w:t xml:space="preserve"> </w:t>
      </w:r>
      <w:r w:rsidR="008135D9">
        <w:t>(PTA</w:t>
      </w:r>
      <w:r w:rsidR="0069390F">
        <w:t>)</w:t>
      </w:r>
      <w:r w:rsidR="003B0C04">
        <w:rPr>
          <w:rStyle w:val="FootnoteReference"/>
        </w:rPr>
        <w:footnoteReference w:id="1"/>
      </w:r>
      <w:r w:rsidR="00D532D1">
        <w:t>,</w:t>
      </w:r>
      <w:r w:rsidR="008135D9">
        <w:t xml:space="preserve"> availing themselves of the preferences negotiated in the agreement. </w:t>
      </w:r>
      <w:r w:rsidR="004D13B8" w:rsidRPr="004D13B8">
        <w:t>Goods partly manufactured in a partner country (using inputs from non</w:t>
      </w:r>
      <w:r w:rsidR="00FE23A3">
        <w:noBreakHyphen/>
      </w:r>
      <w:r w:rsidR="004D13B8" w:rsidRPr="004D13B8">
        <w:t>partner countries) are only eligible for preferential tariff treatment if the local manufacturing has sufficiently transformed the non</w:t>
      </w:r>
      <w:r w:rsidR="00FE23A3">
        <w:noBreakHyphen/>
      </w:r>
      <w:r w:rsidR="004D13B8" w:rsidRPr="004D13B8">
        <w:t xml:space="preserve">partner inputs. The </w:t>
      </w:r>
      <w:proofErr w:type="spellStart"/>
      <w:r w:rsidR="004D13B8" w:rsidRPr="004D13B8">
        <w:t>RoO</w:t>
      </w:r>
      <w:proofErr w:type="spellEnd"/>
      <w:r w:rsidR="004D13B8" w:rsidRPr="004D13B8">
        <w:t xml:space="preserve"> in the agreement sets out the criteria for what constitutes sufficient transformation. </w:t>
      </w:r>
    </w:p>
    <w:p w14:paraId="61CB76A5" w14:textId="7BD35A02" w:rsidR="005A7D5E" w:rsidRDefault="008135D9" w:rsidP="005A7D5E">
      <w:pPr>
        <w:pStyle w:val="BodyText"/>
      </w:pPr>
      <w:r>
        <w:t>While t</w:t>
      </w:r>
      <w:r w:rsidR="005A7D5E">
        <w:t>he historical reason for pr</w:t>
      </w:r>
      <w:r w:rsidR="00D532D1">
        <w:t>e</w:t>
      </w:r>
      <w:r w:rsidR="005A7D5E">
        <w:t>scribing substantial p</w:t>
      </w:r>
      <w:r w:rsidR="003B0C04">
        <w:t xml:space="preserve">roduction transformation tests </w:t>
      </w:r>
      <w:r w:rsidR="005A7D5E">
        <w:t>was to prevent firms in countries outside the agreement taking advantage of the agreement</w:t>
      </w:r>
      <w:r w:rsidR="004D13B8">
        <w:t xml:space="preserve"> by transhipment (figure</w:t>
      </w:r>
      <w:r w:rsidR="00DF47C3">
        <w:t> </w:t>
      </w:r>
      <w:r w:rsidR="004D13B8">
        <w:t>1)</w:t>
      </w:r>
      <w:r w:rsidR="00D532D1">
        <w:t>,</w:t>
      </w:r>
      <w:r>
        <w:t xml:space="preserve"> they involve a lot of complexity and additional cost</w:t>
      </w:r>
      <w:r w:rsidR="0069390F">
        <w:t xml:space="preserve">. </w:t>
      </w:r>
      <w:r>
        <w:t xml:space="preserve">They also </w:t>
      </w:r>
      <w:r w:rsidR="00E87201">
        <w:t>distort firm behaviour</w:t>
      </w:r>
      <w:r>
        <w:t>, which gets compounded with multiple agreements. Moreover</w:t>
      </w:r>
      <w:r w:rsidR="005A7D5E">
        <w:t>, the rationale for ‘strong’ transformation rules, in order to dissuade (re</w:t>
      </w:r>
      <w:r w:rsidR="00FE23A3">
        <w:noBreakHyphen/>
      </w:r>
      <w:r w:rsidR="005A7D5E">
        <w:t>package and run) transhipment, has lost currency for Australia</w:t>
      </w:r>
      <w:r w:rsidR="000C7CE3">
        <w:t xml:space="preserve">, given the low rates of tariffs and </w:t>
      </w:r>
      <w:r w:rsidR="00D532D1">
        <w:t xml:space="preserve">higher </w:t>
      </w:r>
      <w:r w:rsidR="000C7CE3">
        <w:t xml:space="preserve">share of trade now covered by </w:t>
      </w:r>
      <w:r w:rsidR="00777A94">
        <w:t>PTAs</w:t>
      </w:r>
      <w:r w:rsidR="005A7D5E">
        <w:t xml:space="preserve">. </w:t>
      </w:r>
    </w:p>
    <w:p w14:paraId="55938F00" w14:textId="77777777" w:rsidR="00E10CE0" w:rsidRDefault="00E10CE0" w:rsidP="005A7D5E">
      <w:pPr>
        <w:pStyle w:val="BodyText"/>
      </w:pPr>
      <w:r>
        <w:t>With the stalling of the Doha Round of multilateral trade negotiations, Australia, like many other countries, has expanded its bilateral and regional agreement making. Some have argued that multiple PTAs act as stepping stones towards the objective of multilateral trade liberalisation (Griswold 2003). But others view PTAs more as stumbling blocks (</w:t>
      </w:r>
      <w:proofErr w:type="spellStart"/>
      <w:r>
        <w:t>Baghwati</w:t>
      </w:r>
      <w:proofErr w:type="spellEnd"/>
      <w:r>
        <w:t xml:space="preserve"> 2008). The operation of </w:t>
      </w:r>
      <w:proofErr w:type="spellStart"/>
      <w:r>
        <w:t>RoO</w:t>
      </w:r>
      <w:proofErr w:type="spellEnd"/>
      <w:r>
        <w:t xml:space="preserve"> is fundamental to whether the growing portfolio of PTAs help or hinder the liberalisation of trade. </w:t>
      </w:r>
    </w:p>
    <w:p w14:paraId="18E1E4E5" w14:textId="21E8DFDE" w:rsidR="00BA0DDA" w:rsidRDefault="00BA0DDA" w:rsidP="008C19E7">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A0DDA" w14:paraId="610CE395" w14:textId="77777777" w:rsidTr="00BA0DDA">
        <w:trPr>
          <w:tblHeader/>
        </w:trPr>
        <w:tc>
          <w:tcPr>
            <w:tcW w:w="8771" w:type="dxa"/>
            <w:tcBorders>
              <w:top w:val="single" w:sz="6" w:space="0" w:color="78A22F"/>
              <w:left w:val="nil"/>
              <w:bottom w:val="nil"/>
              <w:right w:val="nil"/>
            </w:tcBorders>
            <w:shd w:val="clear" w:color="auto" w:fill="auto"/>
          </w:tcPr>
          <w:p w14:paraId="2D16DC44" w14:textId="4F469281" w:rsidR="00BA0DDA" w:rsidRPr="00176D3F" w:rsidRDefault="00BA0DDA" w:rsidP="0058099F">
            <w:pPr>
              <w:pStyle w:val="FigureTitle"/>
            </w:pPr>
            <w:r w:rsidRPr="00784A05">
              <w:rPr>
                <w:b w:val="0"/>
              </w:rPr>
              <w:t xml:space="preserve">Figure </w:t>
            </w:r>
            <w:r w:rsidR="00BB012D">
              <w:rPr>
                <w:b w:val="0"/>
              </w:rPr>
              <w:t>1</w:t>
            </w:r>
            <w:r>
              <w:tab/>
            </w:r>
            <w:proofErr w:type="spellStart"/>
            <w:r w:rsidR="0058099F">
              <w:t>RoO</w:t>
            </w:r>
            <w:proofErr w:type="spellEnd"/>
            <w:r w:rsidR="0058099F">
              <w:t xml:space="preserve"> aim to prevent n</w:t>
            </w:r>
            <w:r>
              <w:t>on</w:t>
            </w:r>
            <w:r w:rsidR="00FE23A3">
              <w:noBreakHyphen/>
            </w:r>
            <w:r>
              <w:t>agreement parties taking advantage of preferential tariffs</w:t>
            </w:r>
          </w:p>
        </w:tc>
      </w:tr>
      <w:tr w:rsidR="00BA0DDA" w14:paraId="2506AAD3" w14:textId="77777777" w:rsidTr="00BA0D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A0DDA" w:rsidRPr="00B1465D" w14:paraId="482518AC" w14:textId="77777777" w:rsidTr="008C19E7">
              <w:trPr>
                <w:tblHeader/>
                <w:jc w:val="center"/>
              </w:trPr>
              <w:tc>
                <w:tcPr>
                  <w:tcW w:w="5000" w:type="pct"/>
                  <w:tcBorders>
                    <w:top w:val="nil"/>
                    <w:bottom w:val="nil"/>
                  </w:tcBorders>
                </w:tcPr>
                <w:p w14:paraId="4683C4E3" w14:textId="77777777" w:rsidR="00BA0DDA" w:rsidRPr="00B1465D" w:rsidRDefault="00BA0DDA" w:rsidP="008C19E7">
                  <w:pPr>
                    <w:pStyle w:val="Figure"/>
                    <w:spacing w:before="60" w:after="60"/>
                    <w:rPr>
                      <w:rFonts w:ascii="Arial" w:hAnsi="Arial" w:cs="Arial"/>
                      <w:sz w:val="18"/>
                      <w:szCs w:val="18"/>
                    </w:rPr>
                  </w:pPr>
                  <w:r>
                    <w:rPr>
                      <w:noProof/>
                    </w:rPr>
                    <w:drawing>
                      <wp:inline distT="0" distB="0" distL="0" distR="0" wp14:anchorId="6ED2E78E" wp14:editId="698C0F9C">
                        <wp:extent cx="4051300" cy="1878330"/>
                        <wp:effectExtent l="0" t="0" r="0" b="7620"/>
                        <wp:docPr id="1" name="Picture 1" descr="RoO aim to prevent non-agreement parties taking advantage of preferential tarif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51300" cy="1878330"/>
                                </a:xfrm>
                                <a:prstGeom prst="rect">
                                  <a:avLst/>
                                </a:prstGeom>
                                <a:noFill/>
                                <a:ln>
                                  <a:noFill/>
                                </a:ln>
                              </pic:spPr>
                            </pic:pic>
                          </a:graphicData>
                        </a:graphic>
                      </wp:inline>
                    </w:drawing>
                  </w:r>
                </w:p>
              </w:tc>
            </w:tr>
          </w:tbl>
          <w:p w14:paraId="52306104" w14:textId="77777777" w:rsidR="00BA0DDA" w:rsidRDefault="00BA0DDA" w:rsidP="008C19E7">
            <w:pPr>
              <w:pStyle w:val="Figure"/>
            </w:pPr>
          </w:p>
        </w:tc>
      </w:tr>
      <w:tr w:rsidR="00BA0DDA" w14:paraId="651D24BD" w14:textId="77777777" w:rsidTr="00BA0DDA">
        <w:tc>
          <w:tcPr>
            <w:tcW w:w="8771" w:type="dxa"/>
            <w:tcBorders>
              <w:top w:val="nil"/>
              <w:left w:val="nil"/>
              <w:bottom w:val="single" w:sz="6" w:space="0" w:color="78A22F"/>
              <w:right w:val="nil"/>
            </w:tcBorders>
            <w:shd w:val="clear" w:color="auto" w:fill="auto"/>
          </w:tcPr>
          <w:p w14:paraId="0BD4285D" w14:textId="77777777" w:rsidR="00BA0DDA" w:rsidRDefault="00BA0DDA" w:rsidP="008C19E7">
            <w:pPr>
              <w:pStyle w:val="Figurespace"/>
            </w:pPr>
          </w:p>
        </w:tc>
      </w:tr>
      <w:tr w:rsidR="00BA0DDA" w:rsidRPr="000863A5" w14:paraId="5EBAFEFD" w14:textId="77777777" w:rsidTr="00BA0DDA">
        <w:tc>
          <w:tcPr>
            <w:tcW w:w="8771" w:type="dxa"/>
            <w:tcBorders>
              <w:top w:val="single" w:sz="6" w:space="0" w:color="78A22F"/>
              <w:left w:val="nil"/>
              <w:bottom w:val="nil"/>
              <w:right w:val="nil"/>
            </w:tcBorders>
          </w:tcPr>
          <w:p w14:paraId="2A176644" w14:textId="7DE0FCF5" w:rsidR="00BA0DDA" w:rsidRPr="00626D32" w:rsidRDefault="00BA0DDA" w:rsidP="008C19E7">
            <w:pPr>
              <w:pStyle w:val="BoxSpaceBelow"/>
            </w:pPr>
          </w:p>
        </w:tc>
      </w:tr>
    </w:tbl>
    <w:p w14:paraId="46D52A45" w14:textId="77777777" w:rsidR="005A7D5E" w:rsidRDefault="005A7D5E" w:rsidP="005A7D5E">
      <w:pPr>
        <w:pStyle w:val="BodyText"/>
      </w:pPr>
      <w:r>
        <w:t xml:space="preserve">This paper </w:t>
      </w:r>
      <w:r w:rsidR="0061512B">
        <w:t>seeks to answer the following questions:</w:t>
      </w:r>
    </w:p>
    <w:p w14:paraId="7AC3644B" w14:textId="77777777" w:rsidR="005A7D5E" w:rsidRDefault="0061512B" w:rsidP="005A7D5E">
      <w:pPr>
        <w:pStyle w:val="ListBullet"/>
      </w:pPr>
      <w:r>
        <w:t xml:space="preserve">How much are </w:t>
      </w:r>
      <w:proofErr w:type="spellStart"/>
      <w:r>
        <w:t>RoO</w:t>
      </w:r>
      <w:proofErr w:type="spellEnd"/>
      <w:r>
        <w:t xml:space="preserve"> being used</w:t>
      </w:r>
      <w:r w:rsidR="005A7D5E">
        <w:t xml:space="preserve"> for </w:t>
      </w:r>
      <w:r w:rsidR="00356E01">
        <w:t xml:space="preserve">trade creation or </w:t>
      </w:r>
      <w:r w:rsidR="005A7D5E">
        <w:t>protectionist purposes</w:t>
      </w:r>
      <w:r w:rsidR="0000722F">
        <w:t xml:space="preserve"> </w:t>
      </w:r>
      <w:r w:rsidR="005A7D5E">
        <w:t xml:space="preserve">(section </w:t>
      </w:r>
      <w:r w:rsidR="00123120">
        <w:t>1</w:t>
      </w:r>
      <w:r w:rsidR="005A7D5E">
        <w:t>)</w:t>
      </w:r>
      <w:r>
        <w:t>?</w:t>
      </w:r>
    </w:p>
    <w:p w14:paraId="34EB792C" w14:textId="77777777" w:rsidR="00123120" w:rsidRDefault="00123120" w:rsidP="00123120">
      <w:pPr>
        <w:pStyle w:val="ListBullet"/>
      </w:pPr>
      <w:r>
        <w:t xml:space="preserve">Are </w:t>
      </w:r>
      <w:proofErr w:type="spellStart"/>
      <w:r>
        <w:t>RoO</w:t>
      </w:r>
      <w:proofErr w:type="spellEnd"/>
      <w:r>
        <w:t xml:space="preserve"> getting in the way of the expansion of PTAs working for overall trade liberalisation (section 2)?</w:t>
      </w:r>
    </w:p>
    <w:p w14:paraId="4894646D" w14:textId="77777777" w:rsidR="005A7D5E" w:rsidRDefault="0061512B" w:rsidP="005A7D5E">
      <w:pPr>
        <w:pStyle w:val="ListBullet"/>
      </w:pPr>
      <w:r>
        <w:t xml:space="preserve">Does the cost of compliance undermine the value of PTAs for </w:t>
      </w:r>
      <w:r w:rsidR="0058099F">
        <w:t xml:space="preserve">importers and </w:t>
      </w:r>
      <w:r>
        <w:t>exporters</w:t>
      </w:r>
      <w:r w:rsidR="005A7D5E">
        <w:t xml:space="preserve"> (section 3)</w:t>
      </w:r>
      <w:r>
        <w:t>?</w:t>
      </w:r>
    </w:p>
    <w:p w14:paraId="7FDD8276" w14:textId="77777777" w:rsidR="005A7D5E" w:rsidRDefault="00AD4501" w:rsidP="006177C8">
      <w:pPr>
        <w:pStyle w:val="BodyText"/>
      </w:pPr>
      <w:r>
        <w:t xml:space="preserve">The final section discusses some </w:t>
      </w:r>
      <w:r w:rsidR="005A7D5E">
        <w:t xml:space="preserve">options for reform </w:t>
      </w:r>
      <w:r w:rsidR="008043FA">
        <w:t xml:space="preserve">to better </w:t>
      </w:r>
      <w:r w:rsidR="0000722F">
        <w:t xml:space="preserve">achieve the intent of PTAs as stepping stones to a more liberalised multilateral trading system </w:t>
      </w:r>
      <w:r w:rsidR="005A7D5E">
        <w:t>(section 4).</w:t>
      </w:r>
    </w:p>
    <w:p w14:paraId="6FE2D30A" w14:textId="77777777" w:rsidR="0034519B" w:rsidRDefault="00BB012D" w:rsidP="00935E3A">
      <w:pPr>
        <w:pStyle w:val="Heading2"/>
      </w:pPr>
      <w:r>
        <w:t>2</w:t>
      </w:r>
      <w:r w:rsidR="00935E3A">
        <w:tab/>
      </w:r>
      <w:r w:rsidR="00123120" w:rsidRPr="00935E3A">
        <w:t>How</w:t>
      </w:r>
      <w:r w:rsidR="00123120">
        <w:t xml:space="preserve"> protectionist are </w:t>
      </w:r>
      <w:proofErr w:type="spellStart"/>
      <w:r w:rsidR="0034519B">
        <w:t>RoO</w:t>
      </w:r>
      <w:proofErr w:type="spellEnd"/>
      <w:r w:rsidR="00123120">
        <w:t>?</w:t>
      </w:r>
      <w:r w:rsidR="0034519B">
        <w:t xml:space="preserve"> </w:t>
      </w:r>
    </w:p>
    <w:p w14:paraId="6BC70F4E" w14:textId="214AFAF2" w:rsidR="009D1D35" w:rsidRDefault="00356E01" w:rsidP="00123120">
      <w:pPr>
        <w:pStyle w:val="BodyText"/>
      </w:pPr>
      <w:r w:rsidRPr="00356E01">
        <w:t xml:space="preserve">Discriminatory tariff preferences in each trade agreement have both trade creating and trade diverting tendencies. The </w:t>
      </w:r>
      <w:proofErr w:type="spellStart"/>
      <w:r w:rsidRPr="00356E01">
        <w:t>RoO</w:t>
      </w:r>
      <w:proofErr w:type="spellEnd"/>
      <w:r w:rsidRPr="00356E01">
        <w:t xml:space="preserve"> in each agreement affects just how much trade is </w:t>
      </w:r>
      <w:r>
        <w:t>restricted</w:t>
      </w:r>
      <w:r w:rsidRPr="00356E01">
        <w:t xml:space="preserve">. </w:t>
      </w:r>
      <w:r w:rsidR="00700E42">
        <w:t xml:space="preserve">Both the nature of the transformation test </w:t>
      </w:r>
      <w:r w:rsidR="0014299A">
        <w:t xml:space="preserve">(box 1) </w:t>
      </w:r>
      <w:r w:rsidR="00700E42">
        <w:t xml:space="preserve">and the level of stringency </w:t>
      </w:r>
      <w:r w:rsidR="008135D9">
        <w:t>affect</w:t>
      </w:r>
      <w:r w:rsidR="00700E42">
        <w:t xml:space="preserve"> </w:t>
      </w:r>
      <w:r w:rsidR="00B66018">
        <w:t xml:space="preserve">the extent of protection provided by </w:t>
      </w:r>
      <w:proofErr w:type="spellStart"/>
      <w:r w:rsidR="00B66018">
        <w:t>RoO</w:t>
      </w:r>
      <w:proofErr w:type="spellEnd"/>
      <w:r w:rsidR="00B66018">
        <w:t xml:space="preserve">. </w:t>
      </w:r>
    </w:p>
    <w:p w14:paraId="12EE9698" w14:textId="36E8F965" w:rsidR="00003AA9" w:rsidRDefault="00003AA9" w:rsidP="00003AA9">
      <w:pPr>
        <w:pStyle w:val="BodyText"/>
      </w:pPr>
      <w:r>
        <w:t>In a PTA the transformation tests can be varied by product and it is generally agreed that no one test is best. The WTO concluded that there is no fully satisfactory methodology for origin determination, applicable to all products and</w:t>
      </w:r>
      <w:r w:rsidR="008135D9">
        <w:t xml:space="preserve"> serving all purposes (WTO 2002</w:t>
      </w:r>
      <w:r>
        <w:t xml:space="preserve">). This gives considerable scope for the </w:t>
      </w:r>
      <w:proofErr w:type="spellStart"/>
      <w:r>
        <w:t>RoO</w:t>
      </w:r>
      <w:proofErr w:type="spellEnd"/>
      <w:r>
        <w:t xml:space="preserve"> to be designed with protection for import competing industries (and regional input suppliers). </w:t>
      </w:r>
    </w:p>
    <w:p w14:paraId="4A87EAF2" w14:textId="77777777" w:rsidR="00A000EA" w:rsidRDefault="00A000EA" w:rsidP="00A000EA">
      <w:pPr>
        <w:pStyle w:val="BodyText"/>
        <w:spacing w:before="360"/>
      </w:pPr>
      <w:r>
        <w:t xml:space="preserve">With </w:t>
      </w:r>
      <w:proofErr w:type="spellStart"/>
      <w:r>
        <w:t>RoO</w:t>
      </w:r>
      <w:proofErr w:type="spellEnd"/>
      <w:r>
        <w:t xml:space="preserve">, the devil is in the details. More stringent </w:t>
      </w:r>
      <w:proofErr w:type="spellStart"/>
      <w:r>
        <w:t>RoO</w:t>
      </w:r>
      <w:proofErr w:type="spellEnd"/>
      <w:r>
        <w:t xml:space="preserve"> reduce the scope for transhipment, but they also can act as protection for </w:t>
      </w:r>
      <w:r w:rsidRPr="00003AA9">
        <w:t>import competing firms from competition from the exporters in the PTA partner country.</w:t>
      </w:r>
      <w:r>
        <w:t xml:space="preserve"> That is, they can restrict the very trade that the PTA was aiming to boost. </w:t>
      </w:r>
    </w:p>
    <w:p w14:paraId="4EA31A19" w14:textId="3B553921" w:rsidR="0014299A" w:rsidRDefault="00142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4299A" w14:paraId="6D91F7FA" w14:textId="77777777" w:rsidTr="00E3177B">
        <w:tc>
          <w:tcPr>
            <w:tcW w:w="8771" w:type="dxa"/>
            <w:tcBorders>
              <w:top w:val="single" w:sz="6" w:space="0" w:color="78A22F"/>
              <w:left w:val="nil"/>
              <w:bottom w:val="nil"/>
              <w:right w:val="nil"/>
            </w:tcBorders>
            <w:shd w:val="clear" w:color="auto" w:fill="F2F2F2"/>
          </w:tcPr>
          <w:p w14:paraId="622D072C" w14:textId="64E97CC4" w:rsidR="0014299A" w:rsidRDefault="0014299A" w:rsidP="0014299A">
            <w:pPr>
              <w:pStyle w:val="BoxTitle"/>
            </w:pPr>
            <w:r>
              <w:rPr>
                <w:b w:val="0"/>
              </w:rPr>
              <w:t xml:space="preserve">Box </w:t>
            </w:r>
            <w:r w:rsidR="001C146A">
              <w:rPr>
                <w:b w:val="0"/>
                <w:noProof/>
              </w:rPr>
              <w:t>1</w:t>
            </w:r>
            <w:r>
              <w:tab/>
              <w:t>There are three types of transformation test</w:t>
            </w:r>
          </w:p>
          <w:p w14:paraId="747917DF" w14:textId="77777777" w:rsidR="0014299A" w:rsidRDefault="0014299A" w:rsidP="00A000EA">
            <w:pPr>
              <w:pStyle w:val="BoxListBullet"/>
            </w:pPr>
            <w:r>
              <w:t>The regional value content (</w:t>
            </w:r>
            <w:proofErr w:type="spellStart"/>
            <w:r>
              <w:t>RVC</w:t>
            </w:r>
            <w:proofErr w:type="spellEnd"/>
            <w:r>
              <w:t>) test — the export</w:t>
            </w:r>
            <w:r w:rsidR="0058099F">
              <w:t>ed good</w:t>
            </w:r>
            <w:r>
              <w:t xml:space="preserve"> must reach a threshold percentage value of locally or regionally produced inputs. For instance, a family car imported into Australia from the USA is eligible for tariff reduction under the </w:t>
            </w:r>
            <w:proofErr w:type="spellStart"/>
            <w:r>
              <w:t>AUSFTA</w:t>
            </w:r>
            <w:proofErr w:type="spellEnd"/>
            <w:r>
              <w:t xml:space="preserve"> if at least 50 per cent of the production cost was on USA and Australian inputs. The c</w:t>
            </w:r>
            <w:r w:rsidR="00B66018">
              <w:t xml:space="preserve">osting methodologies for </w:t>
            </w:r>
            <w:proofErr w:type="spellStart"/>
            <w:r w:rsidR="00B66018">
              <w:t>RVCs</w:t>
            </w:r>
            <w:proofErr w:type="spellEnd"/>
            <w:r w:rsidR="00B66018">
              <w:t xml:space="preserve"> are</w:t>
            </w:r>
            <w:r>
              <w:t xml:space="preserve"> detailed and there is no single global accounting method. </w:t>
            </w:r>
          </w:p>
          <w:p w14:paraId="6495ADA3" w14:textId="012FF677" w:rsidR="0014299A" w:rsidRDefault="0014299A" w:rsidP="00A000EA">
            <w:pPr>
              <w:pStyle w:val="BoxListBullet"/>
            </w:pPr>
            <w:r>
              <w:t>The change in tariff classification (CTC) test — the exported good must have a different tariff classification from any imported inputs. The CTC method can be applied at ‘broad’ more restrictive (2 digit or chapter) or more ‘fine’ less restrictive (HS 4 digit or heading or HS 6 digit sub</w:t>
            </w:r>
            <w:r>
              <w:noBreakHyphen/>
              <w:t>heading) product groupings of the Harmonized Commodity Description and Coding System (HS). For instance, transforming non</w:t>
            </w:r>
            <w:r w:rsidR="00FE23A3">
              <w:noBreakHyphen/>
            </w:r>
            <w:r>
              <w:t xml:space="preserve">originating cotton (within chapter 52) into clothing (within chapter 61) involves more significant transformation than the 4 digit change of turning </w:t>
            </w:r>
            <w:proofErr w:type="spellStart"/>
            <w:r>
              <w:t>uncarded</w:t>
            </w:r>
            <w:proofErr w:type="spellEnd"/>
            <w:r>
              <w:t xml:space="preserve"> cotton (52.01) into carded cotton (52.02).</w:t>
            </w:r>
          </w:p>
          <w:p w14:paraId="5D332825" w14:textId="6132BD0C" w:rsidR="0014299A" w:rsidRDefault="0014299A" w:rsidP="00A000EA">
            <w:pPr>
              <w:pStyle w:val="BoxListBullet"/>
            </w:pPr>
            <w:r>
              <w:t>The specified process test — the exported good must have undergone specified manufacturing or processing operations which are deemed to confer origin of the country in which they were carried out. Required processes such as chemical reaction, purification, blend, change in particle size, isomer separation and distillation are technically pr</w:t>
            </w:r>
            <w:r w:rsidR="00520528">
              <w:t>e</w:t>
            </w:r>
            <w:r>
              <w:t>scribed. For example, dissolving solution in water or other solvents is not considered a chemical reaction and purification must result in the elimination of not less than 80 per cent of the impurities</w:t>
            </w:r>
            <w:r w:rsidR="002B66E5">
              <w:t>.</w:t>
            </w:r>
          </w:p>
          <w:p w14:paraId="0E97FCCB" w14:textId="77777777" w:rsidR="002B66E5" w:rsidRDefault="002B66E5" w:rsidP="00044D16">
            <w:pPr>
              <w:pStyle w:val="Box"/>
            </w:pPr>
            <w:r>
              <w:t xml:space="preserve">There are also two rules that can potentially reduce the stringency of </w:t>
            </w:r>
            <w:proofErr w:type="spellStart"/>
            <w:r>
              <w:t>RoO</w:t>
            </w:r>
            <w:proofErr w:type="spellEnd"/>
            <w:r w:rsidR="00044D16">
              <w:t>, although rarely their complexity</w:t>
            </w:r>
            <w:r>
              <w:t>:</w:t>
            </w:r>
          </w:p>
          <w:p w14:paraId="77C9BA0E" w14:textId="4EC559C6" w:rsidR="002B66E5" w:rsidRPr="00003AA9" w:rsidRDefault="002B66E5" w:rsidP="00003AA9">
            <w:pPr>
              <w:pStyle w:val="BoxListBullet"/>
            </w:pPr>
            <w:r>
              <w:t xml:space="preserve">de </w:t>
            </w:r>
            <w:proofErr w:type="spellStart"/>
            <w:r>
              <w:t>minimis</w:t>
            </w:r>
            <w:proofErr w:type="spellEnd"/>
            <w:r>
              <w:t xml:space="preserve"> —</w:t>
            </w:r>
            <w:r w:rsidR="0058099F">
              <w:t xml:space="preserve"> </w:t>
            </w:r>
            <w:r>
              <w:t>exempts a certain minimal part of non</w:t>
            </w:r>
            <w:r w:rsidR="00FE23A3">
              <w:noBreakHyphen/>
            </w:r>
            <w:r>
              <w:t xml:space="preserve">originating goods from having to satisfy </w:t>
            </w:r>
            <w:r w:rsidRPr="00003AA9">
              <w:t xml:space="preserve">a CTC test. For instance, </w:t>
            </w:r>
            <w:proofErr w:type="spellStart"/>
            <w:r w:rsidRPr="00003AA9">
              <w:t>AUSFTA</w:t>
            </w:r>
            <w:proofErr w:type="spellEnd"/>
            <w:r w:rsidRPr="00003AA9">
              <w:t xml:space="preserve"> all</w:t>
            </w:r>
            <w:r w:rsidR="008135D9">
              <w:t>ows up to 10 per cent of the free on board</w:t>
            </w:r>
            <w:r w:rsidRPr="00003AA9">
              <w:t xml:space="preserve"> value of the final good for all non</w:t>
            </w:r>
            <w:r w:rsidR="00FE23A3">
              <w:noBreakHyphen/>
            </w:r>
            <w:r w:rsidRPr="00003AA9">
              <w:t xml:space="preserve">originating materials. The ASEAN, EU and proposed </w:t>
            </w:r>
            <w:proofErr w:type="spellStart"/>
            <w:r w:rsidRPr="00003AA9">
              <w:t>TPP</w:t>
            </w:r>
            <w:proofErr w:type="spellEnd"/>
            <w:r w:rsidRPr="00003AA9">
              <w:t xml:space="preserve"> all use 10 per cent, and NAFTA 7 per cent, but are not all directly comparable as there are differences in the calculation basis (such as </w:t>
            </w:r>
            <w:r w:rsidR="000D0F59">
              <w:t>free on board</w:t>
            </w:r>
            <w:r w:rsidRPr="00003AA9">
              <w:t>, ex</w:t>
            </w:r>
            <w:r w:rsidR="00FE23A3">
              <w:noBreakHyphen/>
            </w:r>
            <w:r w:rsidRPr="00003AA9">
              <w:t>works, total cost, and final price).</w:t>
            </w:r>
          </w:p>
          <w:p w14:paraId="10F3A1C7" w14:textId="04140E4E" w:rsidR="002B66E5" w:rsidRPr="0014299A" w:rsidRDefault="002B66E5" w:rsidP="00003AA9">
            <w:pPr>
              <w:pStyle w:val="BoxListBullet"/>
            </w:pPr>
            <w:proofErr w:type="spellStart"/>
            <w:r w:rsidRPr="00003AA9">
              <w:t>Cumulation</w:t>
            </w:r>
            <w:proofErr w:type="spellEnd"/>
            <w:r w:rsidRPr="00003AA9">
              <w:t xml:space="preserve"> —</w:t>
            </w:r>
            <w:r w:rsidR="0058099F" w:rsidRPr="00003AA9">
              <w:t xml:space="preserve"> </w:t>
            </w:r>
            <w:r w:rsidRPr="00003AA9">
              <w:t xml:space="preserve">extends the definition of originating inputs to include other countries. For example, </w:t>
            </w:r>
            <w:r w:rsidR="00520528">
              <w:t xml:space="preserve">under the </w:t>
            </w:r>
            <w:proofErr w:type="spellStart"/>
            <w:r w:rsidR="008D57D6">
              <w:t>ANZ</w:t>
            </w:r>
            <w:r w:rsidR="00520528">
              <w:t>CER</w:t>
            </w:r>
            <w:r w:rsidR="008D57D6">
              <w:t>TA</w:t>
            </w:r>
            <w:proofErr w:type="spellEnd"/>
            <w:r w:rsidR="00520528">
              <w:t xml:space="preserve"> </w:t>
            </w:r>
            <w:r w:rsidRPr="00003AA9">
              <w:t>an</w:t>
            </w:r>
            <w:r>
              <w:t xml:space="preserve"> Australian exporter to New Zealand can count inputs from Ne</w:t>
            </w:r>
            <w:r w:rsidR="00F53054">
              <w:t xml:space="preserve">w Zealand as ‘originating’. </w:t>
            </w:r>
            <w:proofErr w:type="spellStart"/>
            <w:r w:rsidR="00F53054">
              <w:t>RoO</w:t>
            </w:r>
            <w:proofErr w:type="spellEnd"/>
            <w:r>
              <w:t xml:space="preserve"> today routinely allow</w:t>
            </w:r>
            <w:r w:rsidR="00B66018">
              <w:t xml:space="preserve"> for this</w:t>
            </w:r>
            <w:r>
              <w:t xml:space="preserve"> bilateral accumulation. A more liberal arrangement is diagonal </w:t>
            </w:r>
            <w:proofErr w:type="spellStart"/>
            <w:r>
              <w:t>cumulation</w:t>
            </w:r>
            <w:proofErr w:type="spellEnd"/>
            <w:r w:rsidR="00B66018">
              <w:t>. This allows</w:t>
            </w:r>
            <w:r>
              <w:t xml:space="preserve"> an Australian exporter to New Zealand to count Chilean inputs because both Australian and New Zealand had agreements with Chile. Full </w:t>
            </w:r>
            <w:proofErr w:type="spellStart"/>
            <w:r>
              <w:t>cumulation</w:t>
            </w:r>
            <w:proofErr w:type="spellEnd"/>
            <w:r>
              <w:t xml:space="preserve"> occurs when a group of countries are all linked to each other by a network of agreements and the </w:t>
            </w:r>
            <w:proofErr w:type="spellStart"/>
            <w:r>
              <w:t>cumulation</w:t>
            </w:r>
            <w:proofErr w:type="spellEnd"/>
            <w:r>
              <w:t xml:space="preserve"> area is the whole area covered by the countries in two or more separate PTAs. </w:t>
            </w:r>
          </w:p>
        </w:tc>
      </w:tr>
      <w:tr w:rsidR="0014299A" w14:paraId="0BE39A73" w14:textId="77777777" w:rsidTr="00E3177B">
        <w:tc>
          <w:tcPr>
            <w:tcW w:w="8771" w:type="dxa"/>
            <w:tcBorders>
              <w:top w:val="nil"/>
              <w:left w:val="nil"/>
              <w:bottom w:val="single" w:sz="6" w:space="0" w:color="78A22F"/>
              <w:right w:val="nil"/>
            </w:tcBorders>
            <w:shd w:val="clear" w:color="auto" w:fill="F2F2F2"/>
          </w:tcPr>
          <w:p w14:paraId="13E323DD" w14:textId="77777777" w:rsidR="0014299A" w:rsidRDefault="0014299A">
            <w:pPr>
              <w:pStyle w:val="Box"/>
              <w:spacing w:before="0" w:line="120" w:lineRule="exact"/>
            </w:pPr>
          </w:p>
        </w:tc>
      </w:tr>
      <w:tr w:rsidR="0014299A" w:rsidRPr="000863A5" w14:paraId="28D9832D" w14:textId="77777777" w:rsidTr="00E3177B">
        <w:tc>
          <w:tcPr>
            <w:tcW w:w="8771" w:type="dxa"/>
            <w:tcBorders>
              <w:top w:val="single" w:sz="6" w:space="0" w:color="78A22F"/>
              <w:left w:val="nil"/>
              <w:bottom w:val="nil"/>
              <w:right w:val="nil"/>
            </w:tcBorders>
          </w:tcPr>
          <w:p w14:paraId="35A8D3FE" w14:textId="4F7D7B6F" w:rsidR="0014299A" w:rsidRPr="00626D32" w:rsidRDefault="0014299A" w:rsidP="00E3177B">
            <w:pPr>
              <w:pStyle w:val="BoxSpaceBelow"/>
            </w:pPr>
          </w:p>
        </w:tc>
      </w:tr>
    </w:tbl>
    <w:p w14:paraId="3F43F5FB" w14:textId="01372357" w:rsidR="00A34B7A" w:rsidRDefault="00BE532A" w:rsidP="00A000EA">
      <w:pPr>
        <w:pStyle w:val="BodyText"/>
      </w:pPr>
      <w:proofErr w:type="spellStart"/>
      <w:r w:rsidRPr="00E10CE0">
        <w:t>RoO</w:t>
      </w:r>
      <w:proofErr w:type="spellEnd"/>
      <w:r w:rsidRPr="00E10CE0">
        <w:t xml:space="preserve"> stringency</w:t>
      </w:r>
      <w:r>
        <w:t xml:space="preserve"> rises with:</w:t>
      </w:r>
    </w:p>
    <w:p w14:paraId="2D407374" w14:textId="66DA18A5" w:rsidR="00BE532A" w:rsidRDefault="00BE532A" w:rsidP="00A000EA">
      <w:pPr>
        <w:pStyle w:val="ListBullet"/>
        <w:spacing w:before="100"/>
      </w:pPr>
      <w:r>
        <w:t xml:space="preserve">a higher share of local value added required under the </w:t>
      </w:r>
      <w:proofErr w:type="spellStart"/>
      <w:r>
        <w:t>RVC</w:t>
      </w:r>
      <w:proofErr w:type="spellEnd"/>
      <w:r>
        <w:t xml:space="preserve"> test as this requires more of the total cost to be spent on locally </w:t>
      </w:r>
      <w:r w:rsidR="00B66018">
        <w:t xml:space="preserve">(and </w:t>
      </w:r>
      <w:r w:rsidR="00666BFE">
        <w:t xml:space="preserve">with bilateral </w:t>
      </w:r>
      <w:proofErr w:type="spellStart"/>
      <w:r w:rsidR="00666BFE">
        <w:t>cumulation</w:t>
      </w:r>
      <w:proofErr w:type="spellEnd"/>
      <w:r w:rsidR="00666BFE">
        <w:t xml:space="preserve"> rules, </w:t>
      </w:r>
      <w:r w:rsidR="00B66018">
        <w:t xml:space="preserve">partner) </w:t>
      </w:r>
      <w:r>
        <w:t xml:space="preserve">sourced </w:t>
      </w:r>
      <w:r w:rsidR="00B66018">
        <w:t>inputs</w:t>
      </w:r>
    </w:p>
    <w:p w14:paraId="1C99F7BE" w14:textId="23962BF5" w:rsidR="007528E8" w:rsidRDefault="00BE532A" w:rsidP="00A000EA">
      <w:pPr>
        <w:pStyle w:val="ListBullet"/>
        <w:spacing w:before="100"/>
      </w:pPr>
      <w:r>
        <w:t>the lower the level of product classification transformation — 2</w:t>
      </w:r>
      <w:r w:rsidR="00FE23A3">
        <w:noBreakHyphen/>
      </w:r>
      <w:r>
        <w:t>digit is more restrictive than 6</w:t>
      </w:r>
      <w:r w:rsidR="00FE23A3">
        <w:noBreakHyphen/>
      </w:r>
      <w:r>
        <w:t xml:space="preserve">digit — as a much greater transformation is usually required to change a product into a completely different product category </w:t>
      </w:r>
    </w:p>
    <w:p w14:paraId="59C1FC41" w14:textId="77777777" w:rsidR="00BE532A" w:rsidRDefault="007528E8" w:rsidP="002477A5">
      <w:pPr>
        <w:pStyle w:val="ListBullet"/>
      </w:pPr>
      <w:r>
        <w:t>the greater the technical change specified</w:t>
      </w:r>
      <w:r w:rsidR="00BE532A">
        <w:t xml:space="preserve">. </w:t>
      </w:r>
    </w:p>
    <w:p w14:paraId="01F7275A" w14:textId="060FBC2C" w:rsidR="00D76A17" w:rsidRDefault="00D531B4" w:rsidP="0000722F">
      <w:pPr>
        <w:pStyle w:val="BodyText"/>
      </w:pPr>
      <w:r w:rsidRPr="00D531B4">
        <w:lastRenderedPageBreak/>
        <w:t xml:space="preserve">Most </w:t>
      </w:r>
      <w:proofErr w:type="spellStart"/>
      <w:r w:rsidRPr="00D531B4">
        <w:t>RoO</w:t>
      </w:r>
      <w:proofErr w:type="spellEnd"/>
      <w:r w:rsidRPr="00D531B4">
        <w:t xml:space="preserve"> are set </w:t>
      </w:r>
      <w:r w:rsidR="00666BFE">
        <w:t xml:space="preserve">above </w:t>
      </w:r>
      <w:r w:rsidRPr="00D531B4">
        <w:t xml:space="preserve">the </w:t>
      </w:r>
      <w:r w:rsidR="008043FA">
        <w:t>least stringent</w:t>
      </w:r>
      <w:r w:rsidRPr="00D531B4">
        <w:t xml:space="preserve"> transformation level (CTC</w:t>
      </w:r>
      <w:r w:rsidR="00F53054">
        <w:t> </w:t>
      </w:r>
      <w:r w:rsidRPr="00D531B4">
        <w:t>6) and/or require a substantial partner country value add (</w:t>
      </w:r>
      <w:proofErr w:type="spellStart"/>
      <w:r w:rsidRPr="00D531B4">
        <w:t>RVC</w:t>
      </w:r>
      <w:proofErr w:type="spellEnd"/>
      <w:r w:rsidRPr="00D531B4">
        <w:t>).</w:t>
      </w:r>
    </w:p>
    <w:p w14:paraId="01AD6417" w14:textId="77777777" w:rsidR="00765493" w:rsidRDefault="00B66018" w:rsidP="00765493">
      <w:pPr>
        <w:pStyle w:val="Heading3"/>
      </w:pPr>
      <w:r>
        <w:t xml:space="preserve">Some industries benefit from more stringent </w:t>
      </w:r>
      <w:proofErr w:type="spellStart"/>
      <w:r>
        <w:t>RoO</w:t>
      </w:r>
      <w:proofErr w:type="spellEnd"/>
    </w:p>
    <w:p w14:paraId="73E58944" w14:textId="7AA91430" w:rsidR="00FA010F" w:rsidRDefault="00A615FE" w:rsidP="00044D16">
      <w:pPr>
        <w:pStyle w:val="BodyText"/>
      </w:pPr>
      <w:r>
        <w:t>Given the divergent economic interests — of consumers, exporters of final goods, import competing domestic producers, exporters of inputs used by the trade partner, and importers of inputs — it would be surprising if there was a unanimous view a</w:t>
      </w:r>
      <w:r w:rsidR="00BB012D">
        <w:t xml:space="preserve">bout </w:t>
      </w:r>
      <w:r w:rsidR="00666BFE">
        <w:t xml:space="preserve">what </w:t>
      </w:r>
      <w:proofErr w:type="spellStart"/>
      <w:r w:rsidR="00BB012D">
        <w:t>RoO</w:t>
      </w:r>
      <w:proofErr w:type="spellEnd"/>
      <w:r w:rsidR="00666BFE">
        <w:t>, if any, are desirable</w:t>
      </w:r>
      <w:r w:rsidR="00BB012D">
        <w:t xml:space="preserve"> (table</w:t>
      </w:r>
      <w:r w:rsidR="00B1038B">
        <w:t> </w:t>
      </w:r>
      <w:r w:rsidR="00BA0DDA">
        <w:t>1</w:t>
      </w:r>
      <w:r>
        <w:t xml:space="preserve">). </w:t>
      </w:r>
    </w:p>
    <w:p w14:paraId="47CFEE68" w14:textId="1BF52000" w:rsidR="00A615FE" w:rsidRDefault="00A615FE" w:rsidP="00A615F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67"/>
      </w:tblGrid>
      <w:tr w:rsidR="00A615FE" w14:paraId="265D7A3E" w14:textId="77777777" w:rsidTr="007C3379">
        <w:tc>
          <w:tcPr>
            <w:tcW w:w="8767" w:type="dxa"/>
            <w:tcBorders>
              <w:top w:val="single" w:sz="6" w:space="0" w:color="78A22F"/>
              <w:left w:val="nil"/>
              <w:bottom w:val="nil"/>
              <w:right w:val="nil"/>
            </w:tcBorders>
            <w:shd w:val="clear" w:color="auto" w:fill="auto"/>
          </w:tcPr>
          <w:p w14:paraId="0EF9F5F5" w14:textId="77777777" w:rsidR="00A615FE" w:rsidRPr="00784A05" w:rsidRDefault="00BA0DDA" w:rsidP="00BB012D">
            <w:pPr>
              <w:pStyle w:val="TableTitle"/>
            </w:pPr>
            <w:r>
              <w:rPr>
                <w:b w:val="0"/>
              </w:rPr>
              <w:t xml:space="preserve">Table </w:t>
            </w:r>
            <w:r w:rsidR="00BB012D">
              <w:rPr>
                <w:b w:val="0"/>
              </w:rPr>
              <w:t>1</w:t>
            </w:r>
            <w:r w:rsidR="00A615FE">
              <w:tab/>
              <w:t xml:space="preserve">The political interests in setting </w:t>
            </w:r>
            <w:proofErr w:type="spellStart"/>
            <w:r w:rsidR="00A615FE">
              <w:t>RoO</w:t>
            </w:r>
            <w:proofErr w:type="spellEnd"/>
          </w:p>
        </w:tc>
      </w:tr>
      <w:tr w:rsidR="00A615FE" w14:paraId="5CBD5355" w14:textId="77777777" w:rsidTr="007C3379">
        <w:tc>
          <w:tcPr>
            <w:tcW w:w="8767"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0"/>
              <w:gridCol w:w="2121"/>
              <w:gridCol w:w="2121"/>
              <w:gridCol w:w="2121"/>
            </w:tblGrid>
            <w:tr w:rsidR="00A615FE" w14:paraId="589F1A60" w14:textId="77777777" w:rsidTr="003D27CB">
              <w:trPr>
                <w:tblHeader/>
              </w:trPr>
              <w:tc>
                <w:tcPr>
                  <w:tcW w:w="1250" w:type="pct"/>
                  <w:tcBorders>
                    <w:top w:val="single" w:sz="6" w:space="0" w:color="BFBFBF"/>
                    <w:bottom w:val="single" w:sz="6" w:space="0" w:color="BFBFBF"/>
                  </w:tcBorders>
                  <w:shd w:val="clear" w:color="auto" w:fill="auto"/>
                  <w:tcMar>
                    <w:top w:w="28" w:type="dxa"/>
                  </w:tcMar>
                  <w:vAlign w:val="bottom"/>
                </w:tcPr>
                <w:p w14:paraId="6B2765E0" w14:textId="77777777" w:rsidR="00A615FE" w:rsidRDefault="00A615FE" w:rsidP="003D27CB">
                  <w:pPr>
                    <w:pStyle w:val="TableColumnHeading"/>
                    <w:jc w:val="left"/>
                  </w:pPr>
                  <w:r>
                    <w:t>Stakeholder</w:t>
                  </w:r>
                </w:p>
              </w:tc>
              <w:tc>
                <w:tcPr>
                  <w:tcW w:w="1250" w:type="pct"/>
                  <w:tcBorders>
                    <w:top w:val="single" w:sz="6" w:space="0" w:color="BFBFBF"/>
                    <w:bottom w:val="single" w:sz="6" w:space="0" w:color="BFBFBF"/>
                  </w:tcBorders>
                  <w:vAlign w:val="bottom"/>
                </w:tcPr>
                <w:p w14:paraId="617C3BE8" w14:textId="77777777" w:rsidR="00A615FE" w:rsidRDefault="00A615FE" w:rsidP="003D27CB">
                  <w:pPr>
                    <w:pStyle w:val="TableColumnHeading"/>
                    <w:jc w:val="left"/>
                  </w:pPr>
                  <w:r>
                    <w:t>Desire</w:t>
                  </w:r>
                </w:p>
              </w:tc>
              <w:tc>
                <w:tcPr>
                  <w:tcW w:w="1250" w:type="pct"/>
                  <w:tcBorders>
                    <w:top w:val="single" w:sz="6" w:space="0" w:color="BFBFBF"/>
                    <w:bottom w:val="single" w:sz="6" w:space="0" w:color="BFBFBF"/>
                  </w:tcBorders>
                  <w:shd w:val="clear" w:color="auto" w:fill="auto"/>
                  <w:tcMar>
                    <w:top w:w="28" w:type="dxa"/>
                  </w:tcMar>
                  <w:vAlign w:val="bottom"/>
                </w:tcPr>
                <w:p w14:paraId="76132518" w14:textId="77777777" w:rsidR="00A615FE" w:rsidRDefault="00A615FE" w:rsidP="003D27CB">
                  <w:pPr>
                    <w:pStyle w:val="TableColumnHeading"/>
                    <w:jc w:val="left"/>
                  </w:pPr>
                  <w:r>
                    <w:t xml:space="preserve">Attitude to </w:t>
                  </w:r>
                  <w:proofErr w:type="spellStart"/>
                  <w:r>
                    <w:t>RoO</w:t>
                  </w:r>
                  <w:proofErr w:type="spellEnd"/>
                </w:p>
              </w:tc>
              <w:tc>
                <w:tcPr>
                  <w:tcW w:w="1250" w:type="pct"/>
                  <w:tcBorders>
                    <w:top w:val="single" w:sz="6" w:space="0" w:color="BFBFBF"/>
                    <w:bottom w:val="single" w:sz="6" w:space="0" w:color="BFBFBF"/>
                  </w:tcBorders>
                  <w:shd w:val="clear" w:color="auto" w:fill="auto"/>
                  <w:tcMar>
                    <w:top w:w="28" w:type="dxa"/>
                  </w:tcMar>
                </w:tcPr>
                <w:p w14:paraId="5783068C" w14:textId="77777777" w:rsidR="00A615FE" w:rsidRDefault="00A615FE" w:rsidP="00BF19C4">
                  <w:pPr>
                    <w:pStyle w:val="TableColumnHeading"/>
                    <w:ind w:right="28"/>
                    <w:jc w:val="left"/>
                  </w:pPr>
                  <w:r>
                    <w:t>Transhipment considerations</w:t>
                  </w:r>
                </w:p>
              </w:tc>
            </w:tr>
            <w:tr w:rsidR="00A615FE" w14:paraId="55717F3B" w14:textId="77777777" w:rsidTr="00935E3A">
              <w:tc>
                <w:tcPr>
                  <w:tcW w:w="1250" w:type="pct"/>
                </w:tcPr>
                <w:p w14:paraId="6AC3B5D4" w14:textId="77777777" w:rsidR="00A615FE" w:rsidRDefault="00A615FE" w:rsidP="003D27CB">
                  <w:pPr>
                    <w:pStyle w:val="TableBodyText"/>
                    <w:spacing w:before="120"/>
                    <w:jc w:val="left"/>
                  </w:pPr>
                  <w:r>
                    <w:t>Consumer</w:t>
                  </w:r>
                </w:p>
              </w:tc>
              <w:tc>
                <w:tcPr>
                  <w:tcW w:w="1250" w:type="pct"/>
                </w:tcPr>
                <w:p w14:paraId="712387DD" w14:textId="77777777" w:rsidR="00A615FE" w:rsidRDefault="00A615FE" w:rsidP="003D27CB">
                  <w:pPr>
                    <w:pStyle w:val="TableBodyText"/>
                    <w:spacing w:before="120"/>
                    <w:jc w:val="left"/>
                  </w:pPr>
                  <w:r>
                    <w:t>Lowest cost source</w:t>
                  </w:r>
                </w:p>
              </w:tc>
              <w:tc>
                <w:tcPr>
                  <w:tcW w:w="1250" w:type="pct"/>
                </w:tcPr>
                <w:p w14:paraId="7B20212B" w14:textId="77777777" w:rsidR="00A615FE" w:rsidRDefault="00A615FE" w:rsidP="003D27CB">
                  <w:pPr>
                    <w:pStyle w:val="TableBodyText"/>
                    <w:spacing w:before="120"/>
                    <w:jc w:val="left"/>
                  </w:pPr>
                  <w:r>
                    <w:t>None or liberal as possible</w:t>
                  </w:r>
                </w:p>
              </w:tc>
              <w:tc>
                <w:tcPr>
                  <w:tcW w:w="1250" w:type="pct"/>
                </w:tcPr>
                <w:p w14:paraId="1AA56071" w14:textId="77777777" w:rsidR="00A615FE" w:rsidRDefault="00A615FE" w:rsidP="003D27CB">
                  <w:pPr>
                    <w:pStyle w:val="TableBodyText"/>
                    <w:spacing w:before="120"/>
                    <w:ind w:right="28"/>
                    <w:jc w:val="left"/>
                  </w:pPr>
                  <w:r>
                    <w:t>Not concerned about transhipment</w:t>
                  </w:r>
                </w:p>
              </w:tc>
            </w:tr>
            <w:tr w:rsidR="00A615FE" w14:paraId="24C2C3C1" w14:textId="77777777" w:rsidTr="00935E3A">
              <w:tc>
                <w:tcPr>
                  <w:tcW w:w="1250" w:type="pct"/>
                </w:tcPr>
                <w:p w14:paraId="7DD4C0D5" w14:textId="77777777" w:rsidR="00A615FE" w:rsidRDefault="00A615FE" w:rsidP="004127F6">
                  <w:pPr>
                    <w:pStyle w:val="TableBodyText"/>
                    <w:spacing w:before="60"/>
                    <w:jc w:val="left"/>
                  </w:pPr>
                  <w:r>
                    <w:t>Importer of inputs</w:t>
                  </w:r>
                </w:p>
              </w:tc>
              <w:tc>
                <w:tcPr>
                  <w:tcW w:w="1250" w:type="pct"/>
                </w:tcPr>
                <w:p w14:paraId="65F6AA3B" w14:textId="77777777" w:rsidR="00A615FE" w:rsidRDefault="00A615FE" w:rsidP="004127F6">
                  <w:pPr>
                    <w:pStyle w:val="TableBodyText"/>
                    <w:spacing w:before="60"/>
                    <w:jc w:val="left"/>
                  </w:pPr>
                  <w:r>
                    <w:t>Lowest cost source</w:t>
                  </w:r>
                </w:p>
              </w:tc>
              <w:tc>
                <w:tcPr>
                  <w:tcW w:w="1250" w:type="pct"/>
                </w:tcPr>
                <w:p w14:paraId="42ED8734" w14:textId="77777777" w:rsidR="00A615FE" w:rsidRDefault="00A615FE" w:rsidP="004127F6">
                  <w:pPr>
                    <w:pStyle w:val="TableBodyText"/>
                    <w:spacing w:before="60"/>
                    <w:jc w:val="left"/>
                  </w:pPr>
                  <w:r>
                    <w:t>None or liberal as possible</w:t>
                  </w:r>
                </w:p>
              </w:tc>
              <w:tc>
                <w:tcPr>
                  <w:tcW w:w="1250" w:type="pct"/>
                </w:tcPr>
                <w:p w14:paraId="2D68B3B4" w14:textId="77777777" w:rsidR="00A615FE" w:rsidRDefault="00A615FE" w:rsidP="004127F6">
                  <w:pPr>
                    <w:pStyle w:val="TableBodyText"/>
                    <w:spacing w:before="60"/>
                    <w:ind w:right="28"/>
                    <w:jc w:val="left"/>
                  </w:pPr>
                  <w:r>
                    <w:t>Not concerned about transhipment</w:t>
                  </w:r>
                </w:p>
              </w:tc>
            </w:tr>
            <w:tr w:rsidR="00A615FE" w14:paraId="0A367B04" w14:textId="77777777" w:rsidTr="00935E3A">
              <w:tc>
                <w:tcPr>
                  <w:tcW w:w="1250" w:type="pct"/>
                </w:tcPr>
                <w:p w14:paraId="3C8019AC" w14:textId="39F6B98D" w:rsidR="00A615FE" w:rsidRDefault="00A615FE" w:rsidP="004127F6">
                  <w:pPr>
                    <w:pStyle w:val="TableBodyText"/>
                    <w:spacing w:before="60"/>
                    <w:jc w:val="left"/>
                  </w:pPr>
                  <w:r>
                    <w:t>Import competing producer</w:t>
                  </w:r>
                  <w:r w:rsidR="00F53054">
                    <w:t xml:space="preserve"> in a </w:t>
                  </w:r>
                  <w:r w:rsidR="00520528">
                    <w:t>p</w:t>
                  </w:r>
                  <w:r w:rsidR="00F53054">
                    <w:t>artner country</w:t>
                  </w:r>
                </w:p>
              </w:tc>
              <w:tc>
                <w:tcPr>
                  <w:tcW w:w="1250" w:type="pct"/>
                </w:tcPr>
                <w:p w14:paraId="1965A464" w14:textId="77777777" w:rsidR="00A615FE" w:rsidRDefault="00A615FE" w:rsidP="004127F6">
                  <w:pPr>
                    <w:pStyle w:val="TableBodyText"/>
                    <w:spacing w:before="60"/>
                    <w:jc w:val="left"/>
                  </w:pPr>
                  <w:r>
                    <w:t>Minimise competition</w:t>
                  </w:r>
                </w:p>
              </w:tc>
              <w:tc>
                <w:tcPr>
                  <w:tcW w:w="1250" w:type="pct"/>
                </w:tcPr>
                <w:p w14:paraId="6B60600D" w14:textId="77777777" w:rsidR="00A615FE" w:rsidRDefault="00A615FE" w:rsidP="004127F6">
                  <w:pPr>
                    <w:pStyle w:val="TableBodyText"/>
                    <w:spacing w:before="60"/>
                    <w:jc w:val="left"/>
                  </w:pPr>
                  <w:r>
                    <w:t xml:space="preserve">Stringent </w:t>
                  </w:r>
                  <w:proofErr w:type="spellStart"/>
                  <w:r>
                    <w:t>RoO</w:t>
                  </w:r>
                  <w:proofErr w:type="spellEnd"/>
                </w:p>
              </w:tc>
              <w:tc>
                <w:tcPr>
                  <w:tcW w:w="1250" w:type="pct"/>
                </w:tcPr>
                <w:p w14:paraId="6B51B6C0" w14:textId="54840D25" w:rsidR="00A615FE" w:rsidRDefault="00A615FE" w:rsidP="004127F6">
                  <w:pPr>
                    <w:pStyle w:val="TableBodyText"/>
                    <w:spacing w:before="60"/>
                    <w:ind w:right="28"/>
                    <w:jc w:val="left"/>
                  </w:pPr>
                  <w:r>
                    <w:t>Avoid transhi</w:t>
                  </w:r>
                  <w:r w:rsidR="00520528">
                    <w:t>p</w:t>
                  </w:r>
                  <w:r>
                    <w:t>ment from low</w:t>
                  </w:r>
                  <w:r w:rsidR="00FE23A3">
                    <w:noBreakHyphen/>
                  </w:r>
                  <w:r>
                    <w:t>cost non</w:t>
                  </w:r>
                  <w:r w:rsidR="00FE23A3">
                    <w:noBreakHyphen/>
                  </w:r>
                  <w:r>
                    <w:t>Partner.</w:t>
                  </w:r>
                </w:p>
                <w:p w14:paraId="38DCD079" w14:textId="384D0DA0" w:rsidR="00A615FE" w:rsidRDefault="00A615FE" w:rsidP="004127F6">
                  <w:pPr>
                    <w:pStyle w:val="TableBodyText"/>
                    <w:spacing w:before="60"/>
                    <w:ind w:right="28"/>
                    <w:jc w:val="left"/>
                  </w:pPr>
                  <w:r>
                    <w:t>Avoid</w:t>
                  </w:r>
                  <w:r w:rsidR="00F53054">
                    <w:t xml:space="preserve"> competition from</w:t>
                  </w:r>
                  <w:r>
                    <w:t xml:space="preserve"> </w:t>
                  </w:r>
                  <w:r w:rsidR="00520528">
                    <w:t>p</w:t>
                  </w:r>
                  <w:r>
                    <w:t>artner</w:t>
                  </w:r>
                  <w:r w:rsidR="00F53054">
                    <w:t xml:space="preserve"> exports</w:t>
                  </w:r>
                </w:p>
              </w:tc>
            </w:tr>
            <w:tr w:rsidR="00A615FE" w14:paraId="5BE76422" w14:textId="77777777" w:rsidTr="00935E3A">
              <w:tc>
                <w:tcPr>
                  <w:tcW w:w="1250" w:type="pct"/>
                </w:tcPr>
                <w:p w14:paraId="7B904C91" w14:textId="43FEE916" w:rsidR="00A615FE" w:rsidRDefault="00A615FE" w:rsidP="004127F6">
                  <w:pPr>
                    <w:pStyle w:val="TableBodyText"/>
                    <w:spacing w:before="60"/>
                    <w:jc w:val="left"/>
                  </w:pPr>
                  <w:r>
                    <w:t xml:space="preserve">Existing exporter to </w:t>
                  </w:r>
                  <w:r w:rsidR="00520528">
                    <w:t>p</w:t>
                  </w:r>
                  <w:r>
                    <w:t>artner pre</w:t>
                  </w:r>
                  <w:r w:rsidR="00FE23A3">
                    <w:noBreakHyphen/>
                  </w:r>
                  <w:r>
                    <w:t>agreement</w:t>
                  </w:r>
                </w:p>
              </w:tc>
              <w:tc>
                <w:tcPr>
                  <w:tcW w:w="1250" w:type="pct"/>
                </w:tcPr>
                <w:p w14:paraId="69D64A5D" w14:textId="6981856E" w:rsidR="00A615FE" w:rsidRDefault="00A615FE" w:rsidP="004127F6">
                  <w:pPr>
                    <w:pStyle w:val="TableBodyText"/>
                    <w:spacing w:before="60"/>
                    <w:jc w:val="left"/>
                  </w:pPr>
                  <w:r>
                    <w:t xml:space="preserve">Increase exports to </w:t>
                  </w:r>
                  <w:r w:rsidR="00520528">
                    <w:t>p</w:t>
                  </w:r>
                  <w:r>
                    <w:t>artner via lowering price (claiming preference).</w:t>
                  </w:r>
                </w:p>
              </w:tc>
              <w:tc>
                <w:tcPr>
                  <w:tcW w:w="1250" w:type="pct"/>
                </w:tcPr>
                <w:p w14:paraId="5CEFBD02" w14:textId="77777777" w:rsidR="00A615FE" w:rsidRDefault="00A615FE" w:rsidP="004127F6">
                  <w:pPr>
                    <w:pStyle w:val="TableBodyText"/>
                    <w:spacing w:before="60"/>
                    <w:jc w:val="left"/>
                  </w:pPr>
                  <w:r>
                    <w:t>None or liberal</w:t>
                  </w:r>
                </w:p>
              </w:tc>
              <w:tc>
                <w:tcPr>
                  <w:tcW w:w="1250" w:type="pct"/>
                </w:tcPr>
                <w:p w14:paraId="7432CCCA" w14:textId="77777777" w:rsidR="00A615FE" w:rsidRDefault="00A615FE" w:rsidP="004127F6">
                  <w:pPr>
                    <w:pStyle w:val="TableBodyText"/>
                    <w:spacing w:before="60"/>
                    <w:ind w:right="28"/>
                    <w:jc w:val="left"/>
                  </w:pPr>
                  <w:r>
                    <w:t>Concern if they use imported inputs in their production</w:t>
                  </w:r>
                </w:p>
              </w:tc>
            </w:tr>
            <w:tr w:rsidR="00A615FE" w14:paraId="2921D4B6" w14:textId="77777777" w:rsidTr="00EC631A">
              <w:tc>
                <w:tcPr>
                  <w:tcW w:w="1250" w:type="pct"/>
                  <w:tcBorders>
                    <w:bottom w:val="single" w:sz="4" w:space="0" w:color="BFBFBF" w:themeColor="background1" w:themeShade="BF"/>
                  </w:tcBorders>
                </w:tcPr>
                <w:p w14:paraId="00CB380E" w14:textId="0924DFC0" w:rsidR="00A615FE" w:rsidRDefault="00A615FE" w:rsidP="004127F6">
                  <w:pPr>
                    <w:pStyle w:val="TableBodyText"/>
                    <w:spacing w:before="60"/>
                    <w:jc w:val="left"/>
                  </w:pPr>
                  <w:r>
                    <w:t xml:space="preserve">New exporter to </w:t>
                  </w:r>
                  <w:r w:rsidR="00520528">
                    <w:t>p</w:t>
                  </w:r>
                  <w:r>
                    <w:t>artner under agreement preferences</w:t>
                  </w:r>
                </w:p>
                <w:p w14:paraId="0F323041" w14:textId="63722DF7" w:rsidR="00A615FE" w:rsidRDefault="00A615FE" w:rsidP="008975BC">
                  <w:pPr>
                    <w:pStyle w:val="TableBullet"/>
                  </w:pPr>
                  <w:r>
                    <w:t>divert trade away from existing third</w:t>
                  </w:r>
                  <w:r w:rsidR="00FE23A3">
                    <w:noBreakHyphen/>
                  </w:r>
                  <w:r>
                    <w:t>party suppliers</w:t>
                  </w:r>
                </w:p>
                <w:p w14:paraId="1371E5D0" w14:textId="77777777" w:rsidR="00A615FE" w:rsidRDefault="00A615FE" w:rsidP="008975BC">
                  <w:pPr>
                    <w:pStyle w:val="TableBullet"/>
                  </w:pPr>
                  <w:r>
                    <w:t>‘pure’ new trade creation</w:t>
                  </w:r>
                </w:p>
              </w:tc>
              <w:tc>
                <w:tcPr>
                  <w:tcW w:w="1250" w:type="pct"/>
                  <w:tcBorders>
                    <w:bottom w:val="single" w:sz="4" w:space="0" w:color="BFBFBF" w:themeColor="background1" w:themeShade="BF"/>
                  </w:tcBorders>
                </w:tcPr>
                <w:p w14:paraId="138A2462" w14:textId="28C05FF8" w:rsidR="00A615FE" w:rsidRDefault="00A615FE" w:rsidP="004127F6">
                  <w:pPr>
                    <w:pStyle w:val="TableBodyText"/>
                    <w:spacing w:before="60"/>
                    <w:jc w:val="left"/>
                  </w:pPr>
                  <w:r>
                    <w:t>Wants to ‘undercut’ existing third party suppliers to</w:t>
                  </w:r>
                  <w:r w:rsidR="00520528">
                    <w:t xml:space="preserve"> p</w:t>
                  </w:r>
                  <w:r>
                    <w:t>artner.</w:t>
                  </w:r>
                </w:p>
                <w:p w14:paraId="35A28E32" w14:textId="77777777" w:rsidR="00A615FE" w:rsidRDefault="00A615FE" w:rsidP="00BF19C4">
                  <w:pPr>
                    <w:pStyle w:val="TableBodyText"/>
                    <w:jc w:val="left"/>
                  </w:pPr>
                </w:p>
                <w:p w14:paraId="3835D40B" w14:textId="699318C2" w:rsidR="00A615FE" w:rsidRDefault="00A615FE" w:rsidP="00520528">
                  <w:pPr>
                    <w:pStyle w:val="TableBodyText"/>
                    <w:jc w:val="left"/>
                  </w:pPr>
                  <w:r>
                    <w:t>Wants to create new (non</w:t>
                  </w:r>
                  <w:r w:rsidR="00FE23A3">
                    <w:noBreakHyphen/>
                  </w:r>
                  <w:r>
                    <w:t xml:space="preserve">diverted) sales, including as inputs into </w:t>
                  </w:r>
                  <w:r w:rsidR="00520528">
                    <w:t>p</w:t>
                  </w:r>
                  <w:r>
                    <w:t>artner production for re</w:t>
                  </w:r>
                  <w:r w:rsidR="00FE23A3">
                    <w:noBreakHyphen/>
                  </w:r>
                  <w:r>
                    <w:t>export to Australia</w:t>
                  </w:r>
                </w:p>
              </w:tc>
              <w:tc>
                <w:tcPr>
                  <w:tcW w:w="1250" w:type="pct"/>
                  <w:tcBorders>
                    <w:bottom w:val="single" w:sz="4" w:space="0" w:color="BFBFBF" w:themeColor="background1" w:themeShade="BF"/>
                  </w:tcBorders>
                </w:tcPr>
                <w:p w14:paraId="04146AE3" w14:textId="77777777" w:rsidR="00A615FE" w:rsidRDefault="00A615FE" w:rsidP="004127F6">
                  <w:pPr>
                    <w:pStyle w:val="TableBodyText"/>
                    <w:spacing w:before="60"/>
                    <w:jc w:val="left"/>
                  </w:pPr>
                  <w:proofErr w:type="spellStart"/>
                  <w:r>
                    <w:t>Indeterminant</w:t>
                  </w:r>
                  <w:proofErr w:type="spellEnd"/>
                  <w:r>
                    <w:t>.</w:t>
                  </w:r>
                </w:p>
                <w:p w14:paraId="1E55457B" w14:textId="77777777" w:rsidR="00A615FE" w:rsidRDefault="00A615FE" w:rsidP="00BF19C4">
                  <w:pPr>
                    <w:pStyle w:val="TableBodyText"/>
                    <w:jc w:val="left"/>
                  </w:pPr>
                </w:p>
                <w:p w14:paraId="4857504E" w14:textId="0A608723" w:rsidR="00A615FE" w:rsidRDefault="00A615FE" w:rsidP="00520528">
                  <w:pPr>
                    <w:pStyle w:val="TableBodyText"/>
                    <w:jc w:val="left"/>
                  </w:pPr>
                  <w:r>
                    <w:t xml:space="preserve">If exporting inputs to </w:t>
                  </w:r>
                  <w:r w:rsidR="00520528">
                    <w:t>p</w:t>
                  </w:r>
                  <w:r>
                    <w:t>artner for re</w:t>
                  </w:r>
                  <w:r w:rsidR="00FE23A3">
                    <w:noBreakHyphen/>
                  </w:r>
                  <w:r>
                    <w:t xml:space="preserve">export to Australia (which is only competitive under the agreement preferences) then want </w:t>
                  </w:r>
                  <w:r w:rsidR="00520528">
                    <w:t>p</w:t>
                  </w:r>
                  <w:r>
                    <w:t xml:space="preserve">artner to face </w:t>
                  </w:r>
                  <w:proofErr w:type="spellStart"/>
                  <w:r>
                    <w:t>RoO</w:t>
                  </w:r>
                  <w:proofErr w:type="spellEnd"/>
                  <w:r>
                    <w:t xml:space="preserve"> that they can satisfy </w:t>
                  </w:r>
                </w:p>
              </w:tc>
              <w:tc>
                <w:tcPr>
                  <w:tcW w:w="1250" w:type="pct"/>
                  <w:tcBorders>
                    <w:bottom w:val="single" w:sz="4" w:space="0" w:color="BFBFBF" w:themeColor="background1" w:themeShade="BF"/>
                  </w:tcBorders>
                </w:tcPr>
                <w:p w14:paraId="58B0AB42" w14:textId="77777777" w:rsidR="00A615FE" w:rsidRDefault="00A615FE" w:rsidP="004127F6">
                  <w:pPr>
                    <w:pStyle w:val="TableBodyText"/>
                    <w:spacing w:before="60"/>
                    <w:ind w:right="28"/>
                    <w:jc w:val="left"/>
                  </w:pPr>
                  <w:r>
                    <w:t xml:space="preserve">If the </w:t>
                  </w:r>
                  <w:proofErr w:type="spellStart"/>
                  <w:r>
                    <w:t>RoO</w:t>
                  </w:r>
                  <w:proofErr w:type="spellEnd"/>
                  <w:r>
                    <w:t xml:space="preserve"> are too liberal, existing third party suppliers may tranship.</w:t>
                  </w:r>
                </w:p>
                <w:p w14:paraId="0CA6E489" w14:textId="77777777" w:rsidR="00A615FE" w:rsidRDefault="00A615FE" w:rsidP="00BF19C4">
                  <w:pPr>
                    <w:pStyle w:val="TableBodyText"/>
                    <w:ind w:right="28"/>
                    <w:jc w:val="left"/>
                  </w:pPr>
                  <w:r>
                    <w:t xml:space="preserve">If the </w:t>
                  </w:r>
                  <w:proofErr w:type="spellStart"/>
                  <w:r>
                    <w:t>RoO</w:t>
                  </w:r>
                  <w:proofErr w:type="spellEnd"/>
                  <w:r>
                    <w:t xml:space="preserve"> are too restrictive the potential new exporter may not be able to satisfy the transformation test.</w:t>
                  </w:r>
                </w:p>
                <w:p w14:paraId="799A2246" w14:textId="77777777" w:rsidR="00A615FE" w:rsidRDefault="00A615FE" w:rsidP="00BF19C4">
                  <w:pPr>
                    <w:pStyle w:val="TableBodyText"/>
                    <w:ind w:right="28"/>
                    <w:jc w:val="left"/>
                  </w:pPr>
                </w:p>
              </w:tc>
            </w:tr>
          </w:tbl>
          <w:p w14:paraId="11EA1892" w14:textId="77777777" w:rsidR="00A615FE" w:rsidRDefault="00A615FE" w:rsidP="00BF19C4">
            <w:pPr>
              <w:pStyle w:val="Box"/>
            </w:pPr>
          </w:p>
        </w:tc>
      </w:tr>
      <w:tr w:rsidR="00A615FE" w14:paraId="4576B891" w14:textId="77777777" w:rsidTr="007C3379">
        <w:tc>
          <w:tcPr>
            <w:tcW w:w="8767" w:type="dxa"/>
            <w:tcBorders>
              <w:top w:val="nil"/>
              <w:left w:val="nil"/>
              <w:bottom w:val="single" w:sz="6" w:space="0" w:color="78A22F"/>
              <w:right w:val="nil"/>
            </w:tcBorders>
            <w:shd w:val="clear" w:color="auto" w:fill="auto"/>
          </w:tcPr>
          <w:p w14:paraId="6632C9DB" w14:textId="77777777" w:rsidR="00A615FE" w:rsidRDefault="00A615FE" w:rsidP="00BF19C4">
            <w:pPr>
              <w:pStyle w:val="Box"/>
              <w:spacing w:before="0" w:line="120" w:lineRule="exact"/>
            </w:pPr>
          </w:p>
        </w:tc>
      </w:tr>
      <w:tr w:rsidR="00A615FE" w:rsidRPr="000863A5" w14:paraId="0E55710C" w14:textId="77777777" w:rsidTr="007C3379">
        <w:tc>
          <w:tcPr>
            <w:tcW w:w="8767" w:type="dxa"/>
            <w:tcBorders>
              <w:top w:val="single" w:sz="6" w:space="0" w:color="78A22F"/>
              <w:left w:val="nil"/>
              <w:bottom w:val="nil"/>
              <w:right w:val="nil"/>
            </w:tcBorders>
          </w:tcPr>
          <w:p w14:paraId="76935CA1" w14:textId="25D96F33" w:rsidR="00A615FE" w:rsidRPr="00626D32" w:rsidRDefault="00A615FE" w:rsidP="00BF19C4">
            <w:pPr>
              <w:pStyle w:val="BoxSpaceBelow"/>
            </w:pPr>
          </w:p>
        </w:tc>
      </w:tr>
    </w:tbl>
    <w:p w14:paraId="7EDE83D7" w14:textId="10D8CD82" w:rsidR="00D76A17" w:rsidRDefault="00D76A17" w:rsidP="00D76A17">
      <w:pPr>
        <w:pStyle w:val="BodyText"/>
      </w:pPr>
      <w:r>
        <w:t xml:space="preserve">Indeed, determining how </w:t>
      </w:r>
      <w:proofErr w:type="spellStart"/>
      <w:r>
        <w:t>RoO</w:t>
      </w:r>
      <w:proofErr w:type="spellEnd"/>
      <w:r>
        <w:t xml:space="preserve"> apply is inherently a political process.</w:t>
      </w:r>
    </w:p>
    <w:p w14:paraId="3974CEEF" w14:textId="77777777" w:rsidR="00D76A17" w:rsidRPr="00044D16" w:rsidRDefault="00D76A17" w:rsidP="00452BBE">
      <w:pPr>
        <w:pStyle w:val="BodyText"/>
        <w:spacing w:before="100" w:line="280" w:lineRule="exact"/>
        <w:ind w:left="340"/>
        <w:rPr>
          <w:sz w:val="22"/>
        </w:rPr>
      </w:pPr>
      <w:r w:rsidRPr="00044D16">
        <w:rPr>
          <w:sz w:val="22"/>
        </w:rPr>
        <w:t>Rules of origin, because they affect who gets what, when and how, are intrinsically political. They can exhibit, in accentuated form, the political imbalance that can tilt overall trade policy toward restrictiveness and against the maximization of national welfare. (</w:t>
      </w:r>
      <w:proofErr w:type="spellStart"/>
      <w:r w:rsidRPr="00044D16">
        <w:rPr>
          <w:sz w:val="22"/>
        </w:rPr>
        <w:t>Destler</w:t>
      </w:r>
      <w:proofErr w:type="spellEnd"/>
      <w:r w:rsidRPr="00044D16">
        <w:rPr>
          <w:sz w:val="22"/>
        </w:rPr>
        <w:t> 2003</w:t>
      </w:r>
      <w:r w:rsidR="0058099F">
        <w:rPr>
          <w:sz w:val="22"/>
        </w:rPr>
        <w:t> p. 1</w:t>
      </w:r>
      <w:r w:rsidRPr="00044D16">
        <w:rPr>
          <w:sz w:val="22"/>
        </w:rPr>
        <w:t>)</w:t>
      </w:r>
    </w:p>
    <w:p w14:paraId="51337C2B" w14:textId="7F109474" w:rsidR="00A615FE" w:rsidRDefault="00A615FE" w:rsidP="004127F6">
      <w:pPr>
        <w:pStyle w:val="BodyText"/>
      </w:pPr>
      <w:r w:rsidRPr="004127F6">
        <w:rPr>
          <w:rStyle w:val="BodyTextChar"/>
        </w:rPr>
        <w:t xml:space="preserve">A common view is that </w:t>
      </w:r>
      <w:proofErr w:type="spellStart"/>
      <w:r w:rsidRPr="004127F6">
        <w:rPr>
          <w:rStyle w:val="BodyTextChar"/>
        </w:rPr>
        <w:t>RoO</w:t>
      </w:r>
      <w:proofErr w:type="spellEnd"/>
      <w:r w:rsidRPr="004127F6">
        <w:rPr>
          <w:rStyle w:val="BodyTextChar"/>
        </w:rPr>
        <w:t xml:space="preserve"> (primarily) reflect import competing interests, especially in</w:t>
      </w:r>
      <w:r>
        <w:t xml:space="preserve"> sensitive sectors. </w:t>
      </w:r>
    </w:p>
    <w:p w14:paraId="3F2F5331" w14:textId="2686A343" w:rsidR="00A615FE" w:rsidRDefault="00A615FE" w:rsidP="00452BBE">
      <w:pPr>
        <w:pStyle w:val="Quote"/>
        <w:spacing w:before="100"/>
      </w:pPr>
      <w:r>
        <w:t xml:space="preserve">Some critics of rules of origin tests used in </w:t>
      </w:r>
      <w:proofErr w:type="spellStart"/>
      <w:r>
        <w:t>FTAs</w:t>
      </w:r>
      <w:proofErr w:type="spellEnd"/>
      <w:r>
        <w:t xml:space="preserve"> allege that because ROO are negotiated product by product and industry by industry, there is “enormous scope for well</w:t>
      </w:r>
      <w:r w:rsidR="00FE23A3">
        <w:noBreakHyphen/>
      </w:r>
      <w:r>
        <w:t xml:space="preserve">organized </w:t>
      </w:r>
      <w:r>
        <w:lastRenderedPageBreak/>
        <w:t xml:space="preserve">industries to essentially insulate themselves from the effects of the </w:t>
      </w:r>
      <w:proofErr w:type="spellStart"/>
      <w:r>
        <w:t>FTA</w:t>
      </w:r>
      <w:proofErr w:type="spellEnd"/>
      <w:r>
        <w:t xml:space="preserve"> by devising suitable ROO”, thus diminishing its trade liberalizing effects overall. (Jones 2015, p.</w:t>
      </w:r>
      <w:r w:rsidR="00FE23A3">
        <w:t> </w:t>
      </w:r>
      <w:r>
        <w:t>10)</w:t>
      </w:r>
    </w:p>
    <w:p w14:paraId="159742EA" w14:textId="64AFF2DF" w:rsidR="00E3177B" w:rsidRDefault="00816E59" w:rsidP="00452BBE">
      <w:pPr>
        <w:pStyle w:val="BodyText"/>
        <w:spacing w:before="200"/>
      </w:pPr>
      <w:r>
        <w:t xml:space="preserve">Studies find evidence of stricter </w:t>
      </w:r>
      <w:proofErr w:type="spellStart"/>
      <w:r>
        <w:t>RoO</w:t>
      </w:r>
      <w:proofErr w:type="spellEnd"/>
      <w:r>
        <w:t xml:space="preserve"> for products with high tariffs (sensitive sectors) under NAFTA (</w:t>
      </w:r>
      <w:proofErr w:type="spellStart"/>
      <w:r w:rsidR="009460B3">
        <w:t>Cadot</w:t>
      </w:r>
      <w:proofErr w:type="spellEnd"/>
      <w:r w:rsidR="009460B3">
        <w:t> et. al. 2002)</w:t>
      </w:r>
      <w:r>
        <w:t xml:space="preserve"> and ASEAN agreements (</w:t>
      </w:r>
      <w:proofErr w:type="spellStart"/>
      <w:r>
        <w:t>Cadot</w:t>
      </w:r>
      <w:proofErr w:type="spellEnd"/>
      <w:r>
        <w:t xml:space="preserve"> and </w:t>
      </w:r>
      <w:proofErr w:type="spellStart"/>
      <w:r>
        <w:t>Ing</w:t>
      </w:r>
      <w:proofErr w:type="spellEnd"/>
      <w:r>
        <w:t xml:space="preserve"> 2014). </w:t>
      </w:r>
      <w:r w:rsidR="00734527">
        <w:t>In</w:t>
      </w:r>
      <w:r>
        <w:t xml:space="preserve"> these industries </w:t>
      </w:r>
      <w:r w:rsidR="008B0E15">
        <w:t>g</w:t>
      </w:r>
      <w:r w:rsidR="00606D58">
        <w:t xml:space="preserve">oods are </w:t>
      </w:r>
      <w:r w:rsidR="008B0E15">
        <w:t xml:space="preserve">often </w:t>
      </w:r>
      <w:r w:rsidR="00606D58">
        <w:t xml:space="preserve">traded under the </w:t>
      </w:r>
      <w:r w:rsidR="00520528">
        <w:t xml:space="preserve">higher </w:t>
      </w:r>
      <w:r w:rsidR="00606D58">
        <w:t xml:space="preserve">MFN rate </w:t>
      </w:r>
      <w:r w:rsidR="008B0E15">
        <w:t xml:space="preserve">instead of the lower preference rate. </w:t>
      </w:r>
      <w:r>
        <w:t xml:space="preserve">Numerous studies, covering a range of methodologies and scenarios indicate significant trade restricting effects of </w:t>
      </w:r>
      <w:proofErr w:type="spellStart"/>
      <w:r>
        <w:t>RoO</w:t>
      </w:r>
      <w:proofErr w:type="spellEnd"/>
      <w:r>
        <w:t xml:space="preserve">, with all aspects of </w:t>
      </w:r>
      <w:proofErr w:type="spellStart"/>
      <w:r>
        <w:t>RoO</w:t>
      </w:r>
      <w:proofErr w:type="spellEnd"/>
      <w:r>
        <w:t xml:space="preserve"> having been found to restrict trade (box 2).</w:t>
      </w:r>
    </w:p>
    <w:p w14:paraId="3061F9D5" w14:textId="77777777" w:rsidR="008E5C57" w:rsidRDefault="008E5C57" w:rsidP="008E5C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177B" w14:paraId="70B24558" w14:textId="77777777" w:rsidTr="00E3177B">
        <w:tc>
          <w:tcPr>
            <w:tcW w:w="8771" w:type="dxa"/>
            <w:tcBorders>
              <w:top w:val="single" w:sz="6" w:space="0" w:color="78A22F"/>
              <w:left w:val="nil"/>
              <w:bottom w:val="nil"/>
              <w:right w:val="nil"/>
            </w:tcBorders>
            <w:shd w:val="clear" w:color="auto" w:fill="F2F2F2"/>
          </w:tcPr>
          <w:p w14:paraId="66EEC2C1" w14:textId="77777777" w:rsidR="00E3177B" w:rsidRDefault="00E3177B" w:rsidP="000E6837">
            <w:pPr>
              <w:pStyle w:val="BoxTitle"/>
            </w:pPr>
            <w:r>
              <w:rPr>
                <w:b w:val="0"/>
              </w:rPr>
              <w:t>Box 2</w:t>
            </w:r>
            <w:r>
              <w:tab/>
            </w:r>
            <w:proofErr w:type="spellStart"/>
            <w:r w:rsidR="000E6837">
              <w:t>RoO</w:t>
            </w:r>
            <w:proofErr w:type="spellEnd"/>
            <w:r w:rsidR="000E6837">
              <w:t xml:space="preserve"> have been found to restrict trade</w:t>
            </w:r>
          </w:p>
        </w:tc>
      </w:tr>
      <w:tr w:rsidR="00E3177B" w14:paraId="147E3D72" w14:textId="77777777" w:rsidTr="00E3177B">
        <w:tc>
          <w:tcPr>
            <w:tcW w:w="8771" w:type="dxa"/>
            <w:tcBorders>
              <w:top w:val="nil"/>
              <w:left w:val="nil"/>
              <w:bottom w:val="nil"/>
              <w:right w:val="nil"/>
            </w:tcBorders>
            <w:shd w:val="clear" w:color="auto" w:fill="F2F2F2"/>
          </w:tcPr>
          <w:p w14:paraId="021B3C01" w14:textId="78D8B440" w:rsidR="00E3177B" w:rsidRPr="00EC631A" w:rsidRDefault="00E3177B" w:rsidP="00EC631A">
            <w:pPr>
              <w:pStyle w:val="BoxListBullet"/>
            </w:pPr>
            <w:r>
              <w:t>In a study of 149 countries for 1999</w:t>
            </w:r>
            <w:r w:rsidR="00FE23A3">
              <w:t>–</w:t>
            </w:r>
            <w:r>
              <w:t>2001 Anson</w:t>
            </w:r>
            <w:r w:rsidR="009460B3">
              <w:t> </w:t>
            </w:r>
            <w:r>
              <w:t>et</w:t>
            </w:r>
            <w:r w:rsidR="009460B3">
              <w:t>. </w:t>
            </w:r>
            <w:r>
              <w:t>al</w:t>
            </w:r>
            <w:r w:rsidR="009460B3">
              <w:t>. </w:t>
            </w:r>
            <w:r w:rsidR="00A9670B">
              <w:t xml:space="preserve">(2005) estimated that </w:t>
            </w:r>
            <w:proofErr w:type="spellStart"/>
            <w:r w:rsidR="00A9670B">
              <w:t>RoO</w:t>
            </w:r>
            <w:proofErr w:type="spellEnd"/>
            <w:r>
              <w:t xml:space="preserve"> reduced the trade creation effects of PTAs by around two</w:t>
            </w:r>
            <w:r w:rsidR="00FE23A3">
              <w:noBreakHyphen/>
            </w:r>
            <w:r>
              <w:t xml:space="preserve">thirds. </w:t>
            </w:r>
            <w:r w:rsidR="00520528">
              <w:t>The study</w:t>
            </w:r>
            <w:r>
              <w:t xml:space="preserve"> </w:t>
            </w:r>
            <w:r w:rsidR="00F01537">
              <w:t xml:space="preserve">also found </w:t>
            </w:r>
            <w:r>
              <w:t xml:space="preserve">that the cost of </w:t>
            </w:r>
            <w:r w:rsidR="00A9670B">
              <w:t xml:space="preserve">meeting the NAFTA </w:t>
            </w:r>
            <w:proofErr w:type="spellStart"/>
            <w:r w:rsidR="00A9670B">
              <w:t>RoO</w:t>
            </w:r>
            <w:proofErr w:type="spellEnd"/>
            <w:r w:rsidRPr="00EC631A">
              <w:t xml:space="preserve"> are equivalent to almost one</w:t>
            </w:r>
            <w:r w:rsidR="00FE23A3">
              <w:noBreakHyphen/>
            </w:r>
            <w:r w:rsidRPr="00EC631A">
              <w:t>half of the available tariff preferences. They disentangle this overall cost into the transformation (higher input cost sourcing) effect (about 60 per cent) and the administrative cost of compliance (about 40 per cent).</w:t>
            </w:r>
          </w:p>
          <w:p w14:paraId="69D9AFBA" w14:textId="77777777" w:rsidR="00E3177B" w:rsidRPr="00EC631A" w:rsidRDefault="00E3177B" w:rsidP="00EC631A">
            <w:pPr>
              <w:pStyle w:val="BoxListBullet"/>
            </w:pPr>
            <w:r w:rsidRPr="00EC631A">
              <w:t>Augier</w:t>
            </w:r>
            <w:r w:rsidR="009460B3" w:rsidRPr="00EC631A">
              <w:t> </w:t>
            </w:r>
            <w:r w:rsidRPr="00EC631A">
              <w:t>et</w:t>
            </w:r>
            <w:r w:rsidR="009460B3" w:rsidRPr="00EC631A">
              <w:t>. </w:t>
            </w:r>
            <w:r w:rsidRPr="00EC631A">
              <w:t>al</w:t>
            </w:r>
            <w:r w:rsidR="009460B3" w:rsidRPr="00EC631A">
              <w:t>. </w:t>
            </w:r>
            <w:r w:rsidRPr="00EC631A">
              <w:t>(200</w:t>
            </w:r>
            <w:r w:rsidR="006D3DAC" w:rsidRPr="00EC631A">
              <w:t>4</w:t>
            </w:r>
            <w:r w:rsidRPr="00EC631A">
              <w:t xml:space="preserve">) study the trade effect of the EU relaxing the </w:t>
            </w:r>
            <w:proofErr w:type="spellStart"/>
            <w:r w:rsidRPr="00EC631A">
              <w:t>cumulation</w:t>
            </w:r>
            <w:proofErr w:type="spellEnd"/>
            <w:r w:rsidRPr="00EC631A">
              <w:t xml:space="preserve"> rules, which moved to diagonal </w:t>
            </w:r>
            <w:proofErr w:type="spellStart"/>
            <w:r w:rsidRPr="00EC631A">
              <w:t>cumulation</w:t>
            </w:r>
            <w:proofErr w:type="spellEnd"/>
            <w:r w:rsidRPr="00EC631A">
              <w:t xml:space="preserve"> in 1997. They estimate that more restrictive </w:t>
            </w:r>
            <w:proofErr w:type="spellStart"/>
            <w:r w:rsidRPr="00EC631A">
              <w:t>cumulation</w:t>
            </w:r>
            <w:proofErr w:type="spellEnd"/>
            <w:r w:rsidRPr="00EC631A">
              <w:t xml:space="preserve"> before reform reduced trade by between 10 and 70 per cent.</w:t>
            </w:r>
          </w:p>
          <w:p w14:paraId="5F3769B5" w14:textId="77E60189" w:rsidR="00E3177B" w:rsidRPr="00EC631A" w:rsidRDefault="00E3177B" w:rsidP="00EC631A">
            <w:pPr>
              <w:pStyle w:val="BoxListBullet"/>
            </w:pPr>
            <w:proofErr w:type="spellStart"/>
            <w:r w:rsidRPr="00EC631A">
              <w:t>Cadot</w:t>
            </w:r>
            <w:proofErr w:type="spellEnd"/>
            <w:r w:rsidR="003E4AF5" w:rsidRPr="00EC631A">
              <w:t> et. al.</w:t>
            </w:r>
            <w:r w:rsidR="0071537B">
              <w:t xml:space="preserve"> </w:t>
            </w:r>
            <w:r w:rsidRPr="00EC631A">
              <w:t>(200</w:t>
            </w:r>
            <w:r w:rsidR="003E4AF5" w:rsidRPr="00EC631A">
              <w:t>6</w:t>
            </w:r>
            <w:r w:rsidRPr="00EC631A">
              <w:t>) tested the effect of value</w:t>
            </w:r>
            <w:r w:rsidR="00FE23A3">
              <w:noBreakHyphen/>
            </w:r>
            <w:r w:rsidRPr="00EC631A">
              <w:t>content rules on the utilisation of EU developing country pre</w:t>
            </w:r>
            <w:r w:rsidR="00F53054">
              <w:t>ferences. They found that utilis</w:t>
            </w:r>
            <w:r w:rsidRPr="00EC631A">
              <w:t xml:space="preserve">ation is lower the higher the minimum value content. </w:t>
            </w:r>
            <w:proofErr w:type="spellStart"/>
            <w:r w:rsidRPr="00EC631A">
              <w:t>Hakobyan</w:t>
            </w:r>
            <w:proofErr w:type="spellEnd"/>
            <w:r w:rsidRPr="00EC631A">
              <w:t xml:space="preserve"> (2010) finds a similar result for US developing country trade preferences over 2007</w:t>
            </w:r>
            <w:r w:rsidR="00FE23A3">
              <w:t>–</w:t>
            </w:r>
            <w:r w:rsidRPr="00EC631A">
              <w:t>2008 covering about 5000 products.</w:t>
            </w:r>
          </w:p>
          <w:p w14:paraId="6BDF2E40" w14:textId="22B80B08" w:rsidR="00E3177B" w:rsidRPr="00EC631A" w:rsidRDefault="00E3177B" w:rsidP="00EC631A">
            <w:pPr>
              <w:pStyle w:val="BoxListBullet"/>
            </w:pPr>
            <w:proofErr w:type="spellStart"/>
            <w:r w:rsidRPr="00EC631A">
              <w:t>Cadot</w:t>
            </w:r>
            <w:proofErr w:type="spellEnd"/>
            <w:r w:rsidRPr="00EC631A">
              <w:t xml:space="preserve"> and </w:t>
            </w:r>
            <w:proofErr w:type="spellStart"/>
            <w:r w:rsidRPr="00EC631A">
              <w:t>Ing</w:t>
            </w:r>
            <w:proofErr w:type="spellEnd"/>
            <w:r w:rsidRPr="00EC631A">
              <w:t xml:space="preserve"> (2014) estimate that</w:t>
            </w:r>
            <w:r w:rsidR="00F53054">
              <w:t xml:space="preserve"> ASEAN </w:t>
            </w:r>
            <w:proofErr w:type="spellStart"/>
            <w:r w:rsidR="00F53054">
              <w:t>RoO</w:t>
            </w:r>
            <w:proofErr w:type="spellEnd"/>
            <w:r w:rsidRPr="00EC631A">
              <w:t xml:space="preserve"> (across several agreements) impose an average tariff cost equivalent of 3.4 per cent (about one</w:t>
            </w:r>
            <w:r w:rsidR="00FE23A3">
              <w:noBreakHyphen/>
            </w:r>
            <w:r w:rsidRPr="00EC631A">
              <w:t>quarter of the average preference available), with higher costs for products with more restrictive tests (on paper).</w:t>
            </w:r>
          </w:p>
          <w:p w14:paraId="6BFE43DC" w14:textId="56F451E2" w:rsidR="00E3177B" w:rsidRDefault="00E3177B" w:rsidP="00EC631A">
            <w:pPr>
              <w:pStyle w:val="BoxListBullet"/>
            </w:pPr>
            <w:proofErr w:type="spellStart"/>
            <w:r w:rsidRPr="00EC631A">
              <w:t>Inama</w:t>
            </w:r>
            <w:proofErr w:type="spellEnd"/>
            <w:r w:rsidRPr="00EC631A">
              <w:t xml:space="preserve"> (2015) reports that liberalisation of the </w:t>
            </w:r>
            <w:proofErr w:type="spellStart"/>
            <w:r w:rsidRPr="00EC631A">
              <w:t>RoO</w:t>
            </w:r>
            <w:proofErr w:type="spellEnd"/>
            <w:r w:rsidRPr="00EC631A">
              <w:t xml:space="preserve"> for developing countries for textiles and clothing (by Canada in 2003 and the EU in 2011) increased preference usage ‘immediately’ to 100 per cent, from pre</w:t>
            </w:r>
            <w:r w:rsidR="00FE23A3">
              <w:noBreakHyphen/>
            </w:r>
            <w:r w:rsidRPr="00EC631A">
              <w:t>reform</w:t>
            </w:r>
            <w:r>
              <w:t xml:space="preserve"> rates of around 20 and 40 per cent respectively.</w:t>
            </w:r>
          </w:p>
        </w:tc>
      </w:tr>
      <w:tr w:rsidR="00E3177B" w14:paraId="2D648EAD" w14:textId="77777777" w:rsidTr="00E3177B">
        <w:tc>
          <w:tcPr>
            <w:tcW w:w="8771" w:type="dxa"/>
            <w:tcBorders>
              <w:top w:val="nil"/>
              <w:left w:val="nil"/>
              <w:bottom w:val="nil"/>
              <w:right w:val="nil"/>
            </w:tcBorders>
            <w:shd w:val="clear" w:color="auto" w:fill="F2F2F2"/>
          </w:tcPr>
          <w:p w14:paraId="4A07EEE4" w14:textId="77777777" w:rsidR="00E3177B" w:rsidRDefault="00E3177B" w:rsidP="00E3177B">
            <w:pPr>
              <w:pStyle w:val="BoxSource"/>
            </w:pPr>
            <w:r>
              <w:rPr>
                <w:i/>
              </w:rPr>
              <w:t>Source</w:t>
            </w:r>
            <w:r w:rsidRPr="00167F06">
              <w:t xml:space="preserve">: </w:t>
            </w:r>
            <w:r>
              <w:t>As referenced.</w:t>
            </w:r>
          </w:p>
        </w:tc>
      </w:tr>
      <w:tr w:rsidR="00E3177B" w14:paraId="084E8CF2" w14:textId="77777777" w:rsidTr="00E3177B">
        <w:tc>
          <w:tcPr>
            <w:tcW w:w="8771" w:type="dxa"/>
            <w:tcBorders>
              <w:top w:val="nil"/>
              <w:left w:val="nil"/>
              <w:bottom w:val="single" w:sz="6" w:space="0" w:color="78A22F"/>
              <w:right w:val="nil"/>
            </w:tcBorders>
            <w:shd w:val="clear" w:color="auto" w:fill="F2F2F2"/>
          </w:tcPr>
          <w:p w14:paraId="05C24144" w14:textId="77777777" w:rsidR="00E3177B" w:rsidRDefault="00E3177B" w:rsidP="00E3177B">
            <w:pPr>
              <w:pStyle w:val="Box"/>
              <w:spacing w:before="0" w:line="120" w:lineRule="exact"/>
            </w:pPr>
          </w:p>
        </w:tc>
      </w:tr>
    </w:tbl>
    <w:p w14:paraId="4881DF14" w14:textId="43E51AB7" w:rsidR="000E6837" w:rsidRDefault="000E6837" w:rsidP="00452BBE">
      <w:pPr>
        <w:pStyle w:val="BodyText"/>
        <w:spacing w:before="200"/>
      </w:pPr>
      <w:r>
        <w:t xml:space="preserve">While </w:t>
      </w:r>
      <w:proofErr w:type="spellStart"/>
      <w:r>
        <w:t>RoO</w:t>
      </w:r>
      <w:proofErr w:type="spellEnd"/>
      <w:r>
        <w:t xml:space="preserve"> transformation rules </w:t>
      </w:r>
      <w:r w:rsidR="00666BFE">
        <w:t xml:space="preserve">are used </w:t>
      </w:r>
      <w:r>
        <w:t>to restrict trade, other features of PTAs</w:t>
      </w:r>
      <w:r w:rsidR="00816E59">
        <w:t xml:space="preserve"> can </w:t>
      </w:r>
      <w:r w:rsidR="00666BFE">
        <w:t xml:space="preserve">also </w:t>
      </w:r>
      <w:r>
        <w:t>undermin</w:t>
      </w:r>
      <w:r w:rsidR="008043FA">
        <w:t>e</w:t>
      </w:r>
      <w:r>
        <w:t xml:space="preserve"> the announced tariff </w:t>
      </w:r>
      <w:r w:rsidR="00666BFE">
        <w:t>reductions (or quota expansion)</w:t>
      </w:r>
      <w:r>
        <w:t xml:space="preserve">. </w:t>
      </w:r>
      <w:r w:rsidR="00666BFE">
        <w:t>In particular</w:t>
      </w:r>
      <w:r>
        <w:t xml:space="preserve">, the length of time over which tariff reductions are phased in can be considerable, and </w:t>
      </w:r>
      <w:r w:rsidR="00520528">
        <w:t xml:space="preserve">can </w:t>
      </w:r>
      <w:r>
        <w:t xml:space="preserve">vary at </w:t>
      </w:r>
      <w:r w:rsidR="00520528">
        <w:t>quite</w:t>
      </w:r>
      <w:r>
        <w:t xml:space="preserve"> fine classification levels</w:t>
      </w:r>
      <w:r w:rsidR="00666BFE">
        <w:t>, again demonstrating the tailoring of protection</w:t>
      </w:r>
      <w:r>
        <w:t xml:space="preserve"> (box 3).</w:t>
      </w:r>
      <w:r w:rsidR="00666BFE">
        <w:t xml:space="preserve"> There are often other elements of PTAs, such as standards, that can facilitate or act as a barrier to trade.</w:t>
      </w:r>
    </w:p>
    <w:p w14:paraId="14A72577" w14:textId="6A558EBD" w:rsidR="00A000EA" w:rsidRDefault="00A000EA">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8"/>
      </w:tblGrid>
      <w:tr w:rsidR="00A000EA" w14:paraId="34C5F465" w14:textId="77777777" w:rsidTr="00A000EA">
        <w:tc>
          <w:tcPr>
            <w:tcW w:w="5000" w:type="pct"/>
            <w:tcBorders>
              <w:top w:val="single" w:sz="6" w:space="0" w:color="78A22F"/>
              <w:left w:val="nil"/>
              <w:bottom w:val="nil"/>
              <w:right w:val="nil"/>
            </w:tcBorders>
            <w:shd w:val="clear" w:color="auto" w:fill="F2F2F2"/>
          </w:tcPr>
          <w:p w14:paraId="6B54F19D" w14:textId="2CF84011" w:rsidR="00A000EA" w:rsidRDefault="00A000EA" w:rsidP="00A000EA">
            <w:pPr>
              <w:pStyle w:val="BoxTitle"/>
            </w:pPr>
            <w:r>
              <w:rPr>
                <w:b w:val="0"/>
              </w:rPr>
              <w:t>Box 3</w:t>
            </w:r>
            <w:r>
              <w:tab/>
              <w:t>The phase in of tariff reductions reflect industry sensitivities at the time of negotiation</w:t>
            </w:r>
          </w:p>
        </w:tc>
      </w:tr>
      <w:tr w:rsidR="00A000EA" w14:paraId="39EE6DFB" w14:textId="77777777" w:rsidTr="00A000EA">
        <w:tc>
          <w:tcPr>
            <w:tcW w:w="5000" w:type="pct"/>
            <w:tcBorders>
              <w:top w:val="nil"/>
              <w:left w:val="nil"/>
              <w:bottom w:val="nil"/>
              <w:right w:val="nil"/>
            </w:tcBorders>
            <w:shd w:val="clear" w:color="auto" w:fill="F2F2F2"/>
          </w:tcPr>
          <w:p w14:paraId="11BEBDF4" w14:textId="02C83720" w:rsidR="00A000EA" w:rsidRDefault="00A000EA" w:rsidP="00A000EA">
            <w:pPr>
              <w:pStyle w:val="Box"/>
              <w:spacing w:before="100"/>
            </w:pPr>
            <w:r>
              <w:t>Industry sensitivities can be apparent in how quickly preferences are phased in under agreements. The Australia</w:t>
            </w:r>
            <w:r w:rsidR="00FE23A3">
              <w:noBreakHyphen/>
            </w:r>
            <w:r>
              <w:t>US agreement (</w:t>
            </w:r>
            <w:proofErr w:type="spellStart"/>
            <w:r>
              <w:t>AUSFTA</w:t>
            </w:r>
            <w:proofErr w:type="spellEnd"/>
            <w:r>
              <w:t xml:space="preserve">) phases in the agreed tariff schedule on quota constrained product (such as beef, dairy, peanuts, cotton, tin products and rubber) over 18 years. Some start in year one, some are frozen for the first six years and others are frozen for the first eight years, reflecting the interest of domestic producers. Some products, such as condensed milk, offer no tariff preference, and only an 18 year gradual quota increase.  The tailored tariff reductions even occur within similar product categories. For instance, among footwear products, both </w:t>
            </w:r>
            <w:proofErr w:type="spellStart"/>
            <w:r>
              <w:t>HS6404.19.20</w:t>
            </w:r>
            <w:proofErr w:type="spellEnd"/>
            <w:r>
              <w:t xml:space="preserve"> and HS 6404.11.70 have the same base (starting tariff of 37.5 per cent), yet the phasing is 10 years for the former and immediately to zero for the latter. Australia’s longest phasing under </w:t>
            </w:r>
            <w:proofErr w:type="spellStart"/>
            <w:r>
              <w:t>AUSFTA</w:t>
            </w:r>
            <w:proofErr w:type="spellEnd"/>
            <w:r>
              <w:t xml:space="preserve"> is ten years. </w:t>
            </w:r>
          </w:p>
          <w:p w14:paraId="293D90F2" w14:textId="7551D304" w:rsidR="00A000EA" w:rsidRDefault="00A000EA" w:rsidP="00A000EA">
            <w:pPr>
              <w:pStyle w:val="Box"/>
              <w:spacing w:before="100"/>
            </w:pPr>
            <w:r>
              <w:t xml:space="preserve">The tariff reductions to zero by China under its agreement with Australia consist of nine different time paths, from immediate to fifteen years. Australia’s tariff reductions consist of three different time paths (immediate, three years and five years). However, Australia’s tariff phasing is not always faster than the Chinese. For example, the ‘iron and steel’ product (HS 7210.49) is subject to a CTC(4) </w:t>
            </w:r>
            <w:proofErr w:type="spellStart"/>
            <w:r>
              <w:t>RoO</w:t>
            </w:r>
            <w:proofErr w:type="spellEnd"/>
            <w:r>
              <w:t xml:space="preserve"> for trade in either direction, but imports into Australia face a slower tariff phasing than imports into China (table 2). This likely reflects greater Australian steel industry concerns, than that of the Chinese industry for these products. The converse also arises where Australia’s phasing is quicker than China’s within the iron and steel product range (product </w:t>
            </w:r>
            <w:proofErr w:type="spellStart"/>
            <w:r>
              <w:t>HS7208.36</w:t>
            </w:r>
            <w:proofErr w:type="spellEnd"/>
            <w:r>
              <w:t xml:space="preserve">).  </w:t>
            </w:r>
          </w:p>
        </w:tc>
      </w:tr>
      <w:tr w:rsidR="00A000EA" w14:paraId="51337E79" w14:textId="77777777" w:rsidTr="00A000EA">
        <w:tc>
          <w:tcPr>
            <w:tcW w:w="5000" w:type="pct"/>
            <w:tcBorders>
              <w:top w:val="nil"/>
              <w:left w:val="nil"/>
              <w:bottom w:val="nil"/>
              <w:right w:val="nil"/>
            </w:tcBorders>
            <w:shd w:val="clear" w:color="auto" w:fill="F2F2F2"/>
          </w:tcPr>
          <w:p w14:paraId="6E7B693A" w14:textId="77777777" w:rsidR="00A000EA" w:rsidRDefault="00A000EA" w:rsidP="004766F6">
            <w:pPr>
              <w:pStyle w:val="TableTitle"/>
              <w:spacing w:before="240"/>
            </w:pPr>
            <w:r>
              <w:t>Table 2</w:t>
            </w:r>
            <w:r>
              <w:tab/>
              <w:t xml:space="preserve">Comparison of tariff reduction schedules in </w:t>
            </w:r>
            <w:proofErr w:type="spellStart"/>
            <w:r>
              <w:t>CHAFTA</w:t>
            </w:r>
            <w:proofErr w:type="spellEnd"/>
          </w:p>
          <w:p w14:paraId="0F80C292" w14:textId="77777777" w:rsidR="00A000EA" w:rsidRDefault="00A000EA" w:rsidP="00A000EA">
            <w:pPr>
              <w:pStyle w:val="Subtitle"/>
            </w:pPr>
            <w:r>
              <w:t>Steel products</w:t>
            </w:r>
          </w:p>
          <w:tbl>
            <w:tblPr>
              <w:tblW w:w="5000" w:type="pct"/>
              <w:tblCellMar>
                <w:top w:w="28" w:type="dxa"/>
                <w:left w:w="0" w:type="dxa"/>
                <w:right w:w="0" w:type="dxa"/>
              </w:tblCellMar>
              <w:tblLook w:val="0000" w:firstRow="0" w:lastRow="0" w:firstColumn="0" w:lastColumn="0" w:noHBand="0" w:noVBand="0"/>
            </w:tblPr>
            <w:tblGrid>
              <w:gridCol w:w="3104"/>
              <w:gridCol w:w="852"/>
              <w:gridCol w:w="2425"/>
              <w:gridCol w:w="2123"/>
            </w:tblGrid>
            <w:tr w:rsidR="00A000EA" w14:paraId="4DA34676" w14:textId="77777777" w:rsidTr="00A000EA">
              <w:trPr>
                <w:tblHeader/>
              </w:trPr>
              <w:tc>
                <w:tcPr>
                  <w:tcW w:w="1825" w:type="pct"/>
                  <w:tcBorders>
                    <w:top w:val="single" w:sz="6" w:space="0" w:color="BFBFBF"/>
                    <w:bottom w:val="single" w:sz="6" w:space="0" w:color="BFBFBF"/>
                  </w:tcBorders>
                  <w:shd w:val="clear" w:color="auto" w:fill="auto"/>
                  <w:tcMar>
                    <w:top w:w="28" w:type="dxa"/>
                  </w:tcMar>
                </w:tcPr>
                <w:p w14:paraId="73E02A70" w14:textId="77777777" w:rsidR="00A000EA" w:rsidRDefault="00A000EA" w:rsidP="00A000EA">
                  <w:pPr>
                    <w:pStyle w:val="TableColumnHeading"/>
                    <w:jc w:val="left"/>
                  </w:pPr>
                </w:p>
              </w:tc>
              <w:tc>
                <w:tcPr>
                  <w:tcW w:w="501" w:type="pct"/>
                  <w:tcBorders>
                    <w:top w:val="single" w:sz="6" w:space="0" w:color="BFBFBF"/>
                    <w:bottom w:val="single" w:sz="6" w:space="0" w:color="BFBFBF"/>
                  </w:tcBorders>
                </w:tcPr>
                <w:p w14:paraId="79C8F96E" w14:textId="77777777" w:rsidR="00A000EA" w:rsidRDefault="00A000EA" w:rsidP="00A000EA">
                  <w:pPr>
                    <w:pStyle w:val="TableColumnHeading"/>
                    <w:jc w:val="left"/>
                  </w:pPr>
                  <w:proofErr w:type="spellStart"/>
                  <w:r>
                    <w:t>RoO</w:t>
                  </w:r>
                  <w:proofErr w:type="spellEnd"/>
                </w:p>
              </w:tc>
              <w:tc>
                <w:tcPr>
                  <w:tcW w:w="1426" w:type="pct"/>
                  <w:tcBorders>
                    <w:top w:val="single" w:sz="6" w:space="0" w:color="BFBFBF"/>
                    <w:bottom w:val="single" w:sz="6" w:space="0" w:color="BFBFBF"/>
                  </w:tcBorders>
                  <w:shd w:val="clear" w:color="auto" w:fill="auto"/>
                  <w:tcMar>
                    <w:top w:w="28" w:type="dxa"/>
                  </w:tcMar>
                </w:tcPr>
                <w:p w14:paraId="2E15DCC9" w14:textId="77777777" w:rsidR="00A000EA" w:rsidRDefault="00A000EA" w:rsidP="00A000EA">
                  <w:pPr>
                    <w:pStyle w:val="TableColumnHeading"/>
                    <w:jc w:val="left"/>
                  </w:pPr>
                  <w:r>
                    <w:t>Australia tariff reduction</w:t>
                  </w:r>
                </w:p>
              </w:tc>
              <w:tc>
                <w:tcPr>
                  <w:tcW w:w="1248" w:type="pct"/>
                  <w:tcBorders>
                    <w:top w:val="single" w:sz="6" w:space="0" w:color="BFBFBF"/>
                    <w:bottom w:val="single" w:sz="6" w:space="0" w:color="BFBFBF"/>
                  </w:tcBorders>
                  <w:shd w:val="clear" w:color="auto" w:fill="auto"/>
                  <w:tcMar>
                    <w:top w:w="28" w:type="dxa"/>
                  </w:tcMar>
                </w:tcPr>
                <w:p w14:paraId="17C3CD2F" w14:textId="77777777" w:rsidR="00A000EA" w:rsidRDefault="00A000EA" w:rsidP="00A000EA">
                  <w:pPr>
                    <w:pStyle w:val="TableColumnHeading"/>
                    <w:ind w:right="28"/>
                    <w:jc w:val="left"/>
                  </w:pPr>
                  <w:r>
                    <w:t>China tariff reduction</w:t>
                  </w:r>
                </w:p>
              </w:tc>
            </w:tr>
            <w:tr w:rsidR="00A000EA" w14:paraId="51771F21" w14:textId="77777777" w:rsidTr="004766F6">
              <w:tc>
                <w:tcPr>
                  <w:tcW w:w="1825" w:type="pct"/>
                </w:tcPr>
                <w:p w14:paraId="0BD2F42A" w14:textId="20AA4F32" w:rsidR="00A000EA" w:rsidRDefault="00A000EA" w:rsidP="00A000EA">
                  <w:pPr>
                    <w:pStyle w:val="TableBodyText"/>
                    <w:spacing w:before="40"/>
                    <w:jc w:val="left"/>
                  </w:pPr>
                  <w:r>
                    <w:t>Flat–rolled products of iron or non</w:t>
                  </w:r>
                  <w:r w:rsidR="00FE23A3">
                    <w:noBreakHyphen/>
                  </w:r>
                  <w:r>
                    <w:t xml:space="preserve">alloy steel, width </w:t>
                  </w:r>
                  <w:proofErr w:type="spellStart"/>
                  <w:r>
                    <w:t>600mm</w:t>
                  </w:r>
                  <w:proofErr w:type="spellEnd"/>
                  <w:r>
                    <w:t xml:space="preserve"> or more, plated or coated with aluminium, other (HS 7210.49)</w:t>
                  </w:r>
                </w:p>
              </w:tc>
              <w:tc>
                <w:tcPr>
                  <w:tcW w:w="501" w:type="pct"/>
                </w:tcPr>
                <w:p w14:paraId="36ED93D3" w14:textId="77777777" w:rsidR="00A000EA" w:rsidRDefault="00A000EA" w:rsidP="00A000EA">
                  <w:pPr>
                    <w:pStyle w:val="TableBodyText"/>
                    <w:spacing w:before="40"/>
                    <w:ind w:left="0"/>
                    <w:jc w:val="left"/>
                  </w:pPr>
                  <w:r>
                    <w:t>CTC(4)</w:t>
                  </w:r>
                </w:p>
              </w:tc>
              <w:tc>
                <w:tcPr>
                  <w:tcW w:w="1426" w:type="pct"/>
                </w:tcPr>
                <w:p w14:paraId="534CD1B4" w14:textId="77777777" w:rsidR="00A000EA" w:rsidRDefault="00A000EA" w:rsidP="00A000EA">
                  <w:pPr>
                    <w:pStyle w:val="TableBodyText"/>
                    <w:spacing w:before="40"/>
                    <w:ind w:left="0"/>
                    <w:jc w:val="left"/>
                  </w:pPr>
                  <w:r>
                    <w:t>Australia slower</w:t>
                  </w:r>
                </w:p>
                <w:p w14:paraId="4515CE3E" w14:textId="77777777" w:rsidR="00A000EA" w:rsidRDefault="00A000EA" w:rsidP="00A000EA">
                  <w:pPr>
                    <w:pStyle w:val="TableBodyText"/>
                    <w:jc w:val="left"/>
                  </w:pPr>
                </w:p>
                <w:p w14:paraId="7095F0EB" w14:textId="1EE24105" w:rsidR="00A000EA" w:rsidRDefault="00A000EA" w:rsidP="00A000EA">
                  <w:pPr>
                    <w:pStyle w:val="TableBodyText"/>
                    <w:jc w:val="left"/>
                  </w:pPr>
                  <w:r>
                    <w:t>From 5 per cent pre</w:t>
                  </w:r>
                  <w:r w:rsidR="00FE23A3">
                    <w:noBreakHyphen/>
                  </w:r>
                  <w:r>
                    <w:t>agreement and decreasing one percentage point per year to zero from 1 January 2019</w:t>
                  </w:r>
                </w:p>
              </w:tc>
              <w:tc>
                <w:tcPr>
                  <w:tcW w:w="1248" w:type="pct"/>
                </w:tcPr>
                <w:p w14:paraId="434863C1" w14:textId="77777777" w:rsidR="00A000EA" w:rsidRDefault="00A000EA" w:rsidP="00A000EA">
                  <w:pPr>
                    <w:pStyle w:val="TableBodyText"/>
                    <w:spacing w:before="40"/>
                    <w:ind w:left="0"/>
                    <w:jc w:val="left"/>
                  </w:pPr>
                  <w:r>
                    <w:t>China faster</w:t>
                  </w:r>
                </w:p>
                <w:p w14:paraId="4B27AAAB" w14:textId="77777777" w:rsidR="00A000EA" w:rsidRDefault="00A000EA" w:rsidP="00A000EA">
                  <w:pPr>
                    <w:pStyle w:val="TableBodyText"/>
                    <w:ind w:right="28"/>
                    <w:jc w:val="left"/>
                  </w:pPr>
                </w:p>
                <w:p w14:paraId="4BCB4DDE" w14:textId="77B57769" w:rsidR="00A000EA" w:rsidRDefault="00A000EA" w:rsidP="00A000EA">
                  <w:pPr>
                    <w:pStyle w:val="TableBodyText"/>
                    <w:ind w:right="28"/>
                    <w:jc w:val="left"/>
                  </w:pPr>
                  <w:r>
                    <w:t>From 4 per cent pre</w:t>
                  </w:r>
                  <w:r w:rsidR="00FE23A3">
                    <w:noBreakHyphen/>
                  </w:r>
                  <w:r>
                    <w:t>agreement  and decreasing to zero upon implementation on 20  December 2015</w:t>
                  </w:r>
                </w:p>
              </w:tc>
            </w:tr>
            <w:tr w:rsidR="00A000EA" w14:paraId="5DE42AB4" w14:textId="77777777" w:rsidTr="004766F6">
              <w:tc>
                <w:tcPr>
                  <w:tcW w:w="1825" w:type="pct"/>
                  <w:tcBorders>
                    <w:bottom w:val="single" w:sz="4" w:space="0" w:color="BFBFBF" w:themeColor="background1" w:themeShade="BF"/>
                  </w:tcBorders>
                  <w:shd w:val="clear" w:color="auto" w:fill="auto"/>
                </w:tcPr>
                <w:p w14:paraId="61F21AE4" w14:textId="4DF55017" w:rsidR="00A000EA" w:rsidRDefault="00A000EA" w:rsidP="00A000EA">
                  <w:pPr>
                    <w:pStyle w:val="TableBodyText"/>
                    <w:spacing w:before="40"/>
                    <w:ind w:left="0"/>
                    <w:jc w:val="left"/>
                  </w:pPr>
                  <w:r>
                    <w:t>Flat–rolled products of iron or non</w:t>
                  </w:r>
                  <w:r w:rsidR="00FE23A3">
                    <w:noBreakHyphen/>
                  </w:r>
                  <w:r>
                    <w:t xml:space="preserve">alloy steel, width </w:t>
                  </w:r>
                  <w:proofErr w:type="spellStart"/>
                  <w:r>
                    <w:t>600mm</w:t>
                  </w:r>
                  <w:proofErr w:type="spellEnd"/>
                  <w:r>
                    <w:t xml:space="preserve"> or more, hot rolled, not clad, plated or coated, other, in coils, not further work, thickness exceeding </w:t>
                  </w:r>
                  <w:proofErr w:type="spellStart"/>
                  <w:r>
                    <w:t>10mm</w:t>
                  </w:r>
                  <w:proofErr w:type="spellEnd"/>
                  <w:r>
                    <w:t xml:space="preserve"> (HS 7208.36)</w:t>
                  </w:r>
                </w:p>
              </w:tc>
              <w:tc>
                <w:tcPr>
                  <w:tcW w:w="501" w:type="pct"/>
                  <w:tcBorders>
                    <w:bottom w:val="single" w:sz="4" w:space="0" w:color="BFBFBF" w:themeColor="background1" w:themeShade="BF"/>
                  </w:tcBorders>
                </w:tcPr>
                <w:p w14:paraId="1FFE77DE" w14:textId="77777777" w:rsidR="00A000EA" w:rsidRDefault="00A000EA" w:rsidP="00A000EA">
                  <w:pPr>
                    <w:pStyle w:val="TableBodyText"/>
                    <w:spacing w:before="40"/>
                    <w:ind w:left="0"/>
                    <w:jc w:val="left"/>
                  </w:pPr>
                  <w:r>
                    <w:t>CTC(4)</w:t>
                  </w:r>
                </w:p>
              </w:tc>
              <w:tc>
                <w:tcPr>
                  <w:tcW w:w="1426" w:type="pct"/>
                  <w:tcBorders>
                    <w:bottom w:val="single" w:sz="4" w:space="0" w:color="BFBFBF" w:themeColor="background1" w:themeShade="BF"/>
                  </w:tcBorders>
                  <w:shd w:val="clear" w:color="auto" w:fill="auto"/>
                </w:tcPr>
                <w:p w14:paraId="00494DBA" w14:textId="77777777" w:rsidR="00A000EA" w:rsidRDefault="00A000EA" w:rsidP="00A000EA">
                  <w:pPr>
                    <w:pStyle w:val="TableBodyText"/>
                    <w:spacing w:before="40"/>
                    <w:ind w:left="0"/>
                    <w:jc w:val="left"/>
                  </w:pPr>
                  <w:r>
                    <w:t>Australia faster</w:t>
                  </w:r>
                </w:p>
                <w:p w14:paraId="17379664" w14:textId="77777777" w:rsidR="00A000EA" w:rsidRDefault="00A000EA" w:rsidP="00A000EA">
                  <w:pPr>
                    <w:pStyle w:val="TableBodyText"/>
                    <w:jc w:val="left"/>
                  </w:pPr>
                </w:p>
                <w:p w14:paraId="4A91282F" w14:textId="3F9BD9AA" w:rsidR="00A000EA" w:rsidRDefault="00A000EA" w:rsidP="00A000EA">
                  <w:pPr>
                    <w:pStyle w:val="TableBodyText"/>
                    <w:jc w:val="left"/>
                  </w:pPr>
                  <w:r>
                    <w:t>From 5 per cent pre</w:t>
                  </w:r>
                  <w:r w:rsidR="00FE23A3">
                    <w:noBreakHyphen/>
                  </w:r>
                  <w:r>
                    <w:t>agreement to zero upon implementation on 20 December 2015</w:t>
                  </w:r>
                </w:p>
              </w:tc>
              <w:tc>
                <w:tcPr>
                  <w:tcW w:w="1248" w:type="pct"/>
                  <w:tcBorders>
                    <w:bottom w:val="single" w:sz="4" w:space="0" w:color="BFBFBF" w:themeColor="background1" w:themeShade="BF"/>
                  </w:tcBorders>
                  <w:shd w:val="clear" w:color="auto" w:fill="auto"/>
                </w:tcPr>
                <w:p w14:paraId="3DBF8193" w14:textId="35B63557" w:rsidR="00A000EA" w:rsidRDefault="00A000EA" w:rsidP="00A000EA">
                  <w:pPr>
                    <w:pStyle w:val="TableBodyText"/>
                    <w:spacing w:before="40"/>
                    <w:ind w:left="0"/>
                    <w:jc w:val="left"/>
                  </w:pPr>
                  <w:r>
                    <w:t>China slower</w:t>
                  </w:r>
                  <w:r w:rsidRPr="008E77FE">
                    <w:rPr>
                      <w:rStyle w:val="NoteLabel"/>
                    </w:rPr>
                    <w:t>a</w:t>
                  </w:r>
                </w:p>
                <w:p w14:paraId="76DAC309" w14:textId="77777777" w:rsidR="00A000EA" w:rsidRDefault="00A000EA" w:rsidP="00A000EA">
                  <w:pPr>
                    <w:pStyle w:val="TableBodyText"/>
                    <w:ind w:right="28"/>
                    <w:jc w:val="left"/>
                  </w:pPr>
                </w:p>
                <w:p w14:paraId="417919EB" w14:textId="6DB0C9A9" w:rsidR="00A000EA" w:rsidRDefault="00A000EA" w:rsidP="00A000EA">
                  <w:pPr>
                    <w:pStyle w:val="TableBodyText"/>
                    <w:ind w:right="28"/>
                    <w:jc w:val="left"/>
                  </w:pPr>
                  <w:r>
                    <w:t>From 6 per cent pre</w:t>
                  </w:r>
                  <w:r w:rsidR="00FE23A3">
                    <w:noBreakHyphen/>
                  </w:r>
                  <w:r>
                    <w:t>agreement then phased 4.8, 3.6, 2.4, 1.2 and zero on 1 January 2019</w:t>
                  </w:r>
                </w:p>
              </w:tc>
            </w:tr>
            <w:tr w:rsidR="004766F6" w14:paraId="22342094" w14:textId="77777777" w:rsidTr="004766F6">
              <w:tc>
                <w:tcPr>
                  <w:tcW w:w="5000" w:type="pct"/>
                  <w:gridSpan w:val="4"/>
                  <w:tcBorders>
                    <w:top w:val="single" w:sz="4" w:space="0" w:color="BFBFBF" w:themeColor="background1" w:themeShade="BF"/>
                    <w:bottom w:val="single" w:sz="6" w:space="0" w:color="BFBFBF"/>
                  </w:tcBorders>
                  <w:shd w:val="clear" w:color="auto" w:fill="auto"/>
                </w:tcPr>
                <w:p w14:paraId="519A296D" w14:textId="02DA5CCF" w:rsidR="004766F6" w:rsidRDefault="004766F6" w:rsidP="00A000EA">
                  <w:pPr>
                    <w:pStyle w:val="TableBodyText"/>
                    <w:spacing w:before="40"/>
                    <w:ind w:left="0"/>
                    <w:jc w:val="left"/>
                  </w:pPr>
                  <w:r w:rsidRPr="008E77FE">
                    <w:rPr>
                      <w:rStyle w:val="NoteLabel"/>
                    </w:rPr>
                    <w:t>a</w:t>
                  </w:r>
                  <w:r>
                    <w:t xml:space="preserve"> China has a ‘slow’ phase for many steel products (chapter 72) even though Australia exports very little to China.</w:t>
                  </w:r>
                </w:p>
              </w:tc>
            </w:tr>
          </w:tbl>
          <w:p w14:paraId="19EDC1E0" w14:textId="77777777" w:rsidR="00A000EA" w:rsidRDefault="00A000EA" w:rsidP="00A000EA">
            <w:pPr>
              <w:pStyle w:val="Box"/>
              <w:spacing w:before="100"/>
            </w:pPr>
          </w:p>
        </w:tc>
      </w:tr>
      <w:tr w:rsidR="00A000EA" w14:paraId="4BE27415" w14:textId="77777777" w:rsidTr="00A000EA">
        <w:tc>
          <w:tcPr>
            <w:tcW w:w="5000" w:type="pct"/>
            <w:tcBorders>
              <w:top w:val="nil"/>
              <w:left w:val="nil"/>
              <w:bottom w:val="nil"/>
              <w:right w:val="nil"/>
            </w:tcBorders>
            <w:shd w:val="clear" w:color="auto" w:fill="F2F2F2"/>
          </w:tcPr>
          <w:p w14:paraId="0AFDF667" w14:textId="3BA799C4" w:rsidR="00A000EA" w:rsidRDefault="00A000EA" w:rsidP="00A000EA">
            <w:pPr>
              <w:pStyle w:val="BoxSource"/>
            </w:pPr>
            <w:r>
              <w:rPr>
                <w:i/>
              </w:rPr>
              <w:t>Source</w:t>
            </w:r>
            <w:r w:rsidRPr="00167F06">
              <w:t xml:space="preserve">: </w:t>
            </w:r>
            <w:r>
              <w:t>China</w:t>
            </w:r>
            <w:r w:rsidR="00FE23A3">
              <w:noBreakHyphen/>
            </w:r>
            <w:r>
              <w:t xml:space="preserve">Australia Free Trade Agreement, </w:t>
            </w:r>
            <w:r w:rsidR="00FE23A3">
              <w:t>c</w:t>
            </w:r>
            <w:r>
              <w:t xml:space="preserve">hapter 2, Annex I (Schedules of Tariff Reduction Commitments of Australia and China) and </w:t>
            </w:r>
            <w:r w:rsidR="00FE23A3">
              <w:t>c</w:t>
            </w:r>
            <w:r>
              <w:t>hapter 3, Annex II Product Specific Rules of Origin).</w:t>
            </w:r>
          </w:p>
        </w:tc>
      </w:tr>
      <w:tr w:rsidR="00A000EA" w14:paraId="1EA71660" w14:textId="77777777" w:rsidTr="00A000EA">
        <w:tc>
          <w:tcPr>
            <w:tcW w:w="5000" w:type="pct"/>
            <w:tcBorders>
              <w:top w:val="nil"/>
              <w:left w:val="nil"/>
              <w:bottom w:val="single" w:sz="6" w:space="0" w:color="78A22F"/>
              <w:right w:val="nil"/>
            </w:tcBorders>
            <w:shd w:val="clear" w:color="auto" w:fill="F2F2F2"/>
          </w:tcPr>
          <w:p w14:paraId="498C18FA" w14:textId="77777777" w:rsidR="00A000EA" w:rsidRDefault="00A000EA" w:rsidP="00A000EA">
            <w:pPr>
              <w:pStyle w:val="Box"/>
              <w:spacing w:before="0" w:line="120" w:lineRule="exact"/>
            </w:pPr>
          </w:p>
        </w:tc>
      </w:tr>
      <w:tr w:rsidR="00A000EA" w:rsidRPr="000863A5" w14:paraId="4FCBD08E" w14:textId="77777777" w:rsidTr="00A000EA">
        <w:tc>
          <w:tcPr>
            <w:tcW w:w="5000" w:type="pct"/>
            <w:tcBorders>
              <w:top w:val="single" w:sz="6" w:space="0" w:color="78A22F"/>
              <w:left w:val="nil"/>
              <w:bottom w:val="nil"/>
              <w:right w:val="nil"/>
            </w:tcBorders>
          </w:tcPr>
          <w:p w14:paraId="0B121567" w14:textId="6F51C651" w:rsidR="00A000EA" w:rsidRPr="00626D32" w:rsidRDefault="00A000EA" w:rsidP="00A000EA">
            <w:pPr>
              <w:pStyle w:val="BoxSpaceBelow"/>
            </w:pPr>
          </w:p>
        </w:tc>
      </w:tr>
    </w:tbl>
    <w:p w14:paraId="2E8DCB51" w14:textId="77777777" w:rsidR="00D418C1" w:rsidRDefault="00D418C1" w:rsidP="002477A5">
      <w:pPr>
        <w:pStyle w:val="Heading4"/>
      </w:pPr>
      <w:r>
        <w:lastRenderedPageBreak/>
        <w:t>How do negotiators decide on what to bargain for and with?</w:t>
      </w:r>
    </w:p>
    <w:p w14:paraId="10BDBAD8" w14:textId="09138882" w:rsidR="00A615FE" w:rsidRDefault="004F011F" w:rsidP="00A615FE">
      <w:pPr>
        <w:pStyle w:val="BodyText"/>
      </w:pPr>
      <w:r>
        <w:t>Given the approach to trade negotiations, the dec</w:t>
      </w:r>
      <w:r w:rsidR="00927B08">
        <w:t>ision process about what to offer and what to request is not at all transparent</w:t>
      </w:r>
      <w:r>
        <w:t xml:space="preserve"> </w:t>
      </w:r>
      <w:r w:rsidR="00927B08">
        <w:t>(PC</w:t>
      </w:r>
      <w:r w:rsidR="009B2C66">
        <w:t> </w:t>
      </w:r>
      <w:r w:rsidR="00927B08">
        <w:t>2010</w:t>
      </w:r>
      <w:r w:rsidR="009B2C66">
        <w:t>)</w:t>
      </w:r>
      <w:r>
        <w:t xml:space="preserve">. </w:t>
      </w:r>
      <w:r w:rsidR="00666BFE">
        <w:t>G</w:t>
      </w:r>
      <w:r w:rsidR="00927B08">
        <w:t xml:space="preserve">reater access for Australian agricultural exports is clearly an objective, as agriculture remains the most protected sector in most countries, </w:t>
      </w:r>
      <w:r w:rsidR="00666BFE">
        <w:t xml:space="preserve">but </w:t>
      </w:r>
      <w:r w:rsidR="00927B08">
        <w:t xml:space="preserve">the rest is a black box. Influence by strong industry players </w:t>
      </w:r>
      <w:r w:rsidR="009B2C66">
        <w:t>is highly likely</w:t>
      </w:r>
      <w:r w:rsidR="008043FA">
        <w:t xml:space="preserve"> to be </w:t>
      </w:r>
      <w:r w:rsidR="00927B08">
        <w:t xml:space="preserve"> part of the equation. For example, </w:t>
      </w:r>
      <w:r w:rsidR="00A615FE">
        <w:t xml:space="preserve">the US automobile sector </w:t>
      </w:r>
      <w:r w:rsidR="00927B08">
        <w:t xml:space="preserve">clearly exerted considerable influence </w:t>
      </w:r>
      <w:r w:rsidR="00A615FE">
        <w:t>during negotiations on the NAFTA.</w:t>
      </w:r>
    </w:p>
    <w:p w14:paraId="59B5B0D5" w14:textId="664C388A" w:rsidR="00A615FE" w:rsidRDefault="00A615FE" w:rsidP="00A615FE">
      <w:pPr>
        <w:pStyle w:val="Quote"/>
      </w:pPr>
      <w:r>
        <w:t>All three [U.S.] automakers had an interest in a reasonably high rule of origin to make it more difficult for European and Japanese competitors to locate assembly plants in Canada or Mexico and thereby ship finished automobiles to the United States duty</w:t>
      </w:r>
      <w:r w:rsidR="00FE23A3">
        <w:noBreakHyphen/>
      </w:r>
      <w:r>
        <w:t>free. But GM differed from Chrysler …. Because of [its] joint venture with Isuzu in Canada, GM favoured a lower rule of origin, around 60 per cent [regional content requirement]. For reasons that reflect their own patterns of production and competitive position, Ford and Chrysler preferred a higher rule, approximately 70 per cent. (Jones 2015, p.</w:t>
      </w:r>
      <w:r w:rsidR="00FE23A3">
        <w:t> </w:t>
      </w:r>
      <w:r>
        <w:t>10)</w:t>
      </w:r>
    </w:p>
    <w:p w14:paraId="2A4DB658" w14:textId="77777777" w:rsidR="00927B08" w:rsidRDefault="00927B08" w:rsidP="00232B1E">
      <w:pPr>
        <w:pStyle w:val="BodyText"/>
        <w:spacing w:before="200"/>
      </w:pPr>
      <w:r>
        <w:t xml:space="preserve">The problem with lack of transparency is that firms and industries whose interests are not paramount, may find themselves facing </w:t>
      </w:r>
      <w:proofErr w:type="spellStart"/>
      <w:r>
        <w:t>RoO</w:t>
      </w:r>
      <w:proofErr w:type="spellEnd"/>
      <w:r>
        <w:t xml:space="preserve"> that are not in their interests</w:t>
      </w:r>
      <w:r w:rsidR="000C5DE4">
        <w:t xml:space="preserve"> with little </w:t>
      </w:r>
      <w:r>
        <w:t xml:space="preserve">opportunity to </w:t>
      </w:r>
      <w:r w:rsidR="00F01537">
        <w:t xml:space="preserve">present their case. A </w:t>
      </w:r>
      <w:r w:rsidR="00F01537" w:rsidRPr="00F01537">
        <w:rPr>
          <w:i/>
        </w:rPr>
        <w:t>prima facie</w:t>
      </w:r>
      <w:r>
        <w:t xml:space="preserve"> case can be mounted that it </w:t>
      </w:r>
      <w:r w:rsidR="00F01537">
        <w:t xml:space="preserve">is the interests of large, more influential, </w:t>
      </w:r>
      <w:r>
        <w:t>firms that will be best defended in the negotiation process.</w:t>
      </w:r>
    </w:p>
    <w:p w14:paraId="02591514" w14:textId="586E3FE8" w:rsidR="00992E89" w:rsidRDefault="00927B08" w:rsidP="005C021A">
      <w:pPr>
        <w:pStyle w:val="BodyText"/>
      </w:pPr>
      <w:r>
        <w:t xml:space="preserve">A second </w:t>
      </w:r>
      <w:r w:rsidR="00992E89">
        <w:t xml:space="preserve">problem with the </w:t>
      </w:r>
      <w:proofErr w:type="spellStart"/>
      <w:r w:rsidR="00992E89">
        <w:t>RoO</w:t>
      </w:r>
      <w:proofErr w:type="spellEnd"/>
      <w:r w:rsidR="00992E89">
        <w:t xml:space="preserve"> in PTAs is that they will reflect the interests </w:t>
      </w:r>
      <w:r w:rsidR="009B2C66">
        <w:t>at</w:t>
      </w:r>
      <w:r w:rsidR="00992E89">
        <w:t xml:space="preserve"> the time the agreement </w:t>
      </w:r>
      <w:r w:rsidR="009B2C66">
        <w:t>was</w:t>
      </w:r>
      <w:r w:rsidR="00992E89">
        <w:t xml:space="preserve"> negotiat</w:t>
      </w:r>
      <w:r w:rsidR="00F53054">
        <w:t xml:space="preserve">ed. </w:t>
      </w:r>
      <w:proofErr w:type="spellStart"/>
      <w:r w:rsidR="00F53054">
        <w:t>RoO</w:t>
      </w:r>
      <w:proofErr w:type="spellEnd"/>
      <w:r w:rsidR="00992E89">
        <w:t xml:space="preserve"> rarely change after being negotiated, at least not until after many years </w:t>
      </w:r>
      <w:r w:rsidR="00F53054">
        <w:t xml:space="preserve">of </w:t>
      </w:r>
      <w:r w:rsidR="00992E89">
        <w:t xml:space="preserve">operation. They are set at a point in time (in light of current trade patterns and domestic interests) and do not recognise future changes in competitiveness/comparative advantage. Where changes have been made after a period of experience, such as the </w:t>
      </w:r>
      <w:r w:rsidR="005D58C6">
        <w:t>Australian</w:t>
      </w:r>
      <w:r w:rsidR="00FE23A3">
        <w:noBreakHyphen/>
      </w:r>
      <w:r w:rsidR="00992E89">
        <w:t xml:space="preserve">New Zealand </w:t>
      </w:r>
      <w:proofErr w:type="spellStart"/>
      <w:r w:rsidR="00992E89">
        <w:t>RoO</w:t>
      </w:r>
      <w:proofErr w:type="spellEnd"/>
      <w:r w:rsidR="00992E89">
        <w:t xml:space="preserve"> and the </w:t>
      </w:r>
      <w:r w:rsidR="009B2C66">
        <w:t>revised 2016</w:t>
      </w:r>
      <w:r w:rsidR="00992E89">
        <w:t xml:space="preserve"> Australia</w:t>
      </w:r>
      <w:r w:rsidR="00FE23A3">
        <w:noBreakHyphen/>
      </w:r>
      <w:r w:rsidR="00992E89">
        <w:t xml:space="preserve">Singapore </w:t>
      </w:r>
      <w:proofErr w:type="spellStart"/>
      <w:r w:rsidR="00992E89">
        <w:t>RoO</w:t>
      </w:r>
      <w:proofErr w:type="spellEnd"/>
      <w:r w:rsidR="009B2C66">
        <w:t xml:space="preserve"> (yet to take effect)</w:t>
      </w:r>
      <w:r w:rsidR="00992E89">
        <w:t xml:space="preserve">, they appear not </w:t>
      </w:r>
      <w:r w:rsidR="00520528">
        <w:t xml:space="preserve">to </w:t>
      </w:r>
      <w:r w:rsidR="00992E89">
        <w:t>have been significantly liberalising.</w:t>
      </w:r>
    </w:p>
    <w:p w14:paraId="2E8A6234" w14:textId="2D4C843C" w:rsidR="003C270E" w:rsidRDefault="00992E89" w:rsidP="005C021A">
      <w:pPr>
        <w:pStyle w:val="BodyText"/>
      </w:pPr>
      <w:r>
        <w:t>So h</w:t>
      </w:r>
      <w:r w:rsidR="003C270E">
        <w:t xml:space="preserve">ow do government negotiators determine what to offer and accept given the myriad of inherent and conflicting </w:t>
      </w:r>
      <w:proofErr w:type="spellStart"/>
      <w:r w:rsidR="003C270E">
        <w:t>RoO</w:t>
      </w:r>
      <w:proofErr w:type="spellEnd"/>
      <w:r w:rsidR="003C270E">
        <w:t xml:space="preserve"> preferences? </w:t>
      </w:r>
    </w:p>
    <w:p w14:paraId="2B677977" w14:textId="6109B240" w:rsidR="003A1EEF" w:rsidRDefault="00A615FE" w:rsidP="00232B1E">
      <w:pPr>
        <w:pStyle w:val="BodyText"/>
        <w:spacing w:before="200"/>
      </w:pPr>
      <w:r>
        <w:t>There does not appear to be any official Australian statements explaining how the different inherent preferences are taken into consideration.</w:t>
      </w:r>
      <w:r w:rsidRPr="004F7BDF">
        <w:t xml:space="preserve"> </w:t>
      </w:r>
      <w:r>
        <w:t xml:space="preserve">It is impossible for an ‘outsider’ to reverse engineer from economic efficiency first principles (or transhipment possibility patterns) the existing structure of </w:t>
      </w:r>
      <w:proofErr w:type="spellStart"/>
      <w:r>
        <w:t>RoO</w:t>
      </w:r>
      <w:proofErr w:type="spellEnd"/>
      <w:r>
        <w:t xml:space="preserve"> within and across agreements. You had to be there</w:t>
      </w:r>
      <w:r w:rsidR="009B2C66">
        <w:t xml:space="preserve"> —</w:t>
      </w:r>
      <w:r>
        <w:t xml:space="preserve"> only those involved in the negotiations can say what considerations and trade</w:t>
      </w:r>
      <w:r w:rsidR="00FE23A3">
        <w:noBreakHyphen/>
      </w:r>
      <w:r>
        <w:t>offs were made and why</w:t>
      </w:r>
      <w:r w:rsidR="00BD403D">
        <w:t>. W</w:t>
      </w:r>
      <w:r w:rsidR="004B6CA5">
        <w:t xml:space="preserve">hile low Australian tariff rates mean that </w:t>
      </w:r>
      <w:r w:rsidR="00490A9C">
        <w:t xml:space="preserve">the </w:t>
      </w:r>
      <w:r w:rsidR="003E39F8">
        <w:t xml:space="preserve">rate </w:t>
      </w:r>
      <w:r w:rsidR="00490A9C">
        <w:t xml:space="preserve">of preference </w:t>
      </w:r>
      <w:r w:rsidR="004B6CA5">
        <w:t xml:space="preserve">offered under a PTA </w:t>
      </w:r>
      <w:r w:rsidR="00490A9C">
        <w:t xml:space="preserve">is small for most </w:t>
      </w:r>
      <w:r w:rsidR="00F53054">
        <w:t>imports,</w:t>
      </w:r>
      <w:r w:rsidR="009B6A6B">
        <w:rPr>
          <w:rStyle w:val="FootnoteReference"/>
        </w:rPr>
        <w:footnoteReference w:id="2"/>
      </w:r>
      <w:r w:rsidR="00490A9C">
        <w:t xml:space="preserve"> </w:t>
      </w:r>
      <w:r w:rsidR="00FC7FC4">
        <w:t>the absolute saving in duty can be worthwhile</w:t>
      </w:r>
      <w:r w:rsidR="003E39F8">
        <w:t xml:space="preserve"> where the value of the shipment is large</w:t>
      </w:r>
      <w:r w:rsidR="00FC7FC4">
        <w:t xml:space="preserve">. </w:t>
      </w:r>
      <w:r w:rsidR="007D5185">
        <w:t>So import compet</w:t>
      </w:r>
      <w:r w:rsidR="003E39F8">
        <w:t>ing industries can still have reason for</w:t>
      </w:r>
      <w:r w:rsidR="00212E62">
        <w:t xml:space="preserve"> pursuing </w:t>
      </w:r>
      <w:r w:rsidR="003E39F8">
        <w:t xml:space="preserve">more stringent </w:t>
      </w:r>
      <w:proofErr w:type="spellStart"/>
      <w:r w:rsidR="003E39F8">
        <w:t>RoO</w:t>
      </w:r>
      <w:proofErr w:type="spellEnd"/>
      <w:r w:rsidR="003E39F8">
        <w:t xml:space="preserve"> </w:t>
      </w:r>
      <w:r w:rsidR="007D5185">
        <w:t xml:space="preserve">to be </w:t>
      </w:r>
      <w:r w:rsidR="003E39F8">
        <w:t>imposed on</w:t>
      </w:r>
      <w:r w:rsidR="00212E62">
        <w:t xml:space="preserve"> </w:t>
      </w:r>
      <w:r w:rsidR="00FC7FC4">
        <w:t xml:space="preserve">Australian </w:t>
      </w:r>
      <w:r w:rsidR="00212E62">
        <w:t xml:space="preserve">PTA partner exports </w:t>
      </w:r>
      <w:r w:rsidR="00212E62">
        <w:lastRenderedPageBreak/>
        <w:t xml:space="preserve">(and </w:t>
      </w:r>
      <w:r w:rsidR="00FC7FC4">
        <w:t>Australian</w:t>
      </w:r>
      <w:r w:rsidR="00212E62">
        <w:t xml:space="preserve"> imports). </w:t>
      </w:r>
      <w:r w:rsidR="00D63EA5">
        <w:t xml:space="preserve">Discussions with </w:t>
      </w:r>
      <w:proofErr w:type="spellStart"/>
      <w:r w:rsidR="00D63EA5">
        <w:t>DFAT</w:t>
      </w:r>
      <w:proofErr w:type="spellEnd"/>
      <w:r w:rsidR="00D63EA5">
        <w:t xml:space="preserve"> suggest that </w:t>
      </w:r>
      <w:r w:rsidR="00AD08BF">
        <w:t xml:space="preserve">in most cases </w:t>
      </w:r>
      <w:r w:rsidR="00D63EA5">
        <w:t xml:space="preserve">Australian firms </w:t>
      </w:r>
      <w:r w:rsidR="00AD08BF">
        <w:t xml:space="preserve">do not </w:t>
      </w:r>
      <w:r w:rsidR="00D63EA5">
        <w:t xml:space="preserve">exert pressure </w:t>
      </w:r>
      <w:r w:rsidR="00AD08BF">
        <w:t>to set</w:t>
      </w:r>
      <w:r w:rsidR="00D63EA5">
        <w:t xml:space="preserve"> stringent </w:t>
      </w:r>
      <w:proofErr w:type="spellStart"/>
      <w:r w:rsidR="00D63EA5">
        <w:t>RoO</w:t>
      </w:r>
      <w:proofErr w:type="spellEnd"/>
      <w:r w:rsidR="00D63EA5">
        <w:t xml:space="preserve"> for imports into Australia</w:t>
      </w:r>
      <w:r w:rsidR="00AD08BF">
        <w:t>. Rather</w:t>
      </w:r>
      <w:r w:rsidR="00D63EA5">
        <w:t xml:space="preserve"> </w:t>
      </w:r>
      <w:r w:rsidR="00C32FA8">
        <w:t xml:space="preserve">input suppliers </w:t>
      </w:r>
      <w:r w:rsidR="00D63EA5">
        <w:t xml:space="preserve">in partner countries </w:t>
      </w:r>
      <w:r w:rsidR="00520528">
        <w:t>may</w:t>
      </w:r>
      <w:r w:rsidR="00681A56">
        <w:t xml:space="preserve"> </w:t>
      </w:r>
      <w:r w:rsidR="00D63EA5">
        <w:t>want</w:t>
      </w:r>
      <w:r w:rsidR="00681A56">
        <w:t xml:space="preserve"> more stringent </w:t>
      </w:r>
      <w:proofErr w:type="spellStart"/>
      <w:r w:rsidR="00681A56">
        <w:t>RoO</w:t>
      </w:r>
      <w:proofErr w:type="spellEnd"/>
      <w:r w:rsidR="00681A56">
        <w:t xml:space="preserve"> </w:t>
      </w:r>
      <w:r w:rsidR="00D63EA5">
        <w:t xml:space="preserve">to </w:t>
      </w:r>
      <w:r w:rsidR="00BD403D">
        <w:t>protect</w:t>
      </w:r>
      <w:r w:rsidR="00D63EA5">
        <w:t xml:space="preserve"> the</w:t>
      </w:r>
      <w:r w:rsidR="00681A56">
        <w:t>ir role as a</w:t>
      </w:r>
      <w:r w:rsidR="00D63EA5">
        <w:t xml:space="preserve"> local content </w:t>
      </w:r>
      <w:r w:rsidR="00681A56">
        <w:t xml:space="preserve">supplier to </w:t>
      </w:r>
      <w:r w:rsidR="00BD403D">
        <w:t>their</w:t>
      </w:r>
      <w:r w:rsidR="00C32FA8">
        <w:t xml:space="preserve"> </w:t>
      </w:r>
      <w:r w:rsidR="00681A56">
        <w:t xml:space="preserve">country’s </w:t>
      </w:r>
      <w:r w:rsidR="00D63EA5">
        <w:t>export</w:t>
      </w:r>
      <w:r w:rsidR="00681A56">
        <w:t>ers</w:t>
      </w:r>
      <w:r w:rsidR="00D63EA5">
        <w:t>.</w:t>
      </w:r>
      <w:r w:rsidR="00A00BEB">
        <w:rPr>
          <w:rStyle w:val="FootnoteReference"/>
        </w:rPr>
        <w:footnoteReference w:id="3"/>
      </w:r>
      <w:r w:rsidR="00D63EA5">
        <w:t xml:space="preserve"> </w:t>
      </w:r>
      <w:r w:rsidR="00BD403D">
        <w:t>A high value added requirement</w:t>
      </w:r>
      <w:r w:rsidR="00F53054">
        <w:t xml:space="preserve"> in the </w:t>
      </w:r>
      <w:proofErr w:type="spellStart"/>
      <w:r w:rsidR="00F53054">
        <w:t>TPP</w:t>
      </w:r>
      <w:proofErr w:type="spellEnd"/>
      <w:r w:rsidR="00F53054">
        <w:t xml:space="preserve"> would, for example, </w:t>
      </w:r>
      <w:r w:rsidR="00D63EA5">
        <w:t>potentially have reduced the</w:t>
      </w:r>
      <w:r w:rsidR="00BD403D">
        <w:t xml:space="preserve"> </w:t>
      </w:r>
      <w:r w:rsidR="00D63EA5">
        <w:t xml:space="preserve">involvement </w:t>
      </w:r>
      <w:r w:rsidR="00BD403D">
        <w:t xml:space="preserve">of China </w:t>
      </w:r>
      <w:r w:rsidR="00D63EA5">
        <w:t>in the value chain for products</w:t>
      </w:r>
      <w:r w:rsidR="00BD403D">
        <w:t xml:space="preserve"> traded under the </w:t>
      </w:r>
      <w:proofErr w:type="spellStart"/>
      <w:r w:rsidR="00BD403D">
        <w:t>TPP</w:t>
      </w:r>
      <w:proofErr w:type="spellEnd"/>
      <w:r w:rsidR="00D63EA5">
        <w:t xml:space="preserve">. </w:t>
      </w:r>
      <w:r w:rsidR="00BD403D">
        <w:t>A</w:t>
      </w:r>
      <w:r w:rsidR="00D63EA5">
        <w:t xml:space="preserve">s Australia is not a major supplier </w:t>
      </w:r>
      <w:r w:rsidR="00A82DCE">
        <w:t xml:space="preserve">of intermediate goods </w:t>
      </w:r>
      <w:r w:rsidR="00D63EA5">
        <w:t xml:space="preserve">into global </w:t>
      </w:r>
      <w:r w:rsidR="00A82DCE">
        <w:t xml:space="preserve">value </w:t>
      </w:r>
      <w:r w:rsidR="00D63EA5">
        <w:t>chains</w:t>
      </w:r>
      <w:r w:rsidR="00BD403D">
        <w:t xml:space="preserve"> it has nothing to gain from such exclusions</w:t>
      </w:r>
      <w:r w:rsidR="00D63EA5">
        <w:t>.</w:t>
      </w:r>
    </w:p>
    <w:p w14:paraId="3BABA319" w14:textId="303F4772" w:rsidR="007D5185" w:rsidRDefault="00A97B2D" w:rsidP="005C021A">
      <w:pPr>
        <w:pStyle w:val="BodyText"/>
      </w:pPr>
      <w:r>
        <w:t>T</w:t>
      </w:r>
      <w:r w:rsidR="007D5185">
        <w:t xml:space="preserve">he gains from access to preferences </w:t>
      </w:r>
      <w:r>
        <w:t xml:space="preserve">for Australian exporters </w:t>
      </w:r>
      <w:r w:rsidR="005E212F">
        <w:t xml:space="preserve">can be considerable </w:t>
      </w:r>
      <w:r w:rsidR="009B6A6B">
        <w:t xml:space="preserve">where </w:t>
      </w:r>
      <w:r w:rsidR="007D5185">
        <w:t>partner countries have high MFN tariffs</w:t>
      </w:r>
      <w:r w:rsidR="009B6A6B">
        <w:t xml:space="preserve"> and/or quotas</w:t>
      </w:r>
      <w:r w:rsidR="007D5185">
        <w:t xml:space="preserve"> – especially for agriculture. </w:t>
      </w:r>
      <w:r w:rsidR="005E212F">
        <w:t xml:space="preserve">But consumers in the partner country also benefit by accessing lower cost Australian products. So the need to agree to stringent </w:t>
      </w:r>
      <w:proofErr w:type="spellStart"/>
      <w:r w:rsidR="005E212F">
        <w:t>RoO</w:t>
      </w:r>
      <w:proofErr w:type="spellEnd"/>
      <w:r w:rsidR="005E212F">
        <w:t xml:space="preserve"> </w:t>
      </w:r>
      <w:r w:rsidR="00F01537">
        <w:t xml:space="preserve">in order </w:t>
      </w:r>
      <w:r w:rsidR="005E212F">
        <w:t>to access such mutually beneficial trade</w:t>
      </w:r>
      <w:r w:rsidR="00F01537">
        <w:t xml:space="preserve"> preferences</w:t>
      </w:r>
      <w:r w:rsidR="005E212F">
        <w:t xml:space="preserve"> </w:t>
      </w:r>
      <w:r w:rsidR="00F53054">
        <w:t>is doubtful</w:t>
      </w:r>
      <w:r w:rsidR="005E212F">
        <w:t xml:space="preserve">. Moreover, as </w:t>
      </w:r>
      <w:proofErr w:type="spellStart"/>
      <w:r w:rsidR="005E212F">
        <w:t>RoO</w:t>
      </w:r>
      <w:proofErr w:type="spellEnd"/>
      <w:r w:rsidR="005E212F">
        <w:t xml:space="preserve"> restrictions are </w:t>
      </w:r>
      <w:r w:rsidR="00F01537">
        <w:t xml:space="preserve">symmetric </w:t>
      </w:r>
      <w:r w:rsidR="005E212F">
        <w:t>by convention</w:t>
      </w:r>
      <w:r w:rsidR="00C32FA8">
        <w:t xml:space="preserve"> — a product faces the same </w:t>
      </w:r>
      <w:proofErr w:type="spellStart"/>
      <w:r w:rsidR="00C32FA8">
        <w:t>RoO</w:t>
      </w:r>
      <w:proofErr w:type="spellEnd"/>
      <w:r w:rsidR="00C32FA8">
        <w:t xml:space="preserve"> whatever direction is the trade between partners —</w:t>
      </w:r>
      <w:r w:rsidR="00F53054">
        <w:t xml:space="preserve"> </w:t>
      </w:r>
      <w:proofErr w:type="spellStart"/>
      <w:r w:rsidR="00F01537">
        <w:t>RoO</w:t>
      </w:r>
      <w:proofErr w:type="spellEnd"/>
      <w:r w:rsidR="005E212F">
        <w:t xml:space="preserve"> designed to protect a partner’s import competing industries may well hamper the future development of Australian industries. For example, a</w:t>
      </w:r>
      <w:r w:rsidR="00582B59">
        <w:t>n Australian</w:t>
      </w:r>
      <w:r w:rsidR="005E212F">
        <w:t xml:space="preserve"> food processor may want to be able to import product from another country to keep plant fully utilised in the off season for Australian </w:t>
      </w:r>
      <w:r w:rsidR="00582B59">
        <w:t>sources</w:t>
      </w:r>
      <w:r w:rsidR="005E212F">
        <w:t xml:space="preserve">, yet may not be able to access preferences to export their products </w:t>
      </w:r>
      <w:r w:rsidR="00A9670B">
        <w:t xml:space="preserve">because of </w:t>
      </w:r>
      <w:proofErr w:type="spellStart"/>
      <w:r w:rsidR="00A9670B">
        <w:t>RoO</w:t>
      </w:r>
      <w:proofErr w:type="spellEnd"/>
      <w:r w:rsidR="00FC7FC4">
        <w:t xml:space="preserve"> originally designed to protect the food processing industry in the partner country</w:t>
      </w:r>
      <w:r w:rsidR="00582B59">
        <w:t>.</w:t>
      </w:r>
    </w:p>
    <w:p w14:paraId="429CB9E4" w14:textId="77777777" w:rsidR="004B6CA5" w:rsidRDefault="004B6CA5" w:rsidP="004B6CA5">
      <w:pPr>
        <w:pStyle w:val="Heading3"/>
      </w:pPr>
      <w:r>
        <w:t xml:space="preserve">Use of the preferences in Australian PTAs </w:t>
      </w:r>
    </w:p>
    <w:p w14:paraId="1194486E" w14:textId="412D755F" w:rsidR="00212E62" w:rsidRDefault="00212E62">
      <w:pPr>
        <w:pStyle w:val="BodyText"/>
      </w:pPr>
      <w:r>
        <w:t xml:space="preserve">Data on the extent to which available preferences are used </w:t>
      </w:r>
      <w:r w:rsidR="004B6CA5">
        <w:t xml:space="preserve">can </w:t>
      </w:r>
      <w:r>
        <w:t>shed some lig</w:t>
      </w:r>
      <w:r w:rsidR="00F53054">
        <w:t xml:space="preserve">ht on the stringency </w:t>
      </w:r>
      <w:r w:rsidR="00EB65AF">
        <w:t xml:space="preserve">and complexity </w:t>
      </w:r>
      <w:r w:rsidR="00F53054">
        <w:t xml:space="preserve">of the </w:t>
      </w:r>
      <w:proofErr w:type="spellStart"/>
      <w:r w:rsidR="00F53054">
        <w:t>RoO</w:t>
      </w:r>
      <w:proofErr w:type="spellEnd"/>
      <w:r>
        <w:t xml:space="preserve"> facing our importers (and partner country exporters) and our exporters in partner country markets</w:t>
      </w:r>
      <w:r w:rsidR="003E39F8">
        <w:t>.</w:t>
      </w:r>
    </w:p>
    <w:p w14:paraId="00AB6D52" w14:textId="77777777" w:rsidR="00C87095" w:rsidRDefault="00C87095" w:rsidP="00B23AF6">
      <w:pPr>
        <w:pStyle w:val="Heading4"/>
      </w:pPr>
      <w:r>
        <w:t>Imports into Australia</w:t>
      </w:r>
    </w:p>
    <w:p w14:paraId="4B8D8F99" w14:textId="76C7A87C" w:rsidR="00C743D0" w:rsidRDefault="00C743D0" w:rsidP="005C021A">
      <w:pPr>
        <w:pStyle w:val="BodyText"/>
      </w:pPr>
      <w:r>
        <w:t>In 2015</w:t>
      </w:r>
      <w:r>
        <w:noBreakHyphen/>
        <w:t>16</w:t>
      </w:r>
      <w:r w:rsidR="00810723">
        <w:t>,</w:t>
      </w:r>
      <w:r>
        <w:t xml:space="preserve"> </w:t>
      </w:r>
      <w:r w:rsidR="0019019C">
        <w:t>66</w:t>
      </w:r>
      <w:r w:rsidR="005164F1">
        <w:t> </w:t>
      </w:r>
      <w:r>
        <w:t>per</w:t>
      </w:r>
      <w:r w:rsidR="005164F1">
        <w:t> </w:t>
      </w:r>
      <w:r>
        <w:t>cent of imports into Australia came from countries with which Australia has a reciprocal preference agreement</w:t>
      </w:r>
      <w:r w:rsidR="0019019C">
        <w:t xml:space="preserve"> (table </w:t>
      </w:r>
      <w:r w:rsidR="00B1038B">
        <w:t>3</w:t>
      </w:r>
      <w:r w:rsidR="0019019C">
        <w:t>)</w:t>
      </w:r>
      <w:r>
        <w:t>.</w:t>
      </w:r>
      <w:r w:rsidR="00810723">
        <w:t xml:space="preserve"> </w:t>
      </w:r>
      <w:r w:rsidR="0019019C">
        <w:t xml:space="preserve">About </w:t>
      </w:r>
      <w:r w:rsidR="00810723">
        <w:t xml:space="preserve">one third of </w:t>
      </w:r>
      <w:r w:rsidR="0019019C">
        <w:t>these imports were of g</w:t>
      </w:r>
      <w:r w:rsidR="00810723">
        <w:t>oods that had a zero</w:t>
      </w:r>
      <w:r w:rsidR="00FE23A3">
        <w:noBreakHyphen/>
      </w:r>
      <w:r w:rsidR="00810723">
        <w:t xml:space="preserve">MFN tariff and a further 12 per cent </w:t>
      </w:r>
      <w:r w:rsidR="0019019C">
        <w:t xml:space="preserve">came in under tariff concessions separate from </w:t>
      </w:r>
      <w:r w:rsidR="005164F1">
        <w:t>a PTA</w:t>
      </w:r>
      <w:r w:rsidR="0019019C">
        <w:t xml:space="preserve"> (such as </w:t>
      </w:r>
      <w:r w:rsidR="0098696F">
        <w:t xml:space="preserve">Developing Country preferences, </w:t>
      </w:r>
      <w:r w:rsidR="0019019C">
        <w:t>Tariff Concessions Orders</w:t>
      </w:r>
      <w:r w:rsidR="00386275">
        <w:t xml:space="preserve">, </w:t>
      </w:r>
      <w:proofErr w:type="spellStart"/>
      <w:r w:rsidR="0098696F">
        <w:t>TRADEX</w:t>
      </w:r>
      <w:proofErr w:type="spellEnd"/>
      <w:r w:rsidR="0098696F">
        <w:t xml:space="preserve"> and </w:t>
      </w:r>
      <w:r w:rsidR="00212E62">
        <w:t>the</w:t>
      </w:r>
      <w:r w:rsidR="0019019C">
        <w:t xml:space="preserve"> Enhanced Project By</w:t>
      </w:r>
      <w:r w:rsidR="00FE23A3">
        <w:noBreakHyphen/>
      </w:r>
      <w:r w:rsidR="0019019C">
        <w:t xml:space="preserve">Law Scheme). </w:t>
      </w:r>
      <w:r w:rsidR="00C43A58">
        <w:t xml:space="preserve">The proportion </w:t>
      </w:r>
      <w:r w:rsidR="00810723">
        <w:t xml:space="preserve">of imports </w:t>
      </w:r>
      <w:r w:rsidR="00C43A58">
        <w:t xml:space="preserve">coming in under </w:t>
      </w:r>
      <w:r w:rsidR="00212E62">
        <w:t xml:space="preserve">a </w:t>
      </w:r>
      <w:r w:rsidR="00C43A58">
        <w:t xml:space="preserve">trade agreement preference was </w:t>
      </w:r>
      <w:r w:rsidR="00810723">
        <w:t>26 per cent.</w:t>
      </w:r>
      <w:r w:rsidR="00C43A58">
        <w:t xml:space="preserve"> The remain</w:t>
      </w:r>
      <w:r w:rsidR="00810723">
        <w:t xml:space="preserve">ing 29 per cent of imports </w:t>
      </w:r>
      <w:r w:rsidR="00C43A58">
        <w:t>paid the full MFN rate even though a preference was available under the agreement.</w:t>
      </w:r>
      <w:r w:rsidR="00C87095">
        <w:t xml:space="preserve"> </w:t>
      </w:r>
      <w:r w:rsidR="00F53054">
        <w:t>One reason why firms fail</w:t>
      </w:r>
      <w:r w:rsidR="00212E62">
        <w:t xml:space="preserve"> to use the preference </w:t>
      </w:r>
      <w:r w:rsidR="00F53054">
        <w:t>would be</w:t>
      </w:r>
      <w:r w:rsidR="00212E62">
        <w:t xml:space="preserve"> </w:t>
      </w:r>
      <w:r w:rsidR="00F53054">
        <w:t xml:space="preserve">that the imports did not qualify </w:t>
      </w:r>
      <w:r w:rsidR="00B342EE">
        <w:t xml:space="preserve">due to the stringency of the </w:t>
      </w:r>
      <w:proofErr w:type="spellStart"/>
      <w:r w:rsidR="00B342EE">
        <w:t>RoO</w:t>
      </w:r>
      <w:proofErr w:type="spellEnd"/>
      <w:r w:rsidR="00212E62">
        <w:t xml:space="preserve">. </w:t>
      </w:r>
      <w:r w:rsidR="00B342EE">
        <w:t>A second reason would be</w:t>
      </w:r>
      <w:r w:rsidR="00212E62">
        <w:t xml:space="preserve"> because the partner country exporter or Australian importer decided that the preference on offer was not worth the cos</w:t>
      </w:r>
      <w:r w:rsidR="00B342EE">
        <w:t>ts of compliance</w:t>
      </w:r>
      <w:r w:rsidR="00212E62">
        <w:t>. A third explanation is that the exporter or importer was not awa</w:t>
      </w:r>
      <w:r w:rsidR="00B342EE">
        <w:t>re of the preference</w:t>
      </w:r>
      <w:r w:rsidR="00212E62">
        <w:t>.</w:t>
      </w:r>
    </w:p>
    <w:p w14:paraId="5E070362" w14:textId="77777777" w:rsidR="005C021A" w:rsidRDefault="005C021A" w:rsidP="005C02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5C021A" w14:paraId="4CE08524" w14:textId="77777777" w:rsidTr="00BA7DB9">
        <w:tc>
          <w:tcPr>
            <w:tcW w:w="8771" w:type="dxa"/>
            <w:tcBorders>
              <w:top w:val="single" w:sz="6" w:space="0" w:color="78A22F"/>
              <w:left w:val="nil"/>
              <w:bottom w:val="nil"/>
              <w:right w:val="nil"/>
            </w:tcBorders>
            <w:shd w:val="clear" w:color="auto" w:fill="auto"/>
          </w:tcPr>
          <w:p w14:paraId="4E19B75E" w14:textId="77777777" w:rsidR="005C021A" w:rsidRDefault="005C021A" w:rsidP="00BA7DB9">
            <w:pPr>
              <w:pStyle w:val="TableTitle"/>
            </w:pPr>
            <w:r>
              <w:rPr>
                <w:b w:val="0"/>
              </w:rPr>
              <w:t>Table 3</w:t>
            </w:r>
            <w:r>
              <w:tab/>
              <w:t>Imports into Australia, 2015</w:t>
            </w:r>
            <w:r>
              <w:noBreakHyphen/>
              <w:t>16</w:t>
            </w:r>
          </w:p>
          <w:p w14:paraId="4B9C7926" w14:textId="77777777" w:rsidR="005C021A" w:rsidRPr="003D27CB" w:rsidRDefault="005C021A" w:rsidP="00BA7DB9">
            <w:pPr>
              <w:pStyle w:val="Subtitle"/>
            </w:pPr>
            <w:r w:rsidRPr="003D27CB">
              <w:t xml:space="preserve">By type of tariff entry </w:t>
            </w:r>
          </w:p>
        </w:tc>
      </w:tr>
      <w:tr w:rsidR="005C021A" w14:paraId="209A9066" w14:textId="77777777" w:rsidTr="00BA7DB9">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218"/>
              <w:gridCol w:w="1214"/>
              <w:gridCol w:w="1212"/>
              <w:gridCol w:w="1212"/>
              <w:gridCol w:w="1212"/>
              <w:gridCol w:w="1210"/>
              <w:gridCol w:w="1209"/>
            </w:tblGrid>
            <w:tr w:rsidR="004127F6" w14:paraId="473A2D54" w14:textId="4800C80A" w:rsidTr="007C3379">
              <w:trPr>
                <w:tblHeader/>
              </w:trPr>
              <w:tc>
                <w:tcPr>
                  <w:tcW w:w="718" w:type="pct"/>
                  <w:tcBorders>
                    <w:top w:val="single" w:sz="6" w:space="0" w:color="BFBFBF"/>
                    <w:bottom w:val="single" w:sz="6" w:space="0" w:color="BFBFBF"/>
                  </w:tcBorders>
                  <w:shd w:val="clear" w:color="auto" w:fill="auto"/>
                  <w:tcMar>
                    <w:top w:w="28" w:type="dxa"/>
                  </w:tcMar>
                </w:tcPr>
                <w:p w14:paraId="5C6083DA" w14:textId="77777777" w:rsidR="004127F6" w:rsidRDefault="004127F6" w:rsidP="00BA7DB9">
                  <w:pPr>
                    <w:pStyle w:val="TableColumnHeading"/>
                    <w:jc w:val="left"/>
                  </w:pPr>
                </w:p>
              </w:tc>
              <w:tc>
                <w:tcPr>
                  <w:tcW w:w="715" w:type="pct"/>
                  <w:tcBorders>
                    <w:top w:val="single" w:sz="6" w:space="0" w:color="BFBFBF"/>
                    <w:bottom w:val="single" w:sz="6" w:space="0" w:color="BFBFBF"/>
                  </w:tcBorders>
                  <w:shd w:val="clear" w:color="auto" w:fill="F2F2F2" w:themeFill="accent4"/>
                  <w:vAlign w:val="bottom"/>
                </w:tcPr>
                <w:p w14:paraId="7DAF30DC" w14:textId="77777777" w:rsidR="004127F6" w:rsidRDefault="004127F6" w:rsidP="00BA7DB9">
                  <w:pPr>
                    <w:pStyle w:val="TableColumnHeading"/>
                  </w:pPr>
                  <w:r>
                    <w:t>Total imports</w:t>
                  </w:r>
                </w:p>
              </w:tc>
              <w:tc>
                <w:tcPr>
                  <w:tcW w:w="714" w:type="pct"/>
                  <w:tcBorders>
                    <w:top w:val="single" w:sz="6" w:space="0" w:color="BFBFBF"/>
                    <w:bottom w:val="single" w:sz="6" w:space="0" w:color="BFBFBF"/>
                  </w:tcBorders>
                  <w:vAlign w:val="bottom"/>
                </w:tcPr>
                <w:p w14:paraId="44F272FD" w14:textId="77777777" w:rsidR="004127F6" w:rsidRDefault="004127F6" w:rsidP="00BA7DB9">
                  <w:pPr>
                    <w:pStyle w:val="TableColumnHeading"/>
                  </w:pPr>
                  <w:r>
                    <w:t>MFN zero</w:t>
                  </w:r>
                </w:p>
              </w:tc>
              <w:tc>
                <w:tcPr>
                  <w:tcW w:w="714" w:type="pct"/>
                  <w:tcBorders>
                    <w:top w:val="single" w:sz="6" w:space="0" w:color="BFBFBF"/>
                    <w:bottom w:val="single" w:sz="6" w:space="0" w:color="BFBFBF"/>
                  </w:tcBorders>
                  <w:vAlign w:val="bottom"/>
                </w:tcPr>
                <w:p w14:paraId="2432328C" w14:textId="77777777" w:rsidR="004127F6" w:rsidRDefault="004127F6" w:rsidP="00BA7DB9">
                  <w:pPr>
                    <w:pStyle w:val="TableColumnHeading"/>
                  </w:pPr>
                  <w:r>
                    <w:t>Other concession</w:t>
                  </w:r>
                </w:p>
              </w:tc>
              <w:tc>
                <w:tcPr>
                  <w:tcW w:w="714" w:type="pct"/>
                  <w:tcBorders>
                    <w:top w:val="single" w:sz="6" w:space="0" w:color="BFBFBF"/>
                    <w:bottom w:val="single" w:sz="6" w:space="0" w:color="BFBFBF"/>
                  </w:tcBorders>
                  <w:shd w:val="clear" w:color="auto" w:fill="auto"/>
                  <w:tcMar>
                    <w:top w:w="28" w:type="dxa"/>
                  </w:tcMar>
                  <w:vAlign w:val="bottom"/>
                </w:tcPr>
                <w:p w14:paraId="34C9E825" w14:textId="77777777" w:rsidR="004127F6" w:rsidRDefault="004127F6" w:rsidP="00BA7DB9">
                  <w:pPr>
                    <w:pStyle w:val="TableColumnHeading"/>
                  </w:pPr>
                  <w:r>
                    <w:t>Claimed the tariff concession under a trade agreement</w:t>
                  </w:r>
                  <w:r w:rsidRPr="008E77FE">
                    <w:rPr>
                      <w:rStyle w:val="NoteLabel"/>
                    </w:rPr>
                    <w:t xml:space="preserve"> a</w:t>
                  </w:r>
                  <w:r>
                    <w:t xml:space="preserve"> </w:t>
                  </w:r>
                </w:p>
              </w:tc>
              <w:tc>
                <w:tcPr>
                  <w:tcW w:w="713" w:type="pct"/>
                  <w:tcBorders>
                    <w:top w:val="single" w:sz="6" w:space="0" w:color="BFBFBF"/>
                    <w:bottom w:val="single" w:sz="6" w:space="0" w:color="BFBFBF"/>
                  </w:tcBorders>
                  <w:shd w:val="clear" w:color="auto" w:fill="auto"/>
                  <w:tcMar>
                    <w:top w:w="28" w:type="dxa"/>
                  </w:tcMar>
                  <w:vAlign w:val="bottom"/>
                </w:tcPr>
                <w:p w14:paraId="40DBB1A0" w14:textId="77777777" w:rsidR="004127F6" w:rsidRDefault="004127F6" w:rsidP="00BA7DB9">
                  <w:pPr>
                    <w:pStyle w:val="TableColumnHeading"/>
                    <w:ind w:right="28"/>
                  </w:pPr>
                  <w:r>
                    <w:t xml:space="preserve">MFN &gt;zero </w:t>
                  </w:r>
                </w:p>
              </w:tc>
              <w:tc>
                <w:tcPr>
                  <w:tcW w:w="713" w:type="pct"/>
                  <w:tcBorders>
                    <w:top w:val="single" w:sz="6" w:space="0" w:color="BFBFBF"/>
                    <w:bottom w:val="single" w:sz="6" w:space="0" w:color="BFBFBF"/>
                  </w:tcBorders>
                  <w:shd w:val="clear" w:color="auto" w:fill="F2F2F2" w:themeFill="accent4"/>
                  <w:vAlign w:val="bottom"/>
                </w:tcPr>
                <w:p w14:paraId="610712B4" w14:textId="5C91ECE4" w:rsidR="004127F6" w:rsidRDefault="004127F6" w:rsidP="004127F6">
                  <w:pPr>
                    <w:pStyle w:val="TableColumnHeading"/>
                    <w:ind w:right="28"/>
                  </w:pPr>
                  <w:r>
                    <w:t>Total</w:t>
                  </w:r>
                </w:p>
              </w:tc>
            </w:tr>
            <w:tr w:rsidR="004127F6" w14:paraId="0D7B8EFC" w14:textId="676572E2" w:rsidTr="007C3379">
              <w:tc>
                <w:tcPr>
                  <w:tcW w:w="718" w:type="pct"/>
                  <w:tcBorders>
                    <w:top w:val="single" w:sz="6" w:space="0" w:color="BFBFBF"/>
                  </w:tcBorders>
                </w:tcPr>
                <w:p w14:paraId="1DE9C011" w14:textId="77777777" w:rsidR="004127F6" w:rsidRDefault="004127F6" w:rsidP="00BA7DB9">
                  <w:pPr>
                    <w:pStyle w:val="TableUnitsRow"/>
                    <w:jc w:val="left"/>
                  </w:pPr>
                </w:p>
              </w:tc>
              <w:tc>
                <w:tcPr>
                  <w:tcW w:w="715" w:type="pct"/>
                  <w:tcBorders>
                    <w:top w:val="single" w:sz="6" w:space="0" w:color="BFBFBF"/>
                  </w:tcBorders>
                  <w:shd w:val="clear" w:color="auto" w:fill="F2F2F2" w:themeFill="accent4"/>
                </w:tcPr>
                <w:p w14:paraId="2B7A09C5" w14:textId="0A27080A" w:rsidR="004127F6" w:rsidRDefault="00255939" w:rsidP="00BA7DB9">
                  <w:pPr>
                    <w:pStyle w:val="TableUnitsRow"/>
                  </w:pPr>
                  <w:r>
                    <w:t>%</w:t>
                  </w:r>
                  <w:r w:rsidR="004127F6">
                    <w:t xml:space="preserve"> of value</w:t>
                  </w:r>
                </w:p>
              </w:tc>
              <w:tc>
                <w:tcPr>
                  <w:tcW w:w="714" w:type="pct"/>
                  <w:tcBorders>
                    <w:top w:val="single" w:sz="6" w:space="0" w:color="BFBFBF"/>
                  </w:tcBorders>
                </w:tcPr>
                <w:p w14:paraId="03D589E3" w14:textId="6C6A3812" w:rsidR="004127F6" w:rsidRDefault="00255939" w:rsidP="00BA7DB9">
                  <w:pPr>
                    <w:pStyle w:val="TableUnitsRow"/>
                  </w:pPr>
                  <w:r>
                    <w:t>%</w:t>
                  </w:r>
                  <w:r w:rsidR="004127F6">
                    <w:t xml:space="preserve"> of value</w:t>
                  </w:r>
                </w:p>
              </w:tc>
              <w:tc>
                <w:tcPr>
                  <w:tcW w:w="714" w:type="pct"/>
                  <w:tcBorders>
                    <w:top w:val="single" w:sz="6" w:space="0" w:color="BFBFBF"/>
                  </w:tcBorders>
                </w:tcPr>
                <w:p w14:paraId="3217693C" w14:textId="3E497C9A" w:rsidR="004127F6" w:rsidRDefault="00255939" w:rsidP="00BA7DB9">
                  <w:pPr>
                    <w:pStyle w:val="TableUnitsRow"/>
                  </w:pPr>
                  <w:r>
                    <w:t>% of</w:t>
                  </w:r>
                  <w:r w:rsidR="004127F6">
                    <w:t xml:space="preserve"> value</w:t>
                  </w:r>
                </w:p>
              </w:tc>
              <w:tc>
                <w:tcPr>
                  <w:tcW w:w="714" w:type="pct"/>
                  <w:tcBorders>
                    <w:top w:val="single" w:sz="6" w:space="0" w:color="BFBFBF"/>
                  </w:tcBorders>
                </w:tcPr>
                <w:p w14:paraId="472CFD3C" w14:textId="59FD0347" w:rsidR="004127F6" w:rsidRDefault="00255939" w:rsidP="00BA7DB9">
                  <w:pPr>
                    <w:pStyle w:val="TableUnitsRow"/>
                  </w:pPr>
                  <w:r>
                    <w:t>% of value</w:t>
                  </w:r>
                </w:p>
              </w:tc>
              <w:tc>
                <w:tcPr>
                  <w:tcW w:w="713" w:type="pct"/>
                  <w:tcBorders>
                    <w:top w:val="single" w:sz="6" w:space="0" w:color="BFBFBF"/>
                  </w:tcBorders>
                </w:tcPr>
                <w:p w14:paraId="23FBC9DB" w14:textId="0CCEDFDF" w:rsidR="004127F6" w:rsidRDefault="00255939" w:rsidP="00BA7DB9">
                  <w:pPr>
                    <w:pStyle w:val="TableUnitsRow"/>
                    <w:ind w:right="28"/>
                    <w:rPr>
                      <w:rStyle w:val="NoteLabel"/>
                    </w:rPr>
                  </w:pPr>
                  <w:r>
                    <w:t>% of value</w:t>
                  </w:r>
                </w:p>
              </w:tc>
              <w:tc>
                <w:tcPr>
                  <w:tcW w:w="713" w:type="pct"/>
                  <w:tcBorders>
                    <w:top w:val="single" w:sz="6" w:space="0" w:color="BFBFBF"/>
                  </w:tcBorders>
                  <w:shd w:val="clear" w:color="auto" w:fill="F2F2F2" w:themeFill="accent4"/>
                </w:tcPr>
                <w:p w14:paraId="39F52CBB" w14:textId="450A8ADA" w:rsidR="004127F6" w:rsidRDefault="00255939" w:rsidP="00BA7DB9">
                  <w:pPr>
                    <w:pStyle w:val="TableUnitsRow"/>
                    <w:ind w:right="28"/>
                  </w:pPr>
                  <w:r>
                    <w:t>% of value</w:t>
                  </w:r>
                </w:p>
              </w:tc>
            </w:tr>
            <w:tr w:rsidR="004127F6" w14:paraId="6435DC11" w14:textId="0DC1D99A" w:rsidTr="007C3379">
              <w:tc>
                <w:tcPr>
                  <w:tcW w:w="718" w:type="pct"/>
                  <w:tcBorders>
                    <w:top w:val="single" w:sz="6" w:space="0" w:color="BFBFBF"/>
                  </w:tcBorders>
                </w:tcPr>
                <w:p w14:paraId="58290468" w14:textId="77777777" w:rsidR="004127F6" w:rsidRDefault="004127F6" w:rsidP="00BA7DB9">
                  <w:pPr>
                    <w:pStyle w:val="TableUnitsRow"/>
                    <w:jc w:val="left"/>
                  </w:pPr>
                  <w:r>
                    <w:t>From trade agreement partners</w:t>
                  </w:r>
                </w:p>
              </w:tc>
              <w:tc>
                <w:tcPr>
                  <w:tcW w:w="715" w:type="pct"/>
                  <w:tcBorders>
                    <w:top w:val="single" w:sz="6" w:space="0" w:color="BFBFBF"/>
                  </w:tcBorders>
                  <w:shd w:val="clear" w:color="auto" w:fill="F2F2F2" w:themeFill="accent4"/>
                </w:tcPr>
                <w:p w14:paraId="389ADFBA" w14:textId="77777777" w:rsidR="004127F6" w:rsidRDefault="004127F6" w:rsidP="00BA7DB9">
                  <w:pPr>
                    <w:pStyle w:val="TableUnitsRow"/>
                  </w:pPr>
                  <w:r>
                    <w:t>66</w:t>
                  </w:r>
                </w:p>
              </w:tc>
              <w:tc>
                <w:tcPr>
                  <w:tcW w:w="714" w:type="pct"/>
                  <w:tcBorders>
                    <w:top w:val="single" w:sz="6" w:space="0" w:color="BFBFBF"/>
                  </w:tcBorders>
                </w:tcPr>
                <w:p w14:paraId="2885A329" w14:textId="77777777" w:rsidR="004127F6" w:rsidRDefault="004127F6" w:rsidP="00BA7DB9">
                  <w:pPr>
                    <w:pStyle w:val="TableUnitsRow"/>
                  </w:pPr>
                  <w:r>
                    <w:t>32</w:t>
                  </w:r>
                </w:p>
              </w:tc>
              <w:tc>
                <w:tcPr>
                  <w:tcW w:w="714" w:type="pct"/>
                  <w:tcBorders>
                    <w:top w:val="single" w:sz="6" w:space="0" w:color="BFBFBF"/>
                  </w:tcBorders>
                </w:tcPr>
                <w:p w14:paraId="29D12567" w14:textId="77777777" w:rsidR="004127F6" w:rsidRDefault="004127F6" w:rsidP="00BA7DB9">
                  <w:pPr>
                    <w:pStyle w:val="TableUnitsRow"/>
                  </w:pPr>
                  <w:r>
                    <w:t>12</w:t>
                  </w:r>
                </w:p>
              </w:tc>
              <w:tc>
                <w:tcPr>
                  <w:tcW w:w="714" w:type="pct"/>
                  <w:tcBorders>
                    <w:top w:val="single" w:sz="6" w:space="0" w:color="BFBFBF"/>
                  </w:tcBorders>
                </w:tcPr>
                <w:p w14:paraId="57949B29" w14:textId="77777777" w:rsidR="004127F6" w:rsidRDefault="004127F6" w:rsidP="00BA7DB9">
                  <w:pPr>
                    <w:pStyle w:val="TableUnitsRow"/>
                  </w:pPr>
                  <w:r>
                    <w:t>26</w:t>
                  </w:r>
                </w:p>
              </w:tc>
              <w:tc>
                <w:tcPr>
                  <w:tcW w:w="713" w:type="pct"/>
                  <w:tcBorders>
                    <w:top w:val="single" w:sz="6" w:space="0" w:color="BFBFBF"/>
                  </w:tcBorders>
                </w:tcPr>
                <w:p w14:paraId="7B115D51" w14:textId="3999036D" w:rsidR="004127F6" w:rsidRDefault="004127F6" w:rsidP="00BA7DB9">
                  <w:pPr>
                    <w:pStyle w:val="TableUnitsRow"/>
                    <w:ind w:right="28"/>
                  </w:pPr>
                  <w:r>
                    <w:t>29</w:t>
                  </w:r>
                  <w:r>
                    <w:rPr>
                      <w:rStyle w:val="NoteLabel"/>
                    </w:rPr>
                    <w:t xml:space="preserve"> b</w:t>
                  </w:r>
                </w:p>
              </w:tc>
              <w:tc>
                <w:tcPr>
                  <w:tcW w:w="713" w:type="pct"/>
                  <w:tcBorders>
                    <w:top w:val="single" w:sz="6" w:space="0" w:color="BFBFBF"/>
                  </w:tcBorders>
                  <w:shd w:val="clear" w:color="auto" w:fill="F2F2F2" w:themeFill="accent4"/>
                </w:tcPr>
                <w:p w14:paraId="60C5B05A" w14:textId="2958E400" w:rsidR="004127F6" w:rsidRDefault="00255939" w:rsidP="00BA7DB9">
                  <w:pPr>
                    <w:pStyle w:val="TableUnitsRow"/>
                    <w:ind w:right="28"/>
                  </w:pPr>
                  <w:r>
                    <w:t>100</w:t>
                  </w:r>
                </w:p>
              </w:tc>
            </w:tr>
            <w:tr w:rsidR="004127F6" w14:paraId="721F6CF0" w14:textId="1B0B4A82" w:rsidTr="007C3379">
              <w:tc>
                <w:tcPr>
                  <w:tcW w:w="718" w:type="pct"/>
                </w:tcPr>
                <w:p w14:paraId="01486AE5" w14:textId="77777777" w:rsidR="004127F6" w:rsidRDefault="004127F6" w:rsidP="00BA7DB9">
                  <w:pPr>
                    <w:pStyle w:val="TableBodyText"/>
                    <w:jc w:val="left"/>
                  </w:pPr>
                  <w:r>
                    <w:t>From Rest of the World</w:t>
                  </w:r>
                </w:p>
              </w:tc>
              <w:tc>
                <w:tcPr>
                  <w:tcW w:w="715" w:type="pct"/>
                  <w:shd w:val="clear" w:color="auto" w:fill="F2F2F2" w:themeFill="accent4"/>
                </w:tcPr>
                <w:p w14:paraId="52398A30" w14:textId="77777777" w:rsidR="004127F6" w:rsidRDefault="004127F6" w:rsidP="00BA7DB9">
                  <w:pPr>
                    <w:pStyle w:val="TableBodyText"/>
                  </w:pPr>
                  <w:r>
                    <w:t>33</w:t>
                  </w:r>
                </w:p>
              </w:tc>
              <w:tc>
                <w:tcPr>
                  <w:tcW w:w="714" w:type="pct"/>
                </w:tcPr>
                <w:p w14:paraId="047739B8" w14:textId="77777777" w:rsidR="004127F6" w:rsidRDefault="004127F6" w:rsidP="00BA7DB9">
                  <w:pPr>
                    <w:pStyle w:val="TableBodyText"/>
                  </w:pPr>
                  <w:r>
                    <w:t>45</w:t>
                  </w:r>
                </w:p>
              </w:tc>
              <w:tc>
                <w:tcPr>
                  <w:tcW w:w="714" w:type="pct"/>
                </w:tcPr>
                <w:p w14:paraId="6CEE0475" w14:textId="77777777" w:rsidR="004127F6" w:rsidRDefault="004127F6" w:rsidP="00BA7DB9">
                  <w:pPr>
                    <w:pStyle w:val="TableBodyText"/>
                  </w:pPr>
                  <w:r>
                    <w:t>6</w:t>
                  </w:r>
                </w:p>
              </w:tc>
              <w:tc>
                <w:tcPr>
                  <w:tcW w:w="714" w:type="pct"/>
                </w:tcPr>
                <w:p w14:paraId="022DFAB0" w14:textId="77777777" w:rsidR="004127F6" w:rsidRDefault="004127F6" w:rsidP="00BA7DB9">
                  <w:pPr>
                    <w:pStyle w:val="TableBodyText"/>
                  </w:pPr>
                  <w:r>
                    <w:t>Not applicable</w:t>
                  </w:r>
                </w:p>
              </w:tc>
              <w:tc>
                <w:tcPr>
                  <w:tcW w:w="713" w:type="pct"/>
                </w:tcPr>
                <w:p w14:paraId="38F6E0EB" w14:textId="77777777" w:rsidR="004127F6" w:rsidRDefault="004127F6" w:rsidP="00BA7DB9">
                  <w:pPr>
                    <w:pStyle w:val="TableBodyText"/>
                    <w:ind w:right="28"/>
                  </w:pPr>
                  <w:r>
                    <w:t>49</w:t>
                  </w:r>
                </w:p>
              </w:tc>
              <w:tc>
                <w:tcPr>
                  <w:tcW w:w="713" w:type="pct"/>
                  <w:shd w:val="clear" w:color="auto" w:fill="F2F2F2" w:themeFill="accent4"/>
                </w:tcPr>
                <w:p w14:paraId="1B362097" w14:textId="52B97B95" w:rsidR="004127F6" w:rsidRDefault="00255939" w:rsidP="00BA7DB9">
                  <w:pPr>
                    <w:pStyle w:val="TableBodyText"/>
                    <w:ind w:right="28"/>
                  </w:pPr>
                  <w:r>
                    <w:t>100</w:t>
                  </w:r>
                </w:p>
              </w:tc>
            </w:tr>
            <w:tr w:rsidR="004127F6" w14:paraId="7D1F7986" w14:textId="068CFFA6" w:rsidTr="007C3379">
              <w:tc>
                <w:tcPr>
                  <w:tcW w:w="718" w:type="pct"/>
                  <w:tcBorders>
                    <w:bottom w:val="single" w:sz="6" w:space="0" w:color="BFBFBF"/>
                  </w:tcBorders>
                  <w:shd w:val="clear" w:color="auto" w:fill="auto"/>
                </w:tcPr>
                <w:p w14:paraId="3AA334AA" w14:textId="77777777" w:rsidR="004127F6" w:rsidRDefault="004127F6" w:rsidP="00BA7DB9">
                  <w:pPr>
                    <w:pStyle w:val="TableBodyText"/>
                    <w:jc w:val="left"/>
                  </w:pPr>
                </w:p>
              </w:tc>
              <w:tc>
                <w:tcPr>
                  <w:tcW w:w="715" w:type="pct"/>
                  <w:tcBorders>
                    <w:bottom w:val="single" w:sz="6" w:space="0" w:color="BFBFBF"/>
                  </w:tcBorders>
                  <w:shd w:val="clear" w:color="auto" w:fill="F2F2F2" w:themeFill="accent4"/>
                </w:tcPr>
                <w:p w14:paraId="222832CE" w14:textId="77777777" w:rsidR="004127F6" w:rsidRDefault="004127F6" w:rsidP="00BA7DB9">
                  <w:pPr>
                    <w:pStyle w:val="TableBodyText"/>
                  </w:pPr>
                  <w:r>
                    <w:t>100</w:t>
                  </w:r>
                </w:p>
              </w:tc>
              <w:tc>
                <w:tcPr>
                  <w:tcW w:w="714" w:type="pct"/>
                  <w:tcBorders>
                    <w:bottom w:val="single" w:sz="6" w:space="0" w:color="BFBFBF"/>
                  </w:tcBorders>
                </w:tcPr>
                <w:p w14:paraId="7B31C287" w14:textId="77777777" w:rsidR="004127F6" w:rsidRDefault="004127F6" w:rsidP="00BA7DB9">
                  <w:pPr>
                    <w:pStyle w:val="TableBodyText"/>
                  </w:pPr>
                </w:p>
              </w:tc>
              <w:tc>
                <w:tcPr>
                  <w:tcW w:w="714" w:type="pct"/>
                  <w:tcBorders>
                    <w:bottom w:val="single" w:sz="6" w:space="0" w:color="BFBFBF"/>
                  </w:tcBorders>
                </w:tcPr>
                <w:p w14:paraId="3F00B000" w14:textId="77777777" w:rsidR="004127F6" w:rsidRDefault="004127F6" w:rsidP="00BA7DB9">
                  <w:pPr>
                    <w:pStyle w:val="TableBodyText"/>
                  </w:pPr>
                </w:p>
              </w:tc>
              <w:tc>
                <w:tcPr>
                  <w:tcW w:w="714" w:type="pct"/>
                  <w:tcBorders>
                    <w:bottom w:val="single" w:sz="6" w:space="0" w:color="BFBFBF"/>
                  </w:tcBorders>
                  <w:shd w:val="clear" w:color="auto" w:fill="auto"/>
                </w:tcPr>
                <w:p w14:paraId="186CCCB0" w14:textId="77777777" w:rsidR="004127F6" w:rsidRDefault="004127F6" w:rsidP="00BA7DB9">
                  <w:pPr>
                    <w:pStyle w:val="TableBodyText"/>
                  </w:pPr>
                </w:p>
              </w:tc>
              <w:tc>
                <w:tcPr>
                  <w:tcW w:w="713" w:type="pct"/>
                  <w:tcBorders>
                    <w:bottom w:val="single" w:sz="6" w:space="0" w:color="BFBFBF"/>
                  </w:tcBorders>
                  <w:shd w:val="clear" w:color="auto" w:fill="auto"/>
                </w:tcPr>
                <w:p w14:paraId="20F549DD" w14:textId="77777777" w:rsidR="004127F6" w:rsidRDefault="004127F6" w:rsidP="00BA7DB9">
                  <w:pPr>
                    <w:pStyle w:val="TableBodyText"/>
                    <w:ind w:right="28"/>
                  </w:pPr>
                </w:p>
              </w:tc>
              <w:tc>
                <w:tcPr>
                  <w:tcW w:w="713" w:type="pct"/>
                  <w:tcBorders>
                    <w:bottom w:val="single" w:sz="6" w:space="0" w:color="BFBFBF"/>
                  </w:tcBorders>
                  <w:shd w:val="clear" w:color="auto" w:fill="F2F2F2" w:themeFill="accent4"/>
                </w:tcPr>
                <w:p w14:paraId="6A383F05" w14:textId="77777777" w:rsidR="004127F6" w:rsidRDefault="004127F6" w:rsidP="00BA7DB9">
                  <w:pPr>
                    <w:pStyle w:val="TableBodyText"/>
                    <w:ind w:right="28"/>
                  </w:pPr>
                </w:p>
              </w:tc>
            </w:tr>
          </w:tbl>
          <w:p w14:paraId="3B860C81" w14:textId="77777777" w:rsidR="005C021A" w:rsidRDefault="005C021A" w:rsidP="00BA7DB9">
            <w:pPr>
              <w:pStyle w:val="Box"/>
            </w:pPr>
          </w:p>
        </w:tc>
      </w:tr>
      <w:tr w:rsidR="005C021A" w14:paraId="44C5C7E4" w14:textId="77777777" w:rsidTr="00BA7DB9">
        <w:tc>
          <w:tcPr>
            <w:tcW w:w="8771" w:type="dxa"/>
            <w:tcBorders>
              <w:top w:val="nil"/>
              <w:left w:val="nil"/>
              <w:bottom w:val="nil"/>
              <w:right w:val="nil"/>
            </w:tcBorders>
            <w:shd w:val="clear" w:color="auto" w:fill="auto"/>
          </w:tcPr>
          <w:p w14:paraId="64A2633B" w14:textId="72083CFB" w:rsidR="005C021A" w:rsidRDefault="005C021A" w:rsidP="00BA7DB9">
            <w:pPr>
              <w:pStyle w:val="Note"/>
              <w:rPr>
                <w:i/>
              </w:rPr>
            </w:pPr>
            <w:r w:rsidRPr="008E77FE">
              <w:rPr>
                <w:rStyle w:val="NoteLabel"/>
              </w:rPr>
              <w:t>a</w:t>
            </w:r>
            <w:r>
              <w:t xml:space="preserve"> Some concessions still involve some tariff duty, where the preference rat</w:t>
            </w:r>
            <w:r w:rsidR="00255939">
              <w:t>e has yet to be reduced to zero</w:t>
            </w:r>
            <w:r>
              <w:t xml:space="preserve">. </w:t>
            </w:r>
            <w:r>
              <w:rPr>
                <w:rStyle w:val="NoteLabel"/>
              </w:rPr>
              <w:t>b</w:t>
            </w:r>
            <w:r>
              <w:t xml:space="preserve"> This is biased up because it includes some trade that was not eligible under the agreements. However, the bias should be small because PTAs are required to cover ‘substantially all trade’ to be WTO compliant.</w:t>
            </w:r>
          </w:p>
        </w:tc>
      </w:tr>
      <w:tr w:rsidR="005C021A" w14:paraId="748DE7B1" w14:textId="77777777" w:rsidTr="00BA7DB9">
        <w:tc>
          <w:tcPr>
            <w:tcW w:w="8771" w:type="dxa"/>
            <w:tcBorders>
              <w:top w:val="nil"/>
              <w:left w:val="nil"/>
              <w:bottom w:val="nil"/>
              <w:right w:val="nil"/>
            </w:tcBorders>
            <w:shd w:val="clear" w:color="auto" w:fill="auto"/>
          </w:tcPr>
          <w:p w14:paraId="72926086" w14:textId="77777777" w:rsidR="005C021A" w:rsidRDefault="005C021A" w:rsidP="00BA7DB9">
            <w:pPr>
              <w:pStyle w:val="Source"/>
            </w:pPr>
            <w:r>
              <w:rPr>
                <w:i/>
              </w:rPr>
              <w:t>Source</w:t>
            </w:r>
            <w:r w:rsidRPr="00167F06">
              <w:t xml:space="preserve">: </w:t>
            </w:r>
            <w:r>
              <w:t>Commission estimates based on ABS (2016).</w:t>
            </w:r>
          </w:p>
        </w:tc>
      </w:tr>
      <w:tr w:rsidR="005C021A" w14:paraId="754CBF81" w14:textId="77777777" w:rsidTr="00BA7DB9">
        <w:tc>
          <w:tcPr>
            <w:tcW w:w="8771" w:type="dxa"/>
            <w:tcBorders>
              <w:top w:val="nil"/>
              <w:left w:val="nil"/>
              <w:bottom w:val="single" w:sz="6" w:space="0" w:color="78A22F"/>
              <w:right w:val="nil"/>
            </w:tcBorders>
            <w:shd w:val="clear" w:color="auto" w:fill="auto"/>
          </w:tcPr>
          <w:p w14:paraId="02FE6A9D" w14:textId="77777777" w:rsidR="005C021A" w:rsidRDefault="005C021A" w:rsidP="00BA7DB9">
            <w:pPr>
              <w:pStyle w:val="Box"/>
              <w:spacing w:before="0" w:line="120" w:lineRule="exact"/>
            </w:pPr>
          </w:p>
        </w:tc>
      </w:tr>
      <w:tr w:rsidR="005C021A" w:rsidRPr="000863A5" w14:paraId="05FEE970" w14:textId="77777777" w:rsidTr="00BA7DB9">
        <w:tc>
          <w:tcPr>
            <w:tcW w:w="8771" w:type="dxa"/>
            <w:tcBorders>
              <w:top w:val="single" w:sz="6" w:space="0" w:color="78A22F"/>
              <w:left w:val="nil"/>
              <w:bottom w:val="nil"/>
              <w:right w:val="nil"/>
            </w:tcBorders>
          </w:tcPr>
          <w:p w14:paraId="1C5BBA18" w14:textId="77777777" w:rsidR="005C021A" w:rsidRPr="00626D32" w:rsidRDefault="005C021A" w:rsidP="00BA7DB9">
            <w:pPr>
              <w:pStyle w:val="BoxSpaceBelow"/>
            </w:pPr>
          </w:p>
        </w:tc>
      </w:tr>
    </w:tbl>
    <w:p w14:paraId="6B41EAF4" w14:textId="77777777" w:rsidR="005F2A6D" w:rsidRDefault="005F2A6D" w:rsidP="00EC631A">
      <w:pPr>
        <w:pStyle w:val="BodyText"/>
        <w:spacing w:before="200"/>
      </w:pPr>
      <w:r>
        <w:t>The pattern of liberalised trade and preference usage differs widely among Australia’s agreements (figure 2). At the country level, imports from New Zealand had the highest proportion of duty free or concessional entry (98 per cent), while China had the lowest (55 per cent).</w:t>
      </w:r>
    </w:p>
    <w:p w14:paraId="6B84D455" w14:textId="755E821D" w:rsidR="005C021A" w:rsidRDefault="005C021A" w:rsidP="00EC631A">
      <w:pPr>
        <w:pStyle w:val="BodyText"/>
        <w:spacing w:before="200"/>
      </w:pPr>
      <w:r>
        <w:t xml:space="preserve">The </w:t>
      </w:r>
      <w:r w:rsidRPr="00810723">
        <w:rPr>
          <w:i/>
        </w:rPr>
        <w:t xml:space="preserve">relative </w:t>
      </w:r>
      <w:r>
        <w:t>contribution of zero MFN tariffs, other concessions and trade preferences to overall liberalised trade varies across agreements. Chile enjoys most (74 per cent) of its liberalised trade with Australia in the form of zero</w:t>
      </w:r>
      <w:r w:rsidR="00FE23A3">
        <w:noBreakHyphen/>
      </w:r>
      <w:r>
        <w:t>MFN tariffs. Singapore enjoys most (74 per cent) of its liberalised trade in the form of non</w:t>
      </w:r>
      <w:r w:rsidR="00FE23A3">
        <w:noBreakHyphen/>
      </w:r>
      <w:r>
        <w:t>agreement preferences. Thailand enjoys most (78 per cent) of its liberalised trade in the form of agreement preferences. Overall, more imports (44 per cent) from trade agreement partners came into Australia in 2015</w:t>
      </w:r>
      <w:r>
        <w:noBreakHyphen/>
        <w:t>16 via zero MFN and non</w:t>
      </w:r>
      <w:r w:rsidR="00FE23A3">
        <w:noBreakHyphen/>
      </w:r>
      <w:r>
        <w:t xml:space="preserve">agreement preferences than the PTA preferences (26 per cent). </w:t>
      </w:r>
      <w:proofErr w:type="spellStart"/>
      <w:r>
        <w:t>Pomfret</w:t>
      </w:r>
      <w:proofErr w:type="spellEnd"/>
      <w:r>
        <w:t xml:space="preserve"> et. al. (2009) studied </w:t>
      </w:r>
      <w:r w:rsidR="00520528">
        <w:t xml:space="preserve">Australian import </w:t>
      </w:r>
      <w:r>
        <w:t>patterns before and after trade agreements over 2000</w:t>
      </w:r>
      <w:r w:rsidR="00FE23A3">
        <w:t>–</w:t>
      </w:r>
      <w:r>
        <w:t xml:space="preserve">2009 and found </w:t>
      </w:r>
      <w:r w:rsidRPr="007A7561">
        <w:t>little evidence of expanded use of concessions (either trade agreement preferences or other concessions) relative to zero</w:t>
      </w:r>
      <w:r w:rsidR="00FE23A3">
        <w:noBreakHyphen/>
      </w:r>
      <w:r w:rsidRPr="007A7561">
        <w:t>MFN imports</w:t>
      </w:r>
      <w:r>
        <w:t>.</w:t>
      </w:r>
    </w:p>
    <w:p w14:paraId="69F7F07C" w14:textId="77777777" w:rsidR="00EC631A" w:rsidRDefault="00EC631A" w:rsidP="00EC631A">
      <w:pPr>
        <w:pStyle w:val="BodyText"/>
        <w:spacing w:before="200"/>
      </w:pPr>
      <w:proofErr w:type="spellStart"/>
      <w:r>
        <w:t>RoO</w:t>
      </w:r>
      <w:proofErr w:type="spellEnd"/>
      <w:r>
        <w:t xml:space="preserve"> are likely to be acting as a constraint on trade where imports come in at the full MFN tariff rather than the trade agreement preference. The relatively low share of preference use on imports from Singapore, Malaysia, China and </w:t>
      </w:r>
      <w:proofErr w:type="spellStart"/>
      <w:r>
        <w:t>AANZFTA</w:t>
      </w:r>
      <w:proofErr w:type="spellEnd"/>
      <w:r>
        <w:t xml:space="preserve"> (figure 3) suggests that either the </w:t>
      </w:r>
      <w:proofErr w:type="spellStart"/>
      <w:r>
        <w:t>RoO</w:t>
      </w:r>
      <w:proofErr w:type="spellEnd"/>
      <w:r>
        <w:t xml:space="preserve"> was too restrictive, the compliance cost of the </w:t>
      </w:r>
      <w:proofErr w:type="spellStart"/>
      <w:r>
        <w:t>RoO</w:t>
      </w:r>
      <w:proofErr w:type="spellEnd"/>
      <w:r>
        <w:t xml:space="preserve"> exceeded the potential benefit of the preference, or importers (and these countries exporters) were unaware of the preference.</w:t>
      </w:r>
    </w:p>
    <w:p w14:paraId="1650BC26" w14:textId="77777777" w:rsidR="005F2A6D" w:rsidRDefault="005F2A6D" w:rsidP="005F2A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5F2A6D" w14:paraId="7D796660" w14:textId="77777777" w:rsidTr="00666BFE">
        <w:trPr>
          <w:tblHeader/>
        </w:trPr>
        <w:tc>
          <w:tcPr>
            <w:tcW w:w="8771" w:type="dxa"/>
            <w:tcBorders>
              <w:top w:val="single" w:sz="6" w:space="0" w:color="78A22F"/>
              <w:left w:val="nil"/>
              <w:bottom w:val="nil"/>
              <w:right w:val="nil"/>
            </w:tcBorders>
            <w:shd w:val="clear" w:color="auto" w:fill="auto"/>
          </w:tcPr>
          <w:p w14:paraId="324EB986" w14:textId="6D24A04E" w:rsidR="005F2A6D" w:rsidRDefault="005F2A6D" w:rsidP="00666BFE">
            <w:pPr>
              <w:pStyle w:val="FigureTitle"/>
            </w:pPr>
            <w:r w:rsidRPr="00784A05">
              <w:rPr>
                <w:b w:val="0"/>
              </w:rPr>
              <w:t xml:space="preserve">Figure </w:t>
            </w:r>
            <w:r>
              <w:rPr>
                <w:b w:val="0"/>
              </w:rPr>
              <w:t>2</w:t>
            </w:r>
            <w:r>
              <w:rPr>
                <w:b w:val="0"/>
              </w:rPr>
              <w:tab/>
            </w:r>
            <w:r>
              <w:t>Imports into Australia, 2015</w:t>
            </w:r>
            <w:r w:rsidR="00FE23A3">
              <w:noBreakHyphen/>
            </w:r>
            <w:r>
              <w:t>16</w:t>
            </w:r>
          </w:p>
          <w:p w14:paraId="11301A9B" w14:textId="77777777" w:rsidR="005F2A6D" w:rsidRPr="003D27CB" w:rsidRDefault="005F2A6D" w:rsidP="00666BFE">
            <w:pPr>
              <w:pStyle w:val="Subtitle"/>
            </w:pPr>
            <w:r w:rsidRPr="003D27CB">
              <w:t>By type of tariff entry and  trade agreement</w:t>
            </w:r>
          </w:p>
        </w:tc>
      </w:tr>
      <w:tr w:rsidR="005F2A6D" w14:paraId="3F6C3D0C" w14:textId="77777777" w:rsidTr="00666BF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5F2A6D" w:rsidRPr="00B1465D" w14:paraId="42038D38" w14:textId="77777777" w:rsidTr="00666BFE">
              <w:trPr>
                <w:tblHeader/>
                <w:jc w:val="center"/>
              </w:trPr>
              <w:tc>
                <w:tcPr>
                  <w:tcW w:w="8504" w:type="dxa"/>
                  <w:tcBorders>
                    <w:top w:val="nil"/>
                    <w:bottom w:val="nil"/>
                  </w:tcBorders>
                </w:tcPr>
                <w:p w14:paraId="35596850" w14:textId="15C98EA0" w:rsidR="005F2A6D" w:rsidRPr="00B1465D" w:rsidRDefault="0007566B" w:rsidP="00EC631A">
                  <w:pPr>
                    <w:pStyle w:val="Figure"/>
                    <w:spacing w:before="0" w:after="0"/>
                    <w:rPr>
                      <w:rFonts w:ascii="Arial" w:hAnsi="Arial" w:cs="Arial"/>
                      <w:sz w:val="18"/>
                      <w:szCs w:val="18"/>
                    </w:rPr>
                  </w:pPr>
                  <w:r>
                    <w:rPr>
                      <w:noProof/>
                    </w:rPr>
                    <w:drawing>
                      <wp:inline distT="0" distB="0" distL="0" distR="0" wp14:anchorId="5A9788C5" wp14:editId="20F6D205">
                        <wp:extent cx="5397500" cy="2882900"/>
                        <wp:effectExtent l="0" t="0" r="0" b="0"/>
                        <wp:docPr id="6" name="Picture 1" descr="This figure shows the pattern of liberalised trade and preference usage differs widely among Australia’s agreem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0" cy="2882900"/>
                                </a:xfrm>
                                <a:prstGeom prst="rect">
                                  <a:avLst/>
                                </a:prstGeom>
                                <a:noFill/>
                                <a:ln>
                                  <a:noFill/>
                                </a:ln>
                              </pic:spPr>
                            </pic:pic>
                          </a:graphicData>
                        </a:graphic>
                      </wp:inline>
                    </w:drawing>
                  </w:r>
                </w:p>
              </w:tc>
            </w:tr>
          </w:tbl>
          <w:p w14:paraId="1D4D741D" w14:textId="77777777" w:rsidR="005F2A6D" w:rsidRDefault="005F2A6D" w:rsidP="00666BFE">
            <w:pPr>
              <w:pStyle w:val="Figure"/>
            </w:pPr>
          </w:p>
        </w:tc>
      </w:tr>
      <w:tr w:rsidR="005F2A6D" w:rsidRPr="00176D3F" w14:paraId="56516F34" w14:textId="77777777" w:rsidTr="00666BFE">
        <w:tc>
          <w:tcPr>
            <w:tcW w:w="8771" w:type="dxa"/>
            <w:tcBorders>
              <w:top w:val="nil"/>
              <w:left w:val="nil"/>
              <w:bottom w:val="nil"/>
              <w:right w:val="nil"/>
            </w:tcBorders>
            <w:shd w:val="clear" w:color="auto" w:fill="auto"/>
          </w:tcPr>
          <w:p w14:paraId="366EDE43" w14:textId="77777777" w:rsidR="005F2A6D" w:rsidRPr="00176D3F" w:rsidRDefault="005F2A6D" w:rsidP="00666BFE">
            <w:pPr>
              <w:pStyle w:val="Source"/>
            </w:pPr>
            <w:r>
              <w:rPr>
                <w:i/>
              </w:rPr>
              <w:t>S</w:t>
            </w:r>
            <w:r w:rsidRPr="00784A05">
              <w:rPr>
                <w:i/>
              </w:rPr>
              <w:t>ource</w:t>
            </w:r>
            <w:r w:rsidRPr="00176D3F">
              <w:t xml:space="preserve">: </w:t>
            </w:r>
            <w:r>
              <w:t>Commission estimates based on ABS (2016).</w:t>
            </w:r>
          </w:p>
        </w:tc>
      </w:tr>
      <w:tr w:rsidR="005F2A6D" w14:paraId="3A2B185A" w14:textId="77777777" w:rsidTr="00666BFE">
        <w:tc>
          <w:tcPr>
            <w:tcW w:w="8771" w:type="dxa"/>
            <w:tcBorders>
              <w:top w:val="nil"/>
              <w:left w:val="nil"/>
              <w:bottom w:val="single" w:sz="6" w:space="0" w:color="78A22F"/>
              <w:right w:val="nil"/>
            </w:tcBorders>
            <w:shd w:val="clear" w:color="auto" w:fill="auto"/>
          </w:tcPr>
          <w:p w14:paraId="0D2406F2" w14:textId="77777777" w:rsidR="005F2A6D" w:rsidRDefault="005F2A6D" w:rsidP="00666BFE">
            <w:pPr>
              <w:pStyle w:val="Figurespace"/>
            </w:pPr>
          </w:p>
        </w:tc>
      </w:tr>
      <w:tr w:rsidR="005F2A6D" w:rsidRPr="000863A5" w14:paraId="420FC36A" w14:textId="77777777" w:rsidTr="00666BFE">
        <w:tc>
          <w:tcPr>
            <w:tcW w:w="8771" w:type="dxa"/>
            <w:tcBorders>
              <w:top w:val="single" w:sz="6" w:space="0" w:color="78A22F"/>
              <w:left w:val="nil"/>
              <w:bottom w:val="nil"/>
              <w:right w:val="nil"/>
            </w:tcBorders>
          </w:tcPr>
          <w:p w14:paraId="22521581" w14:textId="77777777" w:rsidR="005F2A6D" w:rsidRPr="00626D32" w:rsidRDefault="005F2A6D" w:rsidP="00666BFE">
            <w:pPr>
              <w:pStyle w:val="BoxSpaceBelow"/>
            </w:pPr>
          </w:p>
        </w:tc>
      </w:tr>
    </w:tbl>
    <w:p w14:paraId="2A47C08E" w14:textId="7A758C77" w:rsidR="00407F64" w:rsidRDefault="00407F64" w:rsidP="00213E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07F64" w14:paraId="6F9945A2" w14:textId="77777777" w:rsidTr="00213E8B">
        <w:trPr>
          <w:tblHeader/>
        </w:trPr>
        <w:tc>
          <w:tcPr>
            <w:tcW w:w="8771" w:type="dxa"/>
            <w:tcBorders>
              <w:top w:val="single" w:sz="6" w:space="0" w:color="78A22F"/>
              <w:left w:val="nil"/>
              <w:bottom w:val="nil"/>
              <w:right w:val="nil"/>
            </w:tcBorders>
            <w:shd w:val="clear" w:color="auto" w:fill="auto"/>
          </w:tcPr>
          <w:p w14:paraId="1DB2CE19" w14:textId="77777777" w:rsidR="00407F64" w:rsidRPr="00176D3F" w:rsidRDefault="00BA0DDA" w:rsidP="00BB012D">
            <w:pPr>
              <w:pStyle w:val="FigureTitle"/>
            </w:pPr>
            <w:r w:rsidRPr="00784A05">
              <w:rPr>
                <w:b w:val="0"/>
              </w:rPr>
              <w:t xml:space="preserve">Figure </w:t>
            </w:r>
            <w:r w:rsidR="00BB012D">
              <w:rPr>
                <w:b w:val="0"/>
              </w:rPr>
              <w:t>3</w:t>
            </w:r>
            <w:r w:rsidR="00407F64">
              <w:tab/>
            </w:r>
            <w:r w:rsidR="00657851">
              <w:t>Share of eligible imports where preference was claimed</w:t>
            </w:r>
            <w:r w:rsidR="005070FA">
              <w:t>, 2015</w:t>
            </w:r>
            <w:r w:rsidR="005070FA">
              <w:noBreakHyphen/>
              <w:t>16</w:t>
            </w:r>
          </w:p>
        </w:tc>
      </w:tr>
      <w:tr w:rsidR="00407F64" w14:paraId="15CFAEF2" w14:textId="77777777" w:rsidTr="00213E8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407F64" w:rsidRPr="00B1465D" w14:paraId="40B6F67E" w14:textId="77777777" w:rsidTr="00407F64">
              <w:trPr>
                <w:tblHeader/>
                <w:jc w:val="center"/>
              </w:trPr>
              <w:tc>
                <w:tcPr>
                  <w:tcW w:w="8504" w:type="dxa"/>
                  <w:tcBorders>
                    <w:top w:val="nil"/>
                    <w:bottom w:val="nil"/>
                  </w:tcBorders>
                </w:tcPr>
                <w:p w14:paraId="66114CAA" w14:textId="6F84ACC2" w:rsidR="00407F64" w:rsidRPr="00B1465D" w:rsidRDefault="0007566B" w:rsidP="00EC631A">
                  <w:pPr>
                    <w:pStyle w:val="Figure"/>
                    <w:spacing w:before="0" w:after="0"/>
                    <w:rPr>
                      <w:rFonts w:ascii="Arial" w:hAnsi="Arial" w:cs="Arial"/>
                      <w:sz w:val="18"/>
                      <w:szCs w:val="18"/>
                    </w:rPr>
                  </w:pPr>
                  <w:r>
                    <w:rPr>
                      <w:noProof/>
                    </w:rPr>
                    <w:drawing>
                      <wp:inline distT="0" distB="0" distL="0" distR="0" wp14:anchorId="2D81A637" wp14:editId="1FF73318">
                        <wp:extent cx="5397500" cy="2882900"/>
                        <wp:effectExtent l="0" t="0" r="0" b="0"/>
                        <wp:docPr id="2" name="Picture 2" descr="This figure shows he relatively low share of preference use on imports from Singapore, Malaysia, China and AANZF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7500" cy="2882900"/>
                                </a:xfrm>
                                <a:prstGeom prst="rect">
                                  <a:avLst/>
                                </a:prstGeom>
                                <a:noFill/>
                                <a:ln>
                                  <a:noFill/>
                                </a:ln>
                              </pic:spPr>
                            </pic:pic>
                          </a:graphicData>
                        </a:graphic>
                      </wp:inline>
                    </w:drawing>
                  </w:r>
                </w:p>
              </w:tc>
            </w:tr>
          </w:tbl>
          <w:p w14:paraId="461B065B" w14:textId="77777777" w:rsidR="00407F64" w:rsidRDefault="00407F64" w:rsidP="00EC631A">
            <w:pPr>
              <w:pStyle w:val="Figure"/>
              <w:spacing w:before="0" w:after="0"/>
            </w:pPr>
          </w:p>
        </w:tc>
      </w:tr>
      <w:tr w:rsidR="00407F64" w:rsidRPr="00176D3F" w14:paraId="0981DF8F" w14:textId="77777777" w:rsidTr="00213E8B">
        <w:tc>
          <w:tcPr>
            <w:tcW w:w="8771" w:type="dxa"/>
            <w:tcBorders>
              <w:top w:val="nil"/>
              <w:left w:val="nil"/>
              <w:bottom w:val="nil"/>
              <w:right w:val="nil"/>
            </w:tcBorders>
            <w:shd w:val="clear" w:color="auto" w:fill="auto"/>
          </w:tcPr>
          <w:p w14:paraId="5B77443E" w14:textId="77777777" w:rsidR="00407F64" w:rsidRPr="00176D3F" w:rsidRDefault="003D27CB" w:rsidP="00213E8B">
            <w:pPr>
              <w:pStyle w:val="Source"/>
            </w:pPr>
            <w:r>
              <w:rPr>
                <w:i/>
              </w:rPr>
              <w:t>S</w:t>
            </w:r>
            <w:r w:rsidR="00407F64" w:rsidRPr="00784A05">
              <w:rPr>
                <w:i/>
              </w:rPr>
              <w:t>ource</w:t>
            </w:r>
            <w:r w:rsidR="00407F64" w:rsidRPr="00176D3F">
              <w:t xml:space="preserve">: </w:t>
            </w:r>
            <w:r w:rsidR="005070FA">
              <w:t>Commission estimates based on ABS (2016).</w:t>
            </w:r>
          </w:p>
        </w:tc>
      </w:tr>
      <w:tr w:rsidR="00407F64" w14:paraId="424ECC66" w14:textId="77777777" w:rsidTr="00213E8B">
        <w:tc>
          <w:tcPr>
            <w:tcW w:w="8771" w:type="dxa"/>
            <w:tcBorders>
              <w:top w:val="nil"/>
              <w:left w:val="nil"/>
              <w:bottom w:val="single" w:sz="6" w:space="0" w:color="78A22F"/>
              <w:right w:val="nil"/>
            </w:tcBorders>
            <w:shd w:val="clear" w:color="auto" w:fill="auto"/>
          </w:tcPr>
          <w:p w14:paraId="566A2D0A" w14:textId="77777777" w:rsidR="00407F64" w:rsidRDefault="00407F64" w:rsidP="00213E8B">
            <w:pPr>
              <w:pStyle w:val="Figurespace"/>
            </w:pPr>
          </w:p>
        </w:tc>
      </w:tr>
      <w:tr w:rsidR="00407F64" w:rsidRPr="000863A5" w14:paraId="0FD4210D" w14:textId="77777777" w:rsidTr="00213E8B">
        <w:tc>
          <w:tcPr>
            <w:tcW w:w="8771" w:type="dxa"/>
            <w:tcBorders>
              <w:top w:val="single" w:sz="6" w:space="0" w:color="78A22F"/>
              <w:left w:val="nil"/>
              <w:bottom w:val="nil"/>
              <w:right w:val="nil"/>
            </w:tcBorders>
          </w:tcPr>
          <w:p w14:paraId="640430E1" w14:textId="0A9AADEA" w:rsidR="00407F64" w:rsidRPr="00626D32" w:rsidRDefault="00407F64" w:rsidP="00213E8B">
            <w:pPr>
              <w:pStyle w:val="BoxSpaceBelow"/>
            </w:pPr>
          </w:p>
        </w:tc>
      </w:tr>
    </w:tbl>
    <w:p w14:paraId="6CBC78A6" w14:textId="6B0EA712" w:rsidR="00AB5BD9" w:rsidRDefault="00AB5BD9" w:rsidP="00AB5BD9">
      <w:pPr>
        <w:pStyle w:val="BoxSpaceAbove"/>
      </w:pPr>
    </w:p>
    <w:p w14:paraId="0AF581B6" w14:textId="77777777" w:rsidR="00EC631A" w:rsidRPr="00AB5BD9" w:rsidRDefault="00EC631A" w:rsidP="00EC631A">
      <w:pPr>
        <w:pStyle w:val="BodyText"/>
        <w:spacing w:before="200"/>
      </w:pPr>
      <w:r>
        <w:t xml:space="preserve">Given the compliance costs of meeting </w:t>
      </w:r>
      <w:proofErr w:type="spellStart"/>
      <w:r>
        <w:t>RoO</w:t>
      </w:r>
      <w:proofErr w:type="spellEnd"/>
      <w:r>
        <w:t xml:space="preserve">, the size of the shipment also matters, and import preference utilisation has been found to increase with the size of the shipment as well as the size of the preference margin (table 4). </w:t>
      </w:r>
    </w:p>
    <w:p w14:paraId="4F91DA91" w14:textId="77777777" w:rsidR="00EC631A" w:rsidRDefault="00EC631A" w:rsidP="00AB5B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909"/>
      </w:tblGrid>
      <w:tr w:rsidR="00AB5BD9" w14:paraId="28C19071" w14:textId="77777777" w:rsidTr="00D00836">
        <w:tc>
          <w:tcPr>
            <w:tcW w:w="8909" w:type="dxa"/>
            <w:tcBorders>
              <w:top w:val="single" w:sz="6" w:space="0" w:color="78A22F"/>
              <w:left w:val="nil"/>
              <w:bottom w:val="nil"/>
              <w:right w:val="nil"/>
            </w:tcBorders>
            <w:shd w:val="clear" w:color="auto" w:fill="auto"/>
          </w:tcPr>
          <w:p w14:paraId="156D7B82" w14:textId="77777777" w:rsidR="00AB5BD9" w:rsidRDefault="00AB5BD9" w:rsidP="00B42F62">
            <w:pPr>
              <w:pStyle w:val="TableTitle"/>
            </w:pPr>
            <w:r>
              <w:rPr>
                <w:b w:val="0"/>
              </w:rPr>
              <w:t xml:space="preserve">Table </w:t>
            </w:r>
            <w:r w:rsidR="00232B1E">
              <w:rPr>
                <w:b w:val="0"/>
              </w:rPr>
              <w:t>4</w:t>
            </w:r>
            <w:r>
              <w:tab/>
              <w:t>Australian imports preference utilisation rates, 2008</w:t>
            </w:r>
          </w:p>
          <w:p w14:paraId="2427DFCD" w14:textId="77777777" w:rsidR="00AB5BD9" w:rsidRPr="00784A05" w:rsidRDefault="00AB5BD9" w:rsidP="00B42F62">
            <w:pPr>
              <w:pStyle w:val="Subtitle"/>
            </w:pPr>
            <w:r>
              <w:t>By preference margin and import value range</w:t>
            </w:r>
          </w:p>
        </w:tc>
      </w:tr>
      <w:tr w:rsidR="00AB5BD9" w14:paraId="13C86EEC" w14:textId="77777777" w:rsidTr="00D00836">
        <w:tc>
          <w:tcPr>
            <w:tcW w:w="8909" w:type="dxa"/>
            <w:tcBorders>
              <w:top w:val="nil"/>
              <w:left w:val="nil"/>
              <w:bottom w:val="nil"/>
              <w:right w:val="nil"/>
            </w:tcBorders>
            <w:shd w:val="clear" w:color="auto" w:fill="auto"/>
          </w:tcPr>
          <w:tbl>
            <w:tblPr>
              <w:tblW w:w="8653" w:type="dxa"/>
              <w:tblCellMar>
                <w:top w:w="28" w:type="dxa"/>
                <w:left w:w="0" w:type="dxa"/>
                <w:right w:w="0" w:type="dxa"/>
              </w:tblCellMar>
              <w:tblLook w:val="0000" w:firstRow="0" w:lastRow="0" w:firstColumn="0" w:lastColumn="0" w:noHBand="0" w:noVBand="0"/>
            </w:tblPr>
            <w:tblGrid>
              <w:gridCol w:w="1815"/>
              <w:gridCol w:w="884"/>
              <w:gridCol w:w="993"/>
              <w:gridCol w:w="1275"/>
              <w:gridCol w:w="1277"/>
              <w:gridCol w:w="1275"/>
              <w:gridCol w:w="1134"/>
            </w:tblGrid>
            <w:tr w:rsidR="00AB5BD9" w14:paraId="3D453CC5" w14:textId="77777777" w:rsidTr="007C3379">
              <w:trPr>
                <w:tblHeader/>
              </w:trPr>
              <w:tc>
                <w:tcPr>
                  <w:tcW w:w="1048" w:type="pct"/>
                  <w:tcBorders>
                    <w:top w:val="single" w:sz="6" w:space="0" w:color="BFBFBF"/>
                    <w:bottom w:val="single" w:sz="6" w:space="0" w:color="BFBFBF"/>
                  </w:tcBorders>
                  <w:shd w:val="clear" w:color="auto" w:fill="auto"/>
                  <w:tcMar>
                    <w:top w:w="28" w:type="dxa"/>
                  </w:tcMar>
                </w:tcPr>
                <w:p w14:paraId="24CF1824" w14:textId="77777777" w:rsidR="00AB5BD9" w:rsidRDefault="00AB5BD9" w:rsidP="00B42F62">
                  <w:pPr>
                    <w:pStyle w:val="TableColumnHeading"/>
                    <w:jc w:val="left"/>
                  </w:pPr>
                  <w:r>
                    <w:t>Preference margin (m) (%)</w:t>
                  </w:r>
                  <w:r>
                    <w:br/>
                  </w:r>
                  <w:r>
                    <w:br/>
                    <w:t>Import value (v) ($US)</w:t>
                  </w:r>
                </w:p>
              </w:tc>
              <w:tc>
                <w:tcPr>
                  <w:tcW w:w="511" w:type="pct"/>
                  <w:tcBorders>
                    <w:top w:val="single" w:sz="6" w:space="0" w:color="BFBFBF"/>
                    <w:bottom w:val="single" w:sz="6" w:space="0" w:color="BFBFBF"/>
                  </w:tcBorders>
                  <w:shd w:val="clear" w:color="auto" w:fill="F2F2F2" w:themeFill="accent4"/>
                </w:tcPr>
                <w:p w14:paraId="37DDF5CB" w14:textId="77777777" w:rsidR="00AB5BD9" w:rsidRDefault="00AB5BD9" w:rsidP="00B42F62">
                  <w:pPr>
                    <w:pStyle w:val="TableColumnHeading"/>
                  </w:pPr>
                  <w:r>
                    <w:t>All imports</w:t>
                  </w:r>
                </w:p>
              </w:tc>
              <w:tc>
                <w:tcPr>
                  <w:tcW w:w="574" w:type="pct"/>
                  <w:tcBorders>
                    <w:top w:val="single" w:sz="6" w:space="0" w:color="BFBFBF"/>
                    <w:bottom w:val="single" w:sz="6" w:space="0" w:color="BFBFBF"/>
                  </w:tcBorders>
                </w:tcPr>
                <w:p w14:paraId="592B48FB" w14:textId="77777777" w:rsidR="00AB5BD9" w:rsidRDefault="00AB5BD9" w:rsidP="00B42F62">
                  <w:pPr>
                    <w:pStyle w:val="TableColumnHeading"/>
                  </w:pPr>
                  <w:r>
                    <w:t xml:space="preserve">0&lt; m </w:t>
                  </w:r>
                  <w:r>
                    <w:rPr>
                      <w:rFonts w:cs="Arial"/>
                    </w:rPr>
                    <w:t>≤</w:t>
                  </w:r>
                  <w:r>
                    <w:t>1</w:t>
                  </w:r>
                </w:p>
              </w:tc>
              <w:tc>
                <w:tcPr>
                  <w:tcW w:w="737" w:type="pct"/>
                  <w:tcBorders>
                    <w:top w:val="single" w:sz="6" w:space="0" w:color="BFBFBF"/>
                    <w:bottom w:val="single" w:sz="6" w:space="0" w:color="BFBFBF"/>
                  </w:tcBorders>
                </w:tcPr>
                <w:p w14:paraId="6C9BB606" w14:textId="77777777" w:rsidR="00AB5BD9" w:rsidRDefault="00AB5BD9" w:rsidP="00B42F62">
                  <w:pPr>
                    <w:pStyle w:val="TableColumnHeading"/>
                  </w:pPr>
                  <w:r>
                    <w:t xml:space="preserve">1&lt; m </w:t>
                  </w:r>
                  <w:r>
                    <w:rPr>
                      <w:rFonts w:cs="Arial"/>
                    </w:rPr>
                    <w:t>≤ 2.5</w:t>
                  </w:r>
                </w:p>
              </w:tc>
              <w:tc>
                <w:tcPr>
                  <w:tcW w:w="738" w:type="pct"/>
                  <w:tcBorders>
                    <w:top w:val="single" w:sz="6" w:space="0" w:color="BFBFBF"/>
                    <w:bottom w:val="single" w:sz="6" w:space="0" w:color="BFBFBF"/>
                  </w:tcBorders>
                </w:tcPr>
                <w:p w14:paraId="2CA2F326" w14:textId="77777777" w:rsidR="00AB5BD9" w:rsidRDefault="00AB5BD9" w:rsidP="00B42F62">
                  <w:pPr>
                    <w:pStyle w:val="TableColumnHeading"/>
                  </w:pPr>
                  <w:r>
                    <w:t xml:space="preserve">2.5&lt; m </w:t>
                  </w:r>
                  <w:r>
                    <w:rPr>
                      <w:rFonts w:cs="Arial"/>
                    </w:rPr>
                    <w:t>≤5</w:t>
                  </w:r>
                </w:p>
              </w:tc>
              <w:tc>
                <w:tcPr>
                  <w:tcW w:w="737" w:type="pct"/>
                  <w:tcBorders>
                    <w:top w:val="single" w:sz="6" w:space="0" w:color="BFBFBF"/>
                    <w:bottom w:val="single" w:sz="6" w:space="0" w:color="BFBFBF"/>
                  </w:tcBorders>
                </w:tcPr>
                <w:p w14:paraId="0256D319" w14:textId="77777777" w:rsidR="00AB5BD9" w:rsidRDefault="00AB5BD9" w:rsidP="00B42F62">
                  <w:pPr>
                    <w:pStyle w:val="TableColumnHeading"/>
                  </w:pPr>
                  <w:r>
                    <w:t xml:space="preserve">5&lt; m </w:t>
                  </w:r>
                  <w:r>
                    <w:rPr>
                      <w:rFonts w:cs="Arial"/>
                    </w:rPr>
                    <w:t>≤10</w:t>
                  </w:r>
                  <w:r w:rsidRPr="008E77FE">
                    <w:t xml:space="preserve"> </w:t>
                  </w:r>
                  <w:r w:rsidRPr="008E77FE">
                    <w:rPr>
                      <w:rStyle w:val="NoteLabel"/>
                    </w:rPr>
                    <w:t>a</w:t>
                  </w:r>
                </w:p>
              </w:tc>
              <w:tc>
                <w:tcPr>
                  <w:tcW w:w="655" w:type="pct"/>
                  <w:tcBorders>
                    <w:top w:val="single" w:sz="6" w:space="0" w:color="BFBFBF"/>
                    <w:bottom w:val="single" w:sz="6" w:space="0" w:color="BFBFBF"/>
                  </w:tcBorders>
                  <w:shd w:val="clear" w:color="auto" w:fill="auto"/>
                  <w:tcMar>
                    <w:top w:w="28" w:type="dxa"/>
                  </w:tcMar>
                </w:tcPr>
                <w:p w14:paraId="57ED14D6" w14:textId="77777777" w:rsidR="00AB5BD9" w:rsidRDefault="00AB5BD9" w:rsidP="00B42F62">
                  <w:pPr>
                    <w:pStyle w:val="TableColumnHeading"/>
                  </w:pPr>
                  <w:r>
                    <w:t xml:space="preserve">15&lt; m </w:t>
                  </w:r>
                  <w:r>
                    <w:rPr>
                      <w:rFonts w:cs="Arial"/>
                    </w:rPr>
                    <w:t>≤20</w:t>
                  </w:r>
                </w:p>
              </w:tc>
            </w:tr>
            <w:tr w:rsidR="00AB5BD9" w:rsidRPr="00651443" w14:paraId="302AC4F1" w14:textId="77777777" w:rsidTr="007C3379">
              <w:tc>
                <w:tcPr>
                  <w:tcW w:w="1048" w:type="pct"/>
                  <w:tcBorders>
                    <w:top w:val="single" w:sz="6" w:space="0" w:color="BFBFBF"/>
                  </w:tcBorders>
                  <w:shd w:val="clear" w:color="auto" w:fill="F2F2F2" w:themeFill="accent4"/>
                </w:tcPr>
                <w:p w14:paraId="2439390B" w14:textId="77777777" w:rsidR="00AB5BD9" w:rsidRPr="00651443" w:rsidRDefault="00AB5BD9" w:rsidP="00AB5BD9">
                  <w:pPr>
                    <w:pStyle w:val="TableBodyText"/>
                    <w:jc w:val="left"/>
                  </w:pPr>
                  <w:r>
                    <w:t xml:space="preserve">Eligible </w:t>
                  </w:r>
                  <w:r w:rsidRPr="00651443">
                    <w:t>imports</w:t>
                  </w:r>
                  <w:r>
                    <w:rPr>
                      <w:rStyle w:val="NoteLabel"/>
                    </w:rPr>
                    <w:t xml:space="preserve"> </w:t>
                  </w:r>
                </w:p>
              </w:tc>
              <w:tc>
                <w:tcPr>
                  <w:tcW w:w="511" w:type="pct"/>
                  <w:tcBorders>
                    <w:top w:val="single" w:sz="6" w:space="0" w:color="BFBFBF"/>
                  </w:tcBorders>
                  <w:shd w:val="clear" w:color="auto" w:fill="F2F2F2" w:themeFill="accent4"/>
                </w:tcPr>
                <w:p w14:paraId="424E2EEA" w14:textId="77777777" w:rsidR="00AB5BD9" w:rsidRPr="00651443" w:rsidRDefault="00AB5BD9" w:rsidP="00B42F62">
                  <w:pPr>
                    <w:pStyle w:val="TableBodyText"/>
                  </w:pPr>
                  <w:r w:rsidRPr="00651443">
                    <w:t>0.42</w:t>
                  </w:r>
                </w:p>
              </w:tc>
              <w:tc>
                <w:tcPr>
                  <w:tcW w:w="574" w:type="pct"/>
                  <w:tcBorders>
                    <w:top w:val="single" w:sz="6" w:space="0" w:color="BFBFBF"/>
                  </w:tcBorders>
                  <w:shd w:val="clear" w:color="auto" w:fill="F2F2F2" w:themeFill="accent4"/>
                </w:tcPr>
                <w:p w14:paraId="4C6AB1A1" w14:textId="77777777" w:rsidR="00AB5BD9" w:rsidRPr="00651443" w:rsidRDefault="00AB5BD9" w:rsidP="00B42F62">
                  <w:pPr>
                    <w:pStyle w:val="TableBodyText"/>
                  </w:pPr>
                  <w:r w:rsidRPr="00651443">
                    <w:t>0.28</w:t>
                  </w:r>
                </w:p>
              </w:tc>
              <w:tc>
                <w:tcPr>
                  <w:tcW w:w="737" w:type="pct"/>
                  <w:tcBorders>
                    <w:top w:val="single" w:sz="6" w:space="0" w:color="BFBFBF"/>
                  </w:tcBorders>
                  <w:shd w:val="clear" w:color="auto" w:fill="F2F2F2" w:themeFill="accent4"/>
                </w:tcPr>
                <w:p w14:paraId="342D5989" w14:textId="77777777" w:rsidR="00AB5BD9" w:rsidRPr="00651443" w:rsidRDefault="00AB5BD9" w:rsidP="00B42F62">
                  <w:pPr>
                    <w:pStyle w:val="TableBodyText"/>
                  </w:pPr>
                  <w:r w:rsidRPr="00651443">
                    <w:t>0.32</w:t>
                  </w:r>
                </w:p>
              </w:tc>
              <w:tc>
                <w:tcPr>
                  <w:tcW w:w="738" w:type="pct"/>
                  <w:tcBorders>
                    <w:top w:val="single" w:sz="6" w:space="0" w:color="BFBFBF"/>
                  </w:tcBorders>
                  <w:shd w:val="clear" w:color="auto" w:fill="F2F2F2" w:themeFill="accent4"/>
                </w:tcPr>
                <w:p w14:paraId="4AD0B3C3" w14:textId="77777777" w:rsidR="00AB5BD9" w:rsidRPr="00651443" w:rsidRDefault="00AB5BD9" w:rsidP="00B42F62">
                  <w:pPr>
                    <w:pStyle w:val="TableBodyText"/>
                  </w:pPr>
                  <w:r w:rsidRPr="00651443">
                    <w:t>0.46</w:t>
                  </w:r>
                </w:p>
              </w:tc>
              <w:tc>
                <w:tcPr>
                  <w:tcW w:w="737" w:type="pct"/>
                  <w:tcBorders>
                    <w:top w:val="single" w:sz="6" w:space="0" w:color="BFBFBF"/>
                  </w:tcBorders>
                  <w:shd w:val="clear" w:color="auto" w:fill="F2F2F2" w:themeFill="accent4"/>
                </w:tcPr>
                <w:p w14:paraId="438D1542" w14:textId="77777777" w:rsidR="00AB5BD9" w:rsidRPr="00651443" w:rsidRDefault="00AB5BD9" w:rsidP="00B42F62">
                  <w:pPr>
                    <w:pStyle w:val="TableBodyText"/>
                  </w:pPr>
                  <w:r w:rsidRPr="00651443">
                    <w:t>0.44</w:t>
                  </w:r>
                </w:p>
              </w:tc>
              <w:tc>
                <w:tcPr>
                  <w:tcW w:w="655" w:type="pct"/>
                  <w:tcBorders>
                    <w:top w:val="single" w:sz="6" w:space="0" w:color="BFBFBF"/>
                  </w:tcBorders>
                  <w:shd w:val="clear" w:color="auto" w:fill="F2F2F2" w:themeFill="accent4"/>
                </w:tcPr>
                <w:p w14:paraId="16756184" w14:textId="77777777" w:rsidR="00AB5BD9" w:rsidRPr="00651443" w:rsidRDefault="00AB5BD9" w:rsidP="00B42F62">
                  <w:pPr>
                    <w:pStyle w:val="TableBodyText"/>
                  </w:pPr>
                  <w:r w:rsidRPr="00651443">
                    <w:t>0.69</w:t>
                  </w:r>
                </w:p>
              </w:tc>
            </w:tr>
            <w:tr w:rsidR="00AB5BD9" w14:paraId="1FF61A40" w14:textId="77777777" w:rsidTr="007C3379">
              <w:tc>
                <w:tcPr>
                  <w:tcW w:w="1048" w:type="pct"/>
                </w:tcPr>
                <w:p w14:paraId="73D23008" w14:textId="77777777" w:rsidR="00AB5BD9" w:rsidRDefault="00AB5BD9" w:rsidP="00B42F62">
                  <w:pPr>
                    <w:pStyle w:val="TableBodyText"/>
                    <w:jc w:val="left"/>
                  </w:pPr>
                  <w:r>
                    <w:t xml:space="preserve">100&lt; v </w:t>
                  </w:r>
                  <w:r>
                    <w:rPr>
                      <w:rFonts w:cs="Arial"/>
                    </w:rPr>
                    <w:t>≤</w:t>
                  </w:r>
                  <w:r>
                    <w:t>1000</w:t>
                  </w:r>
                </w:p>
              </w:tc>
              <w:tc>
                <w:tcPr>
                  <w:tcW w:w="511" w:type="pct"/>
                  <w:shd w:val="clear" w:color="auto" w:fill="F2F2F2" w:themeFill="accent4"/>
                </w:tcPr>
                <w:p w14:paraId="6189A4FB" w14:textId="77777777" w:rsidR="00AB5BD9" w:rsidRDefault="00AB5BD9" w:rsidP="00B42F62">
                  <w:pPr>
                    <w:pStyle w:val="TableBodyText"/>
                  </w:pPr>
                  <w:r>
                    <w:t>0.29</w:t>
                  </w:r>
                </w:p>
              </w:tc>
              <w:tc>
                <w:tcPr>
                  <w:tcW w:w="574" w:type="pct"/>
                </w:tcPr>
                <w:p w14:paraId="788B179C" w14:textId="77777777" w:rsidR="00AB5BD9" w:rsidRDefault="00AB5BD9" w:rsidP="00B42F62">
                  <w:pPr>
                    <w:pStyle w:val="TableBodyText"/>
                  </w:pPr>
                  <w:r>
                    <w:t>0.23</w:t>
                  </w:r>
                </w:p>
              </w:tc>
              <w:tc>
                <w:tcPr>
                  <w:tcW w:w="737" w:type="pct"/>
                </w:tcPr>
                <w:p w14:paraId="0B15A121" w14:textId="77777777" w:rsidR="00AB5BD9" w:rsidRDefault="00AB5BD9" w:rsidP="00B42F62">
                  <w:pPr>
                    <w:pStyle w:val="TableBodyText"/>
                  </w:pPr>
                  <w:r>
                    <w:t>0.35</w:t>
                  </w:r>
                </w:p>
              </w:tc>
              <w:tc>
                <w:tcPr>
                  <w:tcW w:w="738" w:type="pct"/>
                </w:tcPr>
                <w:p w14:paraId="57D3205D" w14:textId="77777777" w:rsidR="00AB5BD9" w:rsidRDefault="00AB5BD9" w:rsidP="00B42F62">
                  <w:pPr>
                    <w:pStyle w:val="TableBodyText"/>
                  </w:pPr>
                  <w:r>
                    <w:t>0.27</w:t>
                  </w:r>
                </w:p>
              </w:tc>
              <w:tc>
                <w:tcPr>
                  <w:tcW w:w="737" w:type="pct"/>
                </w:tcPr>
                <w:p w14:paraId="598D8486" w14:textId="77777777" w:rsidR="00AB5BD9" w:rsidRDefault="00AB5BD9" w:rsidP="00B42F62">
                  <w:pPr>
                    <w:pStyle w:val="TableBodyText"/>
                  </w:pPr>
                  <w:r>
                    <w:t>0.27</w:t>
                  </w:r>
                </w:p>
              </w:tc>
              <w:tc>
                <w:tcPr>
                  <w:tcW w:w="655" w:type="pct"/>
                </w:tcPr>
                <w:p w14:paraId="2521E25F" w14:textId="77777777" w:rsidR="00AB5BD9" w:rsidRDefault="00AB5BD9" w:rsidP="00B42F62">
                  <w:pPr>
                    <w:pStyle w:val="TableBodyText"/>
                  </w:pPr>
                  <w:r>
                    <w:t>0.52</w:t>
                  </w:r>
                </w:p>
              </w:tc>
            </w:tr>
            <w:tr w:rsidR="00AB5BD9" w14:paraId="69892608" w14:textId="77777777" w:rsidTr="007C3379">
              <w:tc>
                <w:tcPr>
                  <w:tcW w:w="1048" w:type="pct"/>
                </w:tcPr>
                <w:p w14:paraId="3F59C485" w14:textId="77777777" w:rsidR="00AB5BD9" w:rsidRDefault="00AB5BD9" w:rsidP="00B42F62">
                  <w:pPr>
                    <w:pStyle w:val="TableBodyText"/>
                    <w:jc w:val="left"/>
                  </w:pPr>
                  <w:r>
                    <w:t xml:space="preserve">1000&lt; v </w:t>
                  </w:r>
                  <w:r>
                    <w:rPr>
                      <w:rFonts w:cs="Arial"/>
                    </w:rPr>
                    <w:t>≤</w:t>
                  </w:r>
                  <w:r>
                    <w:t>10 000</w:t>
                  </w:r>
                </w:p>
              </w:tc>
              <w:tc>
                <w:tcPr>
                  <w:tcW w:w="511" w:type="pct"/>
                  <w:shd w:val="clear" w:color="auto" w:fill="F2F2F2" w:themeFill="accent4"/>
                </w:tcPr>
                <w:p w14:paraId="71D4EFCA" w14:textId="77777777" w:rsidR="00AB5BD9" w:rsidRDefault="00AB5BD9" w:rsidP="00B42F62">
                  <w:pPr>
                    <w:pStyle w:val="TableBodyText"/>
                  </w:pPr>
                  <w:r>
                    <w:t>0.30</w:t>
                  </w:r>
                </w:p>
              </w:tc>
              <w:tc>
                <w:tcPr>
                  <w:tcW w:w="574" w:type="pct"/>
                </w:tcPr>
                <w:p w14:paraId="1100118C" w14:textId="77777777" w:rsidR="00AB5BD9" w:rsidRDefault="00AB5BD9" w:rsidP="00B42F62">
                  <w:pPr>
                    <w:pStyle w:val="TableBodyText"/>
                  </w:pPr>
                  <w:r>
                    <w:t>0.22</w:t>
                  </w:r>
                </w:p>
              </w:tc>
              <w:tc>
                <w:tcPr>
                  <w:tcW w:w="737" w:type="pct"/>
                </w:tcPr>
                <w:p w14:paraId="4AADD065" w14:textId="77777777" w:rsidR="00AB5BD9" w:rsidRDefault="00AB5BD9" w:rsidP="00B42F62">
                  <w:pPr>
                    <w:pStyle w:val="TableBodyText"/>
                  </w:pPr>
                  <w:r>
                    <w:t>0.28</w:t>
                  </w:r>
                </w:p>
              </w:tc>
              <w:tc>
                <w:tcPr>
                  <w:tcW w:w="738" w:type="pct"/>
                </w:tcPr>
                <w:p w14:paraId="092096CD" w14:textId="77777777" w:rsidR="00AB5BD9" w:rsidRDefault="00AB5BD9" w:rsidP="00B42F62">
                  <w:pPr>
                    <w:pStyle w:val="TableBodyText"/>
                  </w:pPr>
                  <w:r>
                    <w:t>0.30</w:t>
                  </w:r>
                </w:p>
              </w:tc>
              <w:tc>
                <w:tcPr>
                  <w:tcW w:w="737" w:type="pct"/>
                </w:tcPr>
                <w:p w14:paraId="4245DD5C" w14:textId="77777777" w:rsidR="00AB5BD9" w:rsidRDefault="00AB5BD9" w:rsidP="00B42F62">
                  <w:pPr>
                    <w:pStyle w:val="TableBodyText"/>
                  </w:pPr>
                  <w:r>
                    <w:t>0.34</w:t>
                  </w:r>
                </w:p>
              </w:tc>
              <w:tc>
                <w:tcPr>
                  <w:tcW w:w="655" w:type="pct"/>
                </w:tcPr>
                <w:p w14:paraId="0D49F6AE" w14:textId="77777777" w:rsidR="00AB5BD9" w:rsidRDefault="00AB5BD9" w:rsidP="00B42F62">
                  <w:pPr>
                    <w:pStyle w:val="TableBodyText"/>
                  </w:pPr>
                  <w:r>
                    <w:t>0.47</w:t>
                  </w:r>
                </w:p>
              </w:tc>
            </w:tr>
            <w:tr w:rsidR="00AB5BD9" w14:paraId="40816D77" w14:textId="77777777" w:rsidTr="007C3379">
              <w:tc>
                <w:tcPr>
                  <w:tcW w:w="1048" w:type="pct"/>
                </w:tcPr>
                <w:p w14:paraId="4D850348" w14:textId="77777777" w:rsidR="00AB5BD9" w:rsidRDefault="00AB5BD9" w:rsidP="00B42F62">
                  <w:pPr>
                    <w:pStyle w:val="TableBodyText"/>
                    <w:jc w:val="left"/>
                  </w:pPr>
                  <w:r>
                    <w:t xml:space="preserve">10 000&lt; v </w:t>
                  </w:r>
                  <w:r>
                    <w:rPr>
                      <w:rFonts w:cs="Arial"/>
                    </w:rPr>
                    <w:t>≤</w:t>
                  </w:r>
                  <w:r>
                    <w:t>100 000</w:t>
                  </w:r>
                </w:p>
              </w:tc>
              <w:tc>
                <w:tcPr>
                  <w:tcW w:w="511" w:type="pct"/>
                  <w:shd w:val="clear" w:color="auto" w:fill="F2F2F2" w:themeFill="accent4"/>
                </w:tcPr>
                <w:p w14:paraId="02DBBD19" w14:textId="77777777" w:rsidR="00AB5BD9" w:rsidRDefault="00AB5BD9" w:rsidP="00B42F62">
                  <w:pPr>
                    <w:pStyle w:val="TableBodyText"/>
                  </w:pPr>
                  <w:r>
                    <w:t>0.40</w:t>
                  </w:r>
                </w:p>
              </w:tc>
              <w:tc>
                <w:tcPr>
                  <w:tcW w:w="574" w:type="pct"/>
                </w:tcPr>
                <w:p w14:paraId="42F216B0" w14:textId="77777777" w:rsidR="00AB5BD9" w:rsidRDefault="00AB5BD9" w:rsidP="00B42F62">
                  <w:pPr>
                    <w:pStyle w:val="TableBodyText"/>
                  </w:pPr>
                  <w:r>
                    <w:t>0.28</w:t>
                  </w:r>
                </w:p>
              </w:tc>
              <w:tc>
                <w:tcPr>
                  <w:tcW w:w="737" w:type="pct"/>
                </w:tcPr>
                <w:p w14:paraId="5C5D3707" w14:textId="77777777" w:rsidR="00AB5BD9" w:rsidRDefault="00AB5BD9" w:rsidP="00B42F62">
                  <w:pPr>
                    <w:pStyle w:val="TableBodyText"/>
                  </w:pPr>
                  <w:r>
                    <w:t>0.28</w:t>
                  </w:r>
                </w:p>
              </w:tc>
              <w:tc>
                <w:tcPr>
                  <w:tcW w:w="738" w:type="pct"/>
                </w:tcPr>
                <w:p w14:paraId="7F14F742" w14:textId="77777777" w:rsidR="00AB5BD9" w:rsidRDefault="00AB5BD9" w:rsidP="00B42F62">
                  <w:pPr>
                    <w:pStyle w:val="TableBodyText"/>
                  </w:pPr>
                  <w:r>
                    <w:t>0.42</w:t>
                  </w:r>
                </w:p>
              </w:tc>
              <w:tc>
                <w:tcPr>
                  <w:tcW w:w="737" w:type="pct"/>
                </w:tcPr>
                <w:p w14:paraId="625E9882" w14:textId="77777777" w:rsidR="00AB5BD9" w:rsidRDefault="00AB5BD9" w:rsidP="00B42F62">
                  <w:pPr>
                    <w:pStyle w:val="TableBodyText"/>
                  </w:pPr>
                  <w:r>
                    <w:t>0.44</w:t>
                  </w:r>
                </w:p>
              </w:tc>
              <w:tc>
                <w:tcPr>
                  <w:tcW w:w="655" w:type="pct"/>
                </w:tcPr>
                <w:p w14:paraId="620DA50A" w14:textId="77777777" w:rsidR="00AB5BD9" w:rsidRDefault="00AB5BD9" w:rsidP="00B42F62">
                  <w:pPr>
                    <w:pStyle w:val="TableBodyText"/>
                  </w:pPr>
                  <w:r>
                    <w:t>0.76</w:t>
                  </w:r>
                </w:p>
              </w:tc>
            </w:tr>
            <w:tr w:rsidR="00AB5BD9" w14:paraId="12B8E61C" w14:textId="77777777" w:rsidTr="007C3379">
              <w:tc>
                <w:tcPr>
                  <w:tcW w:w="1048" w:type="pct"/>
                </w:tcPr>
                <w:p w14:paraId="4051393C" w14:textId="77777777" w:rsidR="00AB5BD9" w:rsidRDefault="00AB5BD9" w:rsidP="00B42F62">
                  <w:pPr>
                    <w:pStyle w:val="TableBodyText"/>
                    <w:jc w:val="left"/>
                  </w:pPr>
                  <w:r>
                    <w:t>100 000&lt; v</w:t>
                  </w:r>
                  <w:r>
                    <w:rPr>
                      <w:rFonts w:cs="Arial"/>
                    </w:rPr>
                    <w:t xml:space="preserve">≤ </w:t>
                  </w:r>
                  <w:proofErr w:type="spellStart"/>
                  <w:r>
                    <w:t>1million</w:t>
                  </w:r>
                  <w:proofErr w:type="spellEnd"/>
                </w:p>
              </w:tc>
              <w:tc>
                <w:tcPr>
                  <w:tcW w:w="511" w:type="pct"/>
                  <w:shd w:val="clear" w:color="auto" w:fill="F2F2F2" w:themeFill="accent4"/>
                </w:tcPr>
                <w:p w14:paraId="070D85D2" w14:textId="77777777" w:rsidR="00AB5BD9" w:rsidRDefault="00AB5BD9" w:rsidP="00B42F62">
                  <w:pPr>
                    <w:pStyle w:val="TableBodyText"/>
                  </w:pPr>
                  <w:r>
                    <w:t>0.48</w:t>
                  </w:r>
                </w:p>
              </w:tc>
              <w:tc>
                <w:tcPr>
                  <w:tcW w:w="574" w:type="pct"/>
                </w:tcPr>
                <w:p w14:paraId="2CD386A8" w14:textId="77777777" w:rsidR="00AB5BD9" w:rsidRDefault="00AB5BD9" w:rsidP="00B42F62">
                  <w:pPr>
                    <w:pStyle w:val="TableBodyText"/>
                  </w:pPr>
                  <w:r>
                    <w:t>0.31</w:t>
                  </w:r>
                </w:p>
              </w:tc>
              <w:tc>
                <w:tcPr>
                  <w:tcW w:w="737" w:type="pct"/>
                </w:tcPr>
                <w:p w14:paraId="49E1ABCE" w14:textId="77777777" w:rsidR="00AB5BD9" w:rsidRDefault="00AB5BD9" w:rsidP="00B42F62">
                  <w:pPr>
                    <w:pStyle w:val="TableBodyText"/>
                  </w:pPr>
                  <w:r>
                    <w:t>0.37</w:t>
                  </w:r>
                </w:p>
              </w:tc>
              <w:tc>
                <w:tcPr>
                  <w:tcW w:w="738" w:type="pct"/>
                </w:tcPr>
                <w:p w14:paraId="7188D054" w14:textId="77777777" w:rsidR="00AB5BD9" w:rsidRDefault="00AB5BD9" w:rsidP="00B42F62">
                  <w:pPr>
                    <w:pStyle w:val="TableBodyText"/>
                  </w:pPr>
                  <w:r>
                    <w:t>0.52</w:t>
                  </w:r>
                </w:p>
              </w:tc>
              <w:tc>
                <w:tcPr>
                  <w:tcW w:w="737" w:type="pct"/>
                </w:tcPr>
                <w:p w14:paraId="28AD2632" w14:textId="77777777" w:rsidR="00AB5BD9" w:rsidRDefault="00AB5BD9" w:rsidP="00B42F62">
                  <w:pPr>
                    <w:pStyle w:val="TableBodyText"/>
                  </w:pPr>
                  <w:r>
                    <w:t>0.49</w:t>
                  </w:r>
                </w:p>
              </w:tc>
              <w:tc>
                <w:tcPr>
                  <w:tcW w:w="655" w:type="pct"/>
                </w:tcPr>
                <w:p w14:paraId="159F136C" w14:textId="77777777" w:rsidR="00AB5BD9" w:rsidRDefault="00AB5BD9" w:rsidP="00B42F62">
                  <w:pPr>
                    <w:pStyle w:val="TableBodyText"/>
                  </w:pPr>
                  <w:r>
                    <w:t>0.91</w:t>
                  </w:r>
                </w:p>
              </w:tc>
            </w:tr>
            <w:tr w:rsidR="00AB5BD9" w14:paraId="5A416543" w14:textId="77777777" w:rsidTr="007C3379">
              <w:tc>
                <w:tcPr>
                  <w:tcW w:w="1048" w:type="pct"/>
                </w:tcPr>
                <w:p w14:paraId="5A608BC6" w14:textId="77777777" w:rsidR="00AB5BD9" w:rsidRDefault="00AB5BD9" w:rsidP="00B42F62">
                  <w:pPr>
                    <w:pStyle w:val="TableBodyText"/>
                    <w:jc w:val="left"/>
                  </w:pPr>
                  <w:proofErr w:type="spellStart"/>
                  <w:r>
                    <w:t>1million</w:t>
                  </w:r>
                  <w:proofErr w:type="spellEnd"/>
                  <w:r>
                    <w:t xml:space="preserve"> &lt;v</w:t>
                  </w:r>
                  <w:r>
                    <w:rPr>
                      <w:rFonts w:cs="Arial"/>
                    </w:rPr>
                    <w:t xml:space="preserve">≤ </w:t>
                  </w:r>
                  <w:proofErr w:type="spellStart"/>
                  <w:r>
                    <w:t>10m</w:t>
                  </w:r>
                  <w:proofErr w:type="spellEnd"/>
                </w:p>
              </w:tc>
              <w:tc>
                <w:tcPr>
                  <w:tcW w:w="511" w:type="pct"/>
                  <w:shd w:val="clear" w:color="auto" w:fill="F2F2F2" w:themeFill="accent4"/>
                </w:tcPr>
                <w:p w14:paraId="44DF0F55" w14:textId="77777777" w:rsidR="00AB5BD9" w:rsidRDefault="00AB5BD9" w:rsidP="00B42F62">
                  <w:pPr>
                    <w:pStyle w:val="TableBodyText"/>
                  </w:pPr>
                  <w:r>
                    <w:t>0.55</w:t>
                  </w:r>
                </w:p>
              </w:tc>
              <w:tc>
                <w:tcPr>
                  <w:tcW w:w="574" w:type="pct"/>
                </w:tcPr>
                <w:p w14:paraId="3C5C1901" w14:textId="77777777" w:rsidR="00AB5BD9" w:rsidRDefault="00AB5BD9" w:rsidP="00B42F62">
                  <w:pPr>
                    <w:pStyle w:val="TableBodyText"/>
                  </w:pPr>
                  <w:r>
                    <w:t>0.34</w:t>
                  </w:r>
                </w:p>
              </w:tc>
              <w:tc>
                <w:tcPr>
                  <w:tcW w:w="737" w:type="pct"/>
                </w:tcPr>
                <w:p w14:paraId="34380F22" w14:textId="77777777" w:rsidR="00AB5BD9" w:rsidRDefault="00AB5BD9" w:rsidP="00B42F62">
                  <w:pPr>
                    <w:pStyle w:val="TableBodyText"/>
                  </w:pPr>
                  <w:r>
                    <w:t>0.45</w:t>
                  </w:r>
                </w:p>
              </w:tc>
              <w:tc>
                <w:tcPr>
                  <w:tcW w:w="738" w:type="pct"/>
                </w:tcPr>
                <w:p w14:paraId="65A96809" w14:textId="77777777" w:rsidR="00AB5BD9" w:rsidRDefault="00AB5BD9" w:rsidP="00B42F62">
                  <w:pPr>
                    <w:pStyle w:val="TableBodyText"/>
                  </w:pPr>
                  <w:r>
                    <w:t>0.61</w:t>
                  </w:r>
                </w:p>
              </w:tc>
              <w:tc>
                <w:tcPr>
                  <w:tcW w:w="737" w:type="pct"/>
                </w:tcPr>
                <w:p w14:paraId="2F09158F" w14:textId="77777777" w:rsidR="00AB5BD9" w:rsidRDefault="00AB5BD9" w:rsidP="00B42F62">
                  <w:pPr>
                    <w:pStyle w:val="TableBodyText"/>
                  </w:pPr>
                  <w:r>
                    <w:t>0.59</w:t>
                  </w:r>
                </w:p>
              </w:tc>
              <w:tc>
                <w:tcPr>
                  <w:tcW w:w="655" w:type="pct"/>
                </w:tcPr>
                <w:p w14:paraId="0A8CE532" w14:textId="77777777" w:rsidR="00AB5BD9" w:rsidRDefault="00AB5BD9" w:rsidP="00B42F62">
                  <w:pPr>
                    <w:pStyle w:val="TableBodyText"/>
                  </w:pPr>
                  <w:r>
                    <w:t>0.98</w:t>
                  </w:r>
                </w:p>
              </w:tc>
            </w:tr>
            <w:tr w:rsidR="00AB5BD9" w14:paraId="581B987D" w14:textId="77777777" w:rsidTr="007C3379">
              <w:tc>
                <w:tcPr>
                  <w:tcW w:w="1048" w:type="pct"/>
                </w:tcPr>
                <w:p w14:paraId="19D69ABA" w14:textId="77777777" w:rsidR="00AB5BD9" w:rsidRDefault="00AB5BD9" w:rsidP="00B42F62">
                  <w:pPr>
                    <w:pStyle w:val="TableBodyText"/>
                    <w:jc w:val="left"/>
                  </w:pPr>
                  <w:proofErr w:type="spellStart"/>
                  <w:r>
                    <w:t>10m</w:t>
                  </w:r>
                  <w:proofErr w:type="spellEnd"/>
                  <w:r>
                    <w:t>&lt; v</w:t>
                  </w:r>
                  <w:r>
                    <w:rPr>
                      <w:rFonts w:cs="Arial"/>
                    </w:rPr>
                    <w:t xml:space="preserve">≤ </w:t>
                  </w:r>
                  <w:proofErr w:type="spellStart"/>
                  <w:r>
                    <w:t>100m</w:t>
                  </w:r>
                  <w:proofErr w:type="spellEnd"/>
                </w:p>
              </w:tc>
              <w:tc>
                <w:tcPr>
                  <w:tcW w:w="511" w:type="pct"/>
                  <w:shd w:val="clear" w:color="auto" w:fill="F2F2F2" w:themeFill="accent4"/>
                </w:tcPr>
                <w:p w14:paraId="58FA8DD0" w14:textId="77777777" w:rsidR="00AB5BD9" w:rsidRDefault="00AB5BD9" w:rsidP="00B42F62">
                  <w:pPr>
                    <w:pStyle w:val="TableBodyText"/>
                  </w:pPr>
                  <w:r>
                    <w:t>0.58</w:t>
                  </w:r>
                </w:p>
              </w:tc>
              <w:tc>
                <w:tcPr>
                  <w:tcW w:w="574" w:type="pct"/>
                </w:tcPr>
                <w:p w14:paraId="1F1F3FE7" w14:textId="77777777" w:rsidR="00AB5BD9" w:rsidRDefault="00AB5BD9" w:rsidP="00B42F62">
                  <w:pPr>
                    <w:pStyle w:val="TableBodyText"/>
                  </w:pPr>
                  <w:r>
                    <w:t>0.48</w:t>
                  </w:r>
                </w:p>
              </w:tc>
              <w:tc>
                <w:tcPr>
                  <w:tcW w:w="737" w:type="pct"/>
                </w:tcPr>
                <w:p w14:paraId="0CE34482" w14:textId="77777777" w:rsidR="00AB5BD9" w:rsidRDefault="00AB5BD9" w:rsidP="00B42F62">
                  <w:pPr>
                    <w:pStyle w:val="TableBodyText"/>
                  </w:pPr>
                  <w:r>
                    <w:t>0.35</w:t>
                  </w:r>
                </w:p>
              </w:tc>
              <w:tc>
                <w:tcPr>
                  <w:tcW w:w="738" w:type="pct"/>
                </w:tcPr>
                <w:p w14:paraId="05C7DC90" w14:textId="77777777" w:rsidR="00AB5BD9" w:rsidRDefault="00AB5BD9" w:rsidP="00B42F62">
                  <w:pPr>
                    <w:pStyle w:val="TableBodyText"/>
                  </w:pPr>
                  <w:r>
                    <w:t>0.61</w:t>
                  </w:r>
                </w:p>
              </w:tc>
              <w:tc>
                <w:tcPr>
                  <w:tcW w:w="737" w:type="pct"/>
                </w:tcPr>
                <w:p w14:paraId="5F652FAA" w14:textId="77777777" w:rsidR="00AB5BD9" w:rsidRDefault="00AB5BD9" w:rsidP="00B42F62">
                  <w:pPr>
                    <w:pStyle w:val="TableBodyText"/>
                  </w:pPr>
                  <w:r>
                    <w:t>0.59</w:t>
                  </w:r>
                </w:p>
              </w:tc>
              <w:tc>
                <w:tcPr>
                  <w:tcW w:w="655" w:type="pct"/>
                </w:tcPr>
                <w:p w14:paraId="47E2852B" w14:textId="77777777" w:rsidR="00AB5BD9" w:rsidRDefault="00AB5BD9" w:rsidP="00B42F62">
                  <w:pPr>
                    <w:pStyle w:val="TableBodyText"/>
                  </w:pPr>
                  <w:r>
                    <w:t>0.98</w:t>
                  </w:r>
                </w:p>
              </w:tc>
            </w:tr>
            <w:tr w:rsidR="00AB5BD9" w14:paraId="4DCEC7C1" w14:textId="77777777" w:rsidTr="007C3379">
              <w:tc>
                <w:tcPr>
                  <w:tcW w:w="1048" w:type="pct"/>
                </w:tcPr>
                <w:p w14:paraId="35B5D365" w14:textId="77777777" w:rsidR="00AB5BD9" w:rsidRDefault="00AB5BD9" w:rsidP="00B42F62">
                  <w:pPr>
                    <w:pStyle w:val="TableBodyText"/>
                    <w:jc w:val="left"/>
                  </w:pPr>
                  <w:proofErr w:type="spellStart"/>
                  <w:r>
                    <w:t>100m</w:t>
                  </w:r>
                  <w:proofErr w:type="spellEnd"/>
                  <w:r>
                    <w:t>&lt; v</w:t>
                  </w:r>
                  <w:r>
                    <w:rPr>
                      <w:rFonts w:cs="Arial"/>
                    </w:rPr>
                    <w:t xml:space="preserve">≤ </w:t>
                  </w:r>
                  <w:proofErr w:type="spellStart"/>
                  <w:r>
                    <w:t>1billion</w:t>
                  </w:r>
                  <w:proofErr w:type="spellEnd"/>
                </w:p>
              </w:tc>
              <w:tc>
                <w:tcPr>
                  <w:tcW w:w="511" w:type="pct"/>
                  <w:shd w:val="clear" w:color="auto" w:fill="F2F2F2" w:themeFill="accent4"/>
                </w:tcPr>
                <w:p w14:paraId="1B7B9752" w14:textId="77777777" w:rsidR="00AB5BD9" w:rsidRDefault="00AB5BD9" w:rsidP="00B42F62">
                  <w:pPr>
                    <w:pStyle w:val="TableBodyText"/>
                  </w:pPr>
                  <w:r>
                    <w:t>0.59</w:t>
                  </w:r>
                </w:p>
              </w:tc>
              <w:tc>
                <w:tcPr>
                  <w:tcW w:w="574" w:type="pct"/>
                </w:tcPr>
                <w:p w14:paraId="6F68DF28" w14:textId="77777777" w:rsidR="00AB5BD9" w:rsidRDefault="00AB5BD9" w:rsidP="00B42F62">
                  <w:pPr>
                    <w:pStyle w:val="TableBodyText"/>
                  </w:pPr>
                  <w:r>
                    <w:t>0.63</w:t>
                  </w:r>
                </w:p>
              </w:tc>
              <w:tc>
                <w:tcPr>
                  <w:tcW w:w="737" w:type="pct"/>
                </w:tcPr>
                <w:p w14:paraId="2545EE7B" w14:textId="77777777" w:rsidR="00AB5BD9" w:rsidRDefault="00AB5BD9" w:rsidP="00B42F62">
                  <w:pPr>
                    <w:pStyle w:val="TableBodyText"/>
                  </w:pPr>
                </w:p>
              </w:tc>
              <w:tc>
                <w:tcPr>
                  <w:tcW w:w="738" w:type="pct"/>
                </w:tcPr>
                <w:p w14:paraId="06DA9C5C" w14:textId="77777777" w:rsidR="00AB5BD9" w:rsidRDefault="00AB5BD9" w:rsidP="00B42F62">
                  <w:pPr>
                    <w:pStyle w:val="TableBodyText"/>
                  </w:pPr>
                  <w:r>
                    <w:t>0.54</w:t>
                  </w:r>
                </w:p>
              </w:tc>
              <w:tc>
                <w:tcPr>
                  <w:tcW w:w="737" w:type="pct"/>
                </w:tcPr>
                <w:p w14:paraId="0BAD2754" w14:textId="77777777" w:rsidR="00AB5BD9" w:rsidRDefault="00AB5BD9" w:rsidP="00B42F62">
                  <w:pPr>
                    <w:pStyle w:val="TableBodyText"/>
                  </w:pPr>
                  <w:r>
                    <w:t>1.00</w:t>
                  </w:r>
                </w:p>
              </w:tc>
              <w:tc>
                <w:tcPr>
                  <w:tcW w:w="655" w:type="pct"/>
                </w:tcPr>
                <w:p w14:paraId="0CCA73F2" w14:textId="77777777" w:rsidR="00AB5BD9" w:rsidRDefault="00AB5BD9" w:rsidP="00B42F62">
                  <w:pPr>
                    <w:pStyle w:val="TableBodyText"/>
                  </w:pPr>
                </w:p>
              </w:tc>
            </w:tr>
            <w:tr w:rsidR="00AB5BD9" w14:paraId="6E1B8015" w14:textId="77777777" w:rsidTr="007C3379">
              <w:tc>
                <w:tcPr>
                  <w:tcW w:w="1048" w:type="pct"/>
                  <w:tcBorders>
                    <w:bottom w:val="single" w:sz="6" w:space="0" w:color="BFBFBF"/>
                  </w:tcBorders>
                  <w:shd w:val="clear" w:color="auto" w:fill="auto"/>
                </w:tcPr>
                <w:p w14:paraId="10D223D6" w14:textId="77777777" w:rsidR="00AB5BD9" w:rsidRDefault="00AB5BD9" w:rsidP="00B42F62">
                  <w:pPr>
                    <w:pStyle w:val="TableBodyText"/>
                    <w:jc w:val="left"/>
                  </w:pPr>
                  <w:r>
                    <w:t>V &gt; $1 billion</w:t>
                  </w:r>
                </w:p>
              </w:tc>
              <w:tc>
                <w:tcPr>
                  <w:tcW w:w="511" w:type="pct"/>
                  <w:tcBorders>
                    <w:bottom w:val="single" w:sz="6" w:space="0" w:color="BFBFBF"/>
                  </w:tcBorders>
                  <w:shd w:val="clear" w:color="auto" w:fill="F2F2F2" w:themeFill="accent4"/>
                </w:tcPr>
                <w:p w14:paraId="68B591B8" w14:textId="77777777" w:rsidR="00AB5BD9" w:rsidRDefault="00AB5BD9" w:rsidP="00B42F62">
                  <w:pPr>
                    <w:pStyle w:val="TableBodyText"/>
                  </w:pPr>
                  <w:r>
                    <w:t>1.00</w:t>
                  </w:r>
                </w:p>
              </w:tc>
              <w:tc>
                <w:tcPr>
                  <w:tcW w:w="574" w:type="pct"/>
                  <w:tcBorders>
                    <w:bottom w:val="single" w:sz="6" w:space="0" w:color="BFBFBF"/>
                  </w:tcBorders>
                </w:tcPr>
                <w:p w14:paraId="18A43CE7" w14:textId="77777777" w:rsidR="00AB5BD9" w:rsidRDefault="00AB5BD9" w:rsidP="00B42F62">
                  <w:pPr>
                    <w:pStyle w:val="TableBodyText"/>
                  </w:pPr>
                </w:p>
              </w:tc>
              <w:tc>
                <w:tcPr>
                  <w:tcW w:w="737" w:type="pct"/>
                  <w:tcBorders>
                    <w:bottom w:val="single" w:sz="6" w:space="0" w:color="BFBFBF"/>
                  </w:tcBorders>
                </w:tcPr>
                <w:p w14:paraId="6FC12376" w14:textId="77777777" w:rsidR="00AB5BD9" w:rsidRDefault="00AB5BD9" w:rsidP="00B42F62">
                  <w:pPr>
                    <w:pStyle w:val="TableBodyText"/>
                  </w:pPr>
                </w:p>
              </w:tc>
              <w:tc>
                <w:tcPr>
                  <w:tcW w:w="738" w:type="pct"/>
                  <w:tcBorders>
                    <w:bottom w:val="single" w:sz="6" w:space="0" w:color="BFBFBF"/>
                  </w:tcBorders>
                </w:tcPr>
                <w:p w14:paraId="5F7A52E3" w14:textId="77777777" w:rsidR="00AB5BD9" w:rsidRDefault="00AB5BD9" w:rsidP="00B42F62">
                  <w:pPr>
                    <w:pStyle w:val="TableBodyText"/>
                  </w:pPr>
                  <w:r>
                    <w:t>1.00</w:t>
                  </w:r>
                </w:p>
              </w:tc>
              <w:tc>
                <w:tcPr>
                  <w:tcW w:w="737" w:type="pct"/>
                  <w:tcBorders>
                    <w:bottom w:val="single" w:sz="6" w:space="0" w:color="BFBFBF"/>
                  </w:tcBorders>
                </w:tcPr>
                <w:p w14:paraId="72CAB364" w14:textId="77777777" w:rsidR="00AB5BD9" w:rsidRDefault="00AB5BD9" w:rsidP="00B42F62">
                  <w:pPr>
                    <w:pStyle w:val="TableBodyText"/>
                  </w:pPr>
                </w:p>
              </w:tc>
              <w:tc>
                <w:tcPr>
                  <w:tcW w:w="655" w:type="pct"/>
                  <w:tcBorders>
                    <w:bottom w:val="single" w:sz="6" w:space="0" w:color="BFBFBF"/>
                  </w:tcBorders>
                  <w:shd w:val="clear" w:color="auto" w:fill="auto"/>
                </w:tcPr>
                <w:p w14:paraId="6550F6DE" w14:textId="77777777" w:rsidR="00AB5BD9" w:rsidRDefault="00AB5BD9" w:rsidP="00B42F62">
                  <w:pPr>
                    <w:pStyle w:val="TableBodyText"/>
                  </w:pPr>
                </w:p>
              </w:tc>
            </w:tr>
          </w:tbl>
          <w:p w14:paraId="300D92E0" w14:textId="77777777" w:rsidR="00AB5BD9" w:rsidRDefault="00AB5BD9" w:rsidP="00B42F62">
            <w:pPr>
              <w:pStyle w:val="Box"/>
            </w:pPr>
          </w:p>
        </w:tc>
      </w:tr>
      <w:tr w:rsidR="00AB5BD9" w14:paraId="34B0713E" w14:textId="77777777" w:rsidTr="00D00836">
        <w:tc>
          <w:tcPr>
            <w:tcW w:w="8909" w:type="dxa"/>
            <w:tcBorders>
              <w:top w:val="nil"/>
              <w:left w:val="nil"/>
              <w:bottom w:val="nil"/>
              <w:right w:val="nil"/>
            </w:tcBorders>
            <w:shd w:val="clear" w:color="auto" w:fill="auto"/>
          </w:tcPr>
          <w:p w14:paraId="0B541B85" w14:textId="77777777" w:rsidR="00AB5BD9" w:rsidRDefault="00AB5BD9" w:rsidP="00AB5BD9">
            <w:pPr>
              <w:pStyle w:val="Note"/>
              <w:rPr>
                <w:i/>
              </w:rPr>
            </w:pPr>
            <w:r w:rsidRPr="008E77FE">
              <w:rPr>
                <w:rStyle w:val="NoteLabel"/>
              </w:rPr>
              <w:t>a</w:t>
            </w:r>
            <w:r>
              <w:t xml:space="preserve"> In 2008 Australia did not have any imports where the tariff margin was between 10 and 15 per cent.. </w:t>
            </w:r>
          </w:p>
        </w:tc>
      </w:tr>
      <w:tr w:rsidR="00AB5BD9" w14:paraId="2BBE769B" w14:textId="77777777" w:rsidTr="00D00836">
        <w:tc>
          <w:tcPr>
            <w:tcW w:w="8909" w:type="dxa"/>
            <w:tcBorders>
              <w:top w:val="nil"/>
              <w:left w:val="nil"/>
              <w:bottom w:val="nil"/>
              <w:right w:val="nil"/>
            </w:tcBorders>
            <w:shd w:val="clear" w:color="auto" w:fill="auto"/>
          </w:tcPr>
          <w:p w14:paraId="6FF52CA4" w14:textId="781EB2C4" w:rsidR="00AB5BD9" w:rsidRDefault="00AB5BD9" w:rsidP="00213E6A">
            <w:pPr>
              <w:pStyle w:val="Source"/>
            </w:pPr>
            <w:r>
              <w:rPr>
                <w:i/>
              </w:rPr>
              <w:t>Source</w:t>
            </w:r>
            <w:r w:rsidRPr="00167F06">
              <w:t xml:space="preserve">: </w:t>
            </w:r>
            <w:r>
              <w:t xml:space="preserve">Keck and </w:t>
            </w:r>
            <w:proofErr w:type="spellStart"/>
            <w:r>
              <w:t>Lendle</w:t>
            </w:r>
            <w:proofErr w:type="spellEnd"/>
            <w:r>
              <w:t xml:space="preserve"> (2012), table 5.</w:t>
            </w:r>
          </w:p>
        </w:tc>
      </w:tr>
      <w:tr w:rsidR="00AB5BD9" w14:paraId="5069FD83" w14:textId="77777777" w:rsidTr="00D00836">
        <w:tc>
          <w:tcPr>
            <w:tcW w:w="8909" w:type="dxa"/>
            <w:tcBorders>
              <w:top w:val="nil"/>
              <w:left w:val="nil"/>
              <w:bottom w:val="single" w:sz="6" w:space="0" w:color="78A22F"/>
              <w:right w:val="nil"/>
            </w:tcBorders>
            <w:shd w:val="clear" w:color="auto" w:fill="auto"/>
          </w:tcPr>
          <w:p w14:paraId="44D8E8DB" w14:textId="77777777" w:rsidR="00AB5BD9" w:rsidRDefault="00AB5BD9" w:rsidP="00B42F62">
            <w:pPr>
              <w:pStyle w:val="Box"/>
              <w:spacing w:before="0" w:line="120" w:lineRule="exact"/>
            </w:pPr>
          </w:p>
        </w:tc>
      </w:tr>
      <w:tr w:rsidR="00AB5BD9" w:rsidRPr="000863A5" w14:paraId="6FF2CD32" w14:textId="77777777" w:rsidTr="00D00836">
        <w:tc>
          <w:tcPr>
            <w:tcW w:w="8909" w:type="dxa"/>
            <w:tcBorders>
              <w:top w:val="single" w:sz="6" w:space="0" w:color="78A22F"/>
              <w:left w:val="nil"/>
              <w:bottom w:val="nil"/>
              <w:right w:val="nil"/>
            </w:tcBorders>
          </w:tcPr>
          <w:p w14:paraId="0D2F7045" w14:textId="2C2C5F2B" w:rsidR="00AB5BD9" w:rsidRPr="00626D32" w:rsidRDefault="00AB5BD9" w:rsidP="00B42F62">
            <w:pPr>
              <w:pStyle w:val="BoxSpaceBelow"/>
            </w:pPr>
          </w:p>
        </w:tc>
      </w:tr>
    </w:tbl>
    <w:p w14:paraId="4F52F180" w14:textId="3A79AB99" w:rsidR="00CC2521" w:rsidRDefault="00CC2521" w:rsidP="00CC2521">
      <w:pPr>
        <w:pStyle w:val="BodyText"/>
      </w:pPr>
      <w:r>
        <w:t xml:space="preserve">In addition to </w:t>
      </w:r>
      <w:proofErr w:type="spellStart"/>
      <w:r>
        <w:t>RoO</w:t>
      </w:r>
      <w:proofErr w:type="spellEnd"/>
      <w:r>
        <w:t xml:space="preserve"> acting to offset PTA tariff concessions</w:t>
      </w:r>
      <w:r w:rsidR="00BD403D">
        <w:t>,</w:t>
      </w:r>
      <w:r>
        <w:t xml:space="preserve"> the trade effects of some of Australia’s PTAs are likely to be smaller than implied by the headline tariff concessions. </w:t>
      </w:r>
      <w:r w:rsidR="00BD403D">
        <w:t xml:space="preserve"> This is </w:t>
      </w:r>
      <w:r>
        <w:t>because some of the countries that Australia now has a PTA with were, and are still, able to access preferences under the ‘developing country trade preference system’ (known as the Australian System of Tariff Preferences (</w:t>
      </w:r>
      <w:proofErr w:type="spellStart"/>
      <w:r>
        <w:t>ASTP</w:t>
      </w:r>
      <w:proofErr w:type="spellEnd"/>
      <w:r>
        <w:t>)) (box 4). For example, Chin</w:t>
      </w:r>
      <w:r w:rsidR="000D6E1D">
        <w:t>ese exporters</w:t>
      </w:r>
      <w:r>
        <w:t xml:space="preserve"> </w:t>
      </w:r>
      <w:r w:rsidR="00734527">
        <w:t xml:space="preserve">(and Australian consumers) </w:t>
      </w:r>
      <w:r>
        <w:t>saved an estimated $43 million in duty over 2013</w:t>
      </w:r>
      <w:r w:rsidR="00FE23A3">
        <w:t>–</w:t>
      </w:r>
      <w:r>
        <w:t xml:space="preserve">2015, prior to </w:t>
      </w:r>
      <w:proofErr w:type="spellStart"/>
      <w:r>
        <w:t>ChAFTA</w:t>
      </w:r>
      <w:proofErr w:type="spellEnd"/>
      <w:r>
        <w:t xml:space="preserve"> being implemented (</w:t>
      </w:r>
      <w:proofErr w:type="spellStart"/>
      <w:r>
        <w:t>DFAT</w:t>
      </w:r>
      <w:proofErr w:type="spellEnd"/>
      <w:r>
        <w:t xml:space="preserve"> 2016). </w:t>
      </w:r>
      <w:proofErr w:type="spellStart"/>
      <w:r w:rsidRPr="002F2680">
        <w:t>Pomfret</w:t>
      </w:r>
      <w:proofErr w:type="spellEnd"/>
      <w:r w:rsidRPr="002F2680">
        <w:t> et</w:t>
      </w:r>
      <w:r>
        <w:t>. </w:t>
      </w:r>
      <w:r w:rsidRPr="002F2680">
        <w:t>al</w:t>
      </w:r>
      <w:r>
        <w:t>. </w:t>
      </w:r>
      <w:r w:rsidRPr="002F2680">
        <w:t xml:space="preserve">(2009) found that a significant share of imports from Singapore, Thailand and Chile were coming in under some type of concession </w:t>
      </w:r>
      <w:r>
        <w:t xml:space="preserve">(including developing country preferences) </w:t>
      </w:r>
      <w:r w:rsidRPr="002F2680">
        <w:t>before the</w:t>
      </w:r>
      <w:r>
        <w:t>ir PTA</w:t>
      </w:r>
      <w:r w:rsidRPr="002F2680">
        <w:t>.</w:t>
      </w:r>
    </w:p>
    <w:p w14:paraId="5012670E" w14:textId="77777777" w:rsidR="00EC631A" w:rsidRDefault="00EC631A" w:rsidP="00EC631A">
      <w:pPr>
        <w:pStyle w:val="Heading4"/>
      </w:pPr>
      <w:r>
        <w:t>Exports from Australia</w:t>
      </w:r>
    </w:p>
    <w:p w14:paraId="6D086D5C" w14:textId="55F8CE74" w:rsidR="00EC631A" w:rsidRDefault="00EC631A" w:rsidP="00EC631A">
      <w:pPr>
        <w:pStyle w:val="BodyText"/>
      </w:pPr>
      <w:r>
        <w:t xml:space="preserve">Comparable calculations on the export side require the import data of each of the agreement partners, a </w:t>
      </w:r>
      <w:r w:rsidR="00B342EE">
        <w:t>major data gathering exercise which</w:t>
      </w:r>
      <w:r>
        <w:t xml:space="preserve"> has yet to be undertaken comprehensively for all Australia’s PTAs. But </w:t>
      </w:r>
      <w:r w:rsidR="00B342EE">
        <w:t>several</w:t>
      </w:r>
      <w:r>
        <w:t xml:space="preserve"> Australian results come from studies of other countries’ imports. The estimated preference utilisation rate for Australian exporters was 84 per cent under </w:t>
      </w:r>
      <w:proofErr w:type="spellStart"/>
      <w:r>
        <w:t>AUSFTA</w:t>
      </w:r>
      <w:proofErr w:type="spellEnd"/>
      <w:r>
        <w:t xml:space="preserve"> in 2008 (Keck and </w:t>
      </w:r>
      <w:proofErr w:type="spellStart"/>
      <w:r>
        <w:t>Lendle</w:t>
      </w:r>
      <w:proofErr w:type="spellEnd"/>
      <w:r>
        <w:t xml:space="preserve"> 2012) and, despite further reductions in some tariff lines, remained the same in 2011 (Abreu 2013).</w:t>
      </w:r>
    </w:p>
    <w:p w14:paraId="3C07A107" w14:textId="77777777" w:rsidR="00CC2521" w:rsidRPr="00003AA9" w:rsidRDefault="00CC2521" w:rsidP="00CC25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C2521" w14:paraId="62DB9020" w14:textId="77777777" w:rsidTr="00CC2521">
        <w:tc>
          <w:tcPr>
            <w:tcW w:w="8771" w:type="dxa"/>
            <w:tcBorders>
              <w:top w:val="single" w:sz="6" w:space="0" w:color="78A22F"/>
              <w:left w:val="nil"/>
              <w:bottom w:val="nil"/>
              <w:right w:val="nil"/>
            </w:tcBorders>
            <w:shd w:val="clear" w:color="auto" w:fill="F2F2F2"/>
          </w:tcPr>
          <w:p w14:paraId="0BB9681B" w14:textId="38A53542" w:rsidR="00CC2521" w:rsidRDefault="00CC2521" w:rsidP="00CC2521">
            <w:pPr>
              <w:pStyle w:val="BoxTitle"/>
            </w:pPr>
            <w:r>
              <w:rPr>
                <w:b w:val="0"/>
              </w:rPr>
              <w:t>Box 4</w:t>
            </w:r>
            <w:r>
              <w:tab/>
              <w:t>Australia’s system of non</w:t>
            </w:r>
            <w:r w:rsidR="00FE23A3">
              <w:noBreakHyphen/>
            </w:r>
            <w:r>
              <w:t>reciprocal tariff preferences for developing countries</w:t>
            </w:r>
          </w:p>
        </w:tc>
      </w:tr>
      <w:tr w:rsidR="00CC2521" w14:paraId="1CBF65D7" w14:textId="77777777" w:rsidTr="00CC2521">
        <w:tc>
          <w:tcPr>
            <w:tcW w:w="8771" w:type="dxa"/>
            <w:tcBorders>
              <w:top w:val="nil"/>
              <w:left w:val="nil"/>
              <w:bottom w:val="nil"/>
              <w:right w:val="nil"/>
            </w:tcBorders>
            <w:shd w:val="clear" w:color="auto" w:fill="F2F2F2"/>
          </w:tcPr>
          <w:p w14:paraId="1C34FDEF" w14:textId="14E9A5D1" w:rsidR="00CC2521" w:rsidRDefault="00CC2521" w:rsidP="00CC2521">
            <w:pPr>
              <w:pStyle w:val="Box"/>
            </w:pPr>
            <w:r>
              <w:t>In 1966, Australia became the first country to introduce tariff preferences for developing countries, known as Australian System of Tariff Preferences (</w:t>
            </w:r>
            <w:proofErr w:type="spellStart"/>
            <w:r>
              <w:t>ASTP</w:t>
            </w:r>
            <w:proofErr w:type="spellEnd"/>
            <w:r>
              <w:t xml:space="preserve">). The intent of </w:t>
            </w:r>
            <w:proofErr w:type="spellStart"/>
            <w:r>
              <w:t>ASTP</w:t>
            </w:r>
            <w:proofErr w:type="spellEnd"/>
            <w:r>
              <w:t xml:space="preserve"> is to support the integration of developing countries into the global trading system as a means to promote their economic growth. </w:t>
            </w:r>
          </w:p>
          <w:p w14:paraId="37FE794A" w14:textId="3E2701B3" w:rsidR="00CC2521" w:rsidRDefault="00CC2521" w:rsidP="00CC2521">
            <w:pPr>
              <w:pStyle w:val="Box"/>
            </w:pPr>
            <w:r>
              <w:t xml:space="preserve">The </w:t>
            </w:r>
            <w:proofErr w:type="spellStart"/>
            <w:r>
              <w:t>ATSP</w:t>
            </w:r>
            <w:proofErr w:type="spellEnd"/>
            <w:r>
              <w:t xml:space="preserve"> covers </w:t>
            </w:r>
            <w:r>
              <w:rPr>
                <w:rFonts w:cs="Arial"/>
              </w:rPr>
              <w:t>145 countries and 31 places</w:t>
            </w:r>
            <w:r>
              <w:t>. All c</w:t>
            </w:r>
            <w:r w:rsidRPr="002E69AA">
              <w:t>ountries</w:t>
            </w:r>
            <w:r>
              <w:t xml:space="preserve">, except the USA, NZ and Japan, </w:t>
            </w:r>
            <w:r w:rsidRPr="002E69AA">
              <w:t xml:space="preserve"> with which Australia has a </w:t>
            </w:r>
            <w:r>
              <w:t xml:space="preserve">PTA are on the </w:t>
            </w:r>
            <w:proofErr w:type="spellStart"/>
            <w:r>
              <w:t>ASTP</w:t>
            </w:r>
            <w:proofErr w:type="spellEnd"/>
            <w:r>
              <w:t xml:space="preserve"> eligible list, and all (except Chile) have utilised the </w:t>
            </w:r>
            <w:proofErr w:type="spellStart"/>
            <w:r>
              <w:t>ATSP</w:t>
            </w:r>
            <w:proofErr w:type="spellEnd"/>
            <w:r>
              <w:t xml:space="preserve"> between 2013 and 2015 (</w:t>
            </w:r>
            <w:proofErr w:type="spellStart"/>
            <w:r>
              <w:t>DFAT</w:t>
            </w:r>
            <w:proofErr w:type="spellEnd"/>
            <w:r>
              <w:t> 2016, table 3, p.</w:t>
            </w:r>
            <w:r w:rsidR="00FE23A3">
              <w:t> </w:t>
            </w:r>
            <w:r>
              <w:t>16)</w:t>
            </w:r>
            <w:r w:rsidR="00FE5D4E">
              <w:t>.</w:t>
            </w:r>
          </w:p>
          <w:p w14:paraId="628B0D8D" w14:textId="4DED19C3" w:rsidR="00FE5D4E" w:rsidRDefault="00FE5D4E" w:rsidP="00FE5D4E">
            <w:pPr>
              <w:pStyle w:val="Box"/>
            </w:pPr>
            <w:r>
              <w:t xml:space="preserve">The </w:t>
            </w:r>
            <w:proofErr w:type="spellStart"/>
            <w:r>
              <w:t>RoO</w:t>
            </w:r>
            <w:proofErr w:type="spellEnd"/>
            <w:r>
              <w:t xml:space="preserve"> for the </w:t>
            </w:r>
            <w:proofErr w:type="spellStart"/>
            <w:r>
              <w:t>ATSP</w:t>
            </w:r>
            <w:proofErr w:type="spellEnd"/>
            <w:r>
              <w:t xml:space="preserve"> requires that the final manufacture must be carried out in the country claiming preferences, and at least 50 per cent of the factory cost must consist of labour and/or materials. However, these qualifying inputs can come from one or more of the over 100 countries covered by</w:t>
            </w:r>
            <w:r w:rsidR="00B342EE">
              <w:t xml:space="preserve"> the scheme (essentially, full</w:t>
            </w:r>
            <w:r w:rsidR="00FE23A3">
              <w:noBreakHyphen/>
            </w:r>
            <w:r>
              <w:t xml:space="preserve">scale </w:t>
            </w:r>
            <w:proofErr w:type="spellStart"/>
            <w:r>
              <w:t>cumulation</w:t>
            </w:r>
            <w:proofErr w:type="spellEnd"/>
            <w:r>
              <w:t>). For Less Developed Countries (</w:t>
            </w:r>
            <w:proofErr w:type="spellStart"/>
            <w:r>
              <w:t>LDCs</w:t>
            </w:r>
            <w:proofErr w:type="spellEnd"/>
            <w:r>
              <w:t xml:space="preserve">) the </w:t>
            </w:r>
            <w:proofErr w:type="spellStart"/>
            <w:r>
              <w:t>RoO</w:t>
            </w:r>
            <w:proofErr w:type="spellEnd"/>
            <w:r>
              <w:t xml:space="preserve"> is, surpris</w:t>
            </w:r>
            <w:r w:rsidR="002B4A6C">
              <w:t>i</w:t>
            </w:r>
            <w:r>
              <w:t xml:space="preserve">ngly, more stringent. At least 25 per cent of factory cost must be from one or more of the </w:t>
            </w:r>
            <w:proofErr w:type="spellStart"/>
            <w:r>
              <w:t>LDC</w:t>
            </w:r>
            <w:proofErr w:type="spellEnd"/>
            <w:r>
              <w:t xml:space="preserve"> (a more limited list than of </w:t>
            </w:r>
            <w:r w:rsidR="00B342EE">
              <w:t>developing countrie</w:t>
            </w:r>
            <w:r>
              <w:t xml:space="preserve">s) with at least 25 per cent from other countries in the qualifying area. This difference in </w:t>
            </w:r>
            <w:proofErr w:type="spellStart"/>
            <w:r>
              <w:t>RoO</w:t>
            </w:r>
            <w:proofErr w:type="spellEnd"/>
            <w:r>
              <w:t xml:space="preserve"> is a consequence of the ad hoc nature by which the </w:t>
            </w:r>
            <w:proofErr w:type="spellStart"/>
            <w:r>
              <w:t>ATSP</w:t>
            </w:r>
            <w:proofErr w:type="spellEnd"/>
            <w:r>
              <w:t xml:space="preserve"> has evolved. </w:t>
            </w:r>
            <w:proofErr w:type="spellStart"/>
            <w:r>
              <w:t>DFAT</w:t>
            </w:r>
            <w:proofErr w:type="spellEnd"/>
            <w:r>
              <w:t xml:space="preserve"> are currently reviewing the </w:t>
            </w:r>
            <w:proofErr w:type="spellStart"/>
            <w:r>
              <w:t>ASTP</w:t>
            </w:r>
            <w:proofErr w:type="spellEnd"/>
            <w:r>
              <w:t>.</w:t>
            </w:r>
          </w:p>
          <w:p w14:paraId="387FDFF4" w14:textId="2C20AD30" w:rsidR="00CC2521" w:rsidRDefault="00CC2521" w:rsidP="00B342EE">
            <w:pPr>
              <w:pStyle w:val="Box"/>
            </w:pPr>
            <w:r>
              <w:t>Following the 1979</w:t>
            </w:r>
            <w:r w:rsidR="00B342EE">
              <w:t xml:space="preserve"> </w:t>
            </w:r>
            <w:r>
              <w:t>General Agreement on Tariffs and Trade (GATT)</w:t>
            </w:r>
            <w:r w:rsidR="00B342EE">
              <w:t>,</w:t>
            </w:r>
            <w:r>
              <w:t xml:space="preserve"> contracting parties established the basis for a generalized system of non</w:t>
            </w:r>
            <w:r w:rsidR="00FE23A3">
              <w:noBreakHyphen/>
            </w:r>
            <w:r>
              <w:t>discriminatory and non</w:t>
            </w:r>
            <w:r w:rsidR="00FE23A3">
              <w:noBreakHyphen/>
            </w:r>
            <w:r>
              <w:t>reciprocal preferences (GSP) for developing countries. There are now 11 WTO members with GSP schemes: Australia, Canada, the European Union (EU), Japan, Iceland, New Zealand, Norway, the Eurasian Customs Union, Switzerland, Turkey and the USA. The international GSP schemes differ in the coverage of countries, the a</w:t>
            </w:r>
            <w:r w:rsidR="00A9670B">
              <w:t>mount of preference and the ROO</w:t>
            </w:r>
            <w:r>
              <w:t xml:space="preserve">. </w:t>
            </w:r>
          </w:p>
        </w:tc>
      </w:tr>
      <w:tr w:rsidR="00CC2521" w14:paraId="61AC2099" w14:textId="77777777" w:rsidTr="00CC2521">
        <w:tc>
          <w:tcPr>
            <w:tcW w:w="8771" w:type="dxa"/>
            <w:tcBorders>
              <w:top w:val="nil"/>
              <w:left w:val="nil"/>
              <w:bottom w:val="nil"/>
              <w:right w:val="nil"/>
            </w:tcBorders>
            <w:shd w:val="clear" w:color="auto" w:fill="F2F2F2"/>
          </w:tcPr>
          <w:p w14:paraId="75B2A68B" w14:textId="082CBEE8" w:rsidR="00CC2521" w:rsidRDefault="00CC2521" w:rsidP="00C45083">
            <w:pPr>
              <w:pStyle w:val="BoxSource"/>
            </w:pPr>
            <w:r>
              <w:rPr>
                <w:i/>
              </w:rPr>
              <w:t>Source</w:t>
            </w:r>
            <w:r w:rsidRPr="00167F06">
              <w:t xml:space="preserve">: </w:t>
            </w:r>
            <w:r>
              <w:t>Australian Government 2016.</w:t>
            </w:r>
          </w:p>
        </w:tc>
      </w:tr>
      <w:tr w:rsidR="00CC2521" w14:paraId="6E763D59" w14:textId="77777777" w:rsidTr="00CC2521">
        <w:tc>
          <w:tcPr>
            <w:tcW w:w="8771" w:type="dxa"/>
            <w:tcBorders>
              <w:top w:val="nil"/>
              <w:left w:val="nil"/>
              <w:bottom w:val="single" w:sz="6" w:space="0" w:color="78A22F"/>
              <w:right w:val="nil"/>
            </w:tcBorders>
            <w:shd w:val="clear" w:color="auto" w:fill="F2F2F2"/>
          </w:tcPr>
          <w:p w14:paraId="236B8266" w14:textId="77777777" w:rsidR="00CC2521" w:rsidRDefault="00CC2521" w:rsidP="00CC2521">
            <w:pPr>
              <w:pStyle w:val="Box"/>
              <w:spacing w:before="0" w:line="120" w:lineRule="exact"/>
            </w:pPr>
          </w:p>
        </w:tc>
      </w:tr>
      <w:tr w:rsidR="00CC2521" w:rsidRPr="000863A5" w14:paraId="616769C7" w14:textId="77777777" w:rsidTr="00CC2521">
        <w:tc>
          <w:tcPr>
            <w:tcW w:w="8771" w:type="dxa"/>
            <w:tcBorders>
              <w:top w:val="single" w:sz="6" w:space="0" w:color="78A22F"/>
              <w:left w:val="nil"/>
              <w:bottom w:val="nil"/>
              <w:right w:val="nil"/>
            </w:tcBorders>
          </w:tcPr>
          <w:p w14:paraId="491C654F" w14:textId="77777777" w:rsidR="00CC2521" w:rsidRPr="00626D32" w:rsidRDefault="00CC2521" w:rsidP="00CC2521">
            <w:pPr>
              <w:pStyle w:val="BoxSpaceBelow"/>
            </w:pPr>
          </w:p>
        </w:tc>
      </w:tr>
    </w:tbl>
    <w:p w14:paraId="21755AAD" w14:textId="30E2762E" w:rsidR="00250875" w:rsidRDefault="00B6053E" w:rsidP="00B23DD1">
      <w:pPr>
        <w:pStyle w:val="BodyText"/>
        <w:spacing w:before="200"/>
      </w:pPr>
      <w:r>
        <w:t>S</w:t>
      </w:r>
      <w:r w:rsidR="00250875">
        <w:t xml:space="preserve">urvey evidence provides some insights into </w:t>
      </w:r>
      <w:r>
        <w:t xml:space="preserve">the awareness of </w:t>
      </w:r>
      <w:r w:rsidR="00250875">
        <w:t>preference</w:t>
      </w:r>
      <w:r>
        <w:t>s by</w:t>
      </w:r>
      <w:r w:rsidR="007271C2">
        <w:t xml:space="preserve"> </w:t>
      </w:r>
      <w:r w:rsidR="00F01537">
        <w:t xml:space="preserve">Australian exporters. </w:t>
      </w:r>
      <w:r w:rsidR="00250875">
        <w:t>BCA (</w:t>
      </w:r>
      <w:proofErr w:type="spellStart"/>
      <w:r w:rsidR="00250875">
        <w:t>2015</w:t>
      </w:r>
      <w:r w:rsidR="00313F8B">
        <w:t>a</w:t>
      </w:r>
      <w:proofErr w:type="spellEnd"/>
      <w:r w:rsidR="00250875">
        <w:t>) report that 85 per cent of respondents (Australian and non</w:t>
      </w:r>
      <w:r w:rsidR="00FE23A3">
        <w:noBreakHyphen/>
      </w:r>
      <w:r w:rsidR="00250875">
        <w:t>Australian) in a survey across the Asia</w:t>
      </w:r>
      <w:r w:rsidR="00FE23A3">
        <w:noBreakHyphen/>
      </w:r>
      <w:r w:rsidR="00250875">
        <w:t xml:space="preserve">Pacific region </w:t>
      </w:r>
      <w:r w:rsidR="00B342EE">
        <w:t xml:space="preserve">who have used agreements </w:t>
      </w:r>
      <w:r w:rsidR="00250875">
        <w:t>declared that their exports had increased either significantly (23 per cent) or moderately (6</w:t>
      </w:r>
      <w:r w:rsidR="00FE5D4E">
        <w:t>3 per cent) as a result of the P</w:t>
      </w:r>
      <w:r w:rsidR="00250875">
        <w:t xml:space="preserve">TAs that they use. </w:t>
      </w:r>
      <w:r w:rsidR="00B342EE">
        <w:t>But more generally,</w:t>
      </w:r>
      <w:r w:rsidR="00250875">
        <w:t xml:space="preserve"> there is a lack of awareness of </w:t>
      </w:r>
      <w:r w:rsidR="00CC2521">
        <w:t>P</w:t>
      </w:r>
      <w:r w:rsidR="00250875">
        <w:t>TAs (44 per cent of respondents). For Australian res</w:t>
      </w:r>
      <w:r w:rsidR="00FE5D4E">
        <w:t>pondents, 19 per cent utilised P</w:t>
      </w:r>
      <w:r w:rsidR="00250875">
        <w:t>TAs, with many non</w:t>
      </w:r>
      <w:r w:rsidR="00FE23A3">
        <w:noBreakHyphen/>
      </w:r>
      <w:r w:rsidR="00250875">
        <w:t>users submitting they were deterred by the complexity and regulatory hurdles they face to comply with the agreements. Oth</w:t>
      </w:r>
      <w:r w:rsidR="00FE5D4E">
        <w:t>er reasons cited for not using P</w:t>
      </w:r>
      <w:r w:rsidR="00250875">
        <w:t>TA</w:t>
      </w:r>
      <w:r w:rsidR="00FE5D4E">
        <w:t>s in order of importance were: P</w:t>
      </w:r>
      <w:r w:rsidR="00250875">
        <w:t>TA countries were not attractive markets; offered no substantial new market access; irrelevance; and cannot see the benefits.</w:t>
      </w:r>
    </w:p>
    <w:p w14:paraId="2E246BF3" w14:textId="445E4593" w:rsidR="00A27D89" w:rsidRDefault="00F01537" w:rsidP="00B23DD1">
      <w:pPr>
        <w:pStyle w:val="BodyText"/>
        <w:spacing w:before="200"/>
      </w:pPr>
      <w:r>
        <w:t>Another recent survey of 202 Australian international trade businesses found that PTAs were not relevant to around 45 per cent of respondents (</w:t>
      </w:r>
      <w:proofErr w:type="spellStart"/>
      <w:r>
        <w:t>ACCI</w:t>
      </w:r>
      <w:proofErr w:type="spellEnd"/>
      <w:r>
        <w:t xml:space="preserve"> </w:t>
      </w:r>
      <w:proofErr w:type="spellStart"/>
      <w:r>
        <w:t>2016</w:t>
      </w:r>
      <w:r w:rsidR="00313F8B">
        <w:t>a</w:t>
      </w:r>
      <w:proofErr w:type="spellEnd"/>
      <w:r>
        <w:t>, p.</w:t>
      </w:r>
      <w:r w:rsidR="00FE23A3">
        <w:t> </w:t>
      </w:r>
      <w:r>
        <w:t>13)</w:t>
      </w:r>
      <w:r w:rsidRPr="0094336A">
        <w:rPr>
          <w:rStyle w:val="FootnoteReference"/>
        </w:rPr>
        <w:t xml:space="preserve"> </w:t>
      </w:r>
      <w:r>
        <w:rPr>
          <w:rStyle w:val="FootnoteReference"/>
        </w:rPr>
        <w:footnoteReference w:id="4"/>
      </w:r>
      <w:r>
        <w:t>. For those where PTAs were relevant, over half reported they did not understand the agreements (though about 10 per cent of this group did nonetheless use the agreements)</w:t>
      </w:r>
      <w:r w:rsidR="00C90FDB">
        <w:t>. Only one</w:t>
      </w:r>
      <w:r w:rsidR="00FE23A3">
        <w:noBreakHyphen/>
      </w:r>
      <w:r w:rsidR="00C90FDB">
        <w:t xml:space="preserve">third of those who </w:t>
      </w:r>
      <w:r>
        <w:t xml:space="preserve">did understand the agreements </w:t>
      </w:r>
      <w:r w:rsidR="00C90FDB">
        <w:t>reported accessing the preferences</w:t>
      </w:r>
      <w:r>
        <w:t xml:space="preserve">. </w:t>
      </w:r>
      <w:r>
        <w:lastRenderedPageBreak/>
        <w:t xml:space="preserve">The </w:t>
      </w:r>
      <w:proofErr w:type="spellStart"/>
      <w:r>
        <w:t>AUSFTA</w:t>
      </w:r>
      <w:proofErr w:type="spellEnd"/>
      <w:r>
        <w:t xml:space="preserve"> and Australia</w:t>
      </w:r>
      <w:r w:rsidR="00FE23A3">
        <w:noBreakHyphen/>
      </w:r>
      <w:r>
        <w:t>ASEAN</w:t>
      </w:r>
      <w:r w:rsidR="00FE23A3">
        <w:noBreakHyphen/>
      </w:r>
      <w:r>
        <w:t xml:space="preserve">New Zealand agreements were the most ‘understood and used’ and </w:t>
      </w:r>
      <w:r w:rsidR="00C90FDB">
        <w:t>t</w:t>
      </w:r>
      <w:r>
        <w:t>he Australia</w:t>
      </w:r>
      <w:r w:rsidR="00FE23A3">
        <w:noBreakHyphen/>
      </w:r>
      <w:r>
        <w:t>Chile agreement the least</w:t>
      </w:r>
      <w:r w:rsidR="00250875">
        <w:t>.</w:t>
      </w:r>
    </w:p>
    <w:p w14:paraId="464E1F98" w14:textId="77777777" w:rsidR="00172C3B" w:rsidRDefault="00BB012D" w:rsidP="002477A5">
      <w:pPr>
        <w:pStyle w:val="Heading2"/>
      </w:pPr>
      <w:r>
        <w:t>3</w:t>
      </w:r>
      <w:r w:rsidR="00BA0DDA">
        <w:tab/>
      </w:r>
      <w:r w:rsidR="00172C3B">
        <w:t xml:space="preserve">Are </w:t>
      </w:r>
      <w:proofErr w:type="spellStart"/>
      <w:r w:rsidR="00172C3B">
        <w:t>RoO</w:t>
      </w:r>
      <w:proofErr w:type="spellEnd"/>
      <w:r w:rsidR="00172C3B">
        <w:t xml:space="preserve"> </w:t>
      </w:r>
      <w:r w:rsidR="00700E42">
        <w:t>adding stumbling blocks</w:t>
      </w:r>
      <w:r w:rsidR="00B6053E">
        <w:t xml:space="preserve"> to </w:t>
      </w:r>
      <w:proofErr w:type="spellStart"/>
      <w:r w:rsidR="00B6053E">
        <w:t>multilateralisation</w:t>
      </w:r>
      <w:proofErr w:type="spellEnd"/>
      <w:r w:rsidR="00700E42">
        <w:t>?</w:t>
      </w:r>
    </w:p>
    <w:p w14:paraId="3E1EEDA6" w14:textId="358A5952" w:rsidR="00A34B7A" w:rsidRDefault="00C169A1" w:rsidP="002477A5">
      <w:pPr>
        <w:pStyle w:val="BodyText"/>
      </w:pPr>
      <w:r>
        <w:t xml:space="preserve">In a world where governments have largely stepped back from unilateral trade liberalisation and multilateral negotiations have stalled, </w:t>
      </w:r>
      <w:r w:rsidR="00734527">
        <w:t>it has been argued that</w:t>
      </w:r>
      <w:r>
        <w:t xml:space="preserve"> bilateral and regional trade agreements can be a force for liberalisation </w:t>
      </w:r>
      <w:r w:rsidR="00734527">
        <w:t xml:space="preserve">(for example, </w:t>
      </w:r>
      <w:r w:rsidR="00B6053E">
        <w:t>Griswold (2003),</w:t>
      </w:r>
      <w:r w:rsidR="00734527">
        <w:t xml:space="preserve"> </w:t>
      </w:r>
      <w:proofErr w:type="spellStart"/>
      <w:r w:rsidR="00B6053E">
        <w:t>Hufbauer</w:t>
      </w:r>
      <w:proofErr w:type="spellEnd"/>
      <w:r w:rsidR="00B6053E">
        <w:t xml:space="preserve"> (WTO Forum 2013)</w:t>
      </w:r>
      <w:r w:rsidR="00734527">
        <w:t>)</w:t>
      </w:r>
      <w:r w:rsidR="00B6053E">
        <w:t xml:space="preserve">. </w:t>
      </w:r>
      <w:r>
        <w:t>However, m</w:t>
      </w:r>
      <w:r w:rsidR="00A34B7A">
        <w:t xml:space="preserve">ultiple agreements, each with its own </w:t>
      </w:r>
      <w:proofErr w:type="spellStart"/>
      <w:r w:rsidR="00A34B7A">
        <w:t>RoO</w:t>
      </w:r>
      <w:proofErr w:type="spellEnd"/>
      <w:r w:rsidR="00A34B7A">
        <w:t>, and tariff reduction schedules, complicate the production and trade calculus.</w:t>
      </w:r>
      <w:r w:rsidR="00B6053E">
        <w:t xml:space="preserve"> </w:t>
      </w:r>
      <w:proofErr w:type="spellStart"/>
      <w:r w:rsidR="00B6053E">
        <w:t>Baghwati</w:t>
      </w:r>
      <w:proofErr w:type="spellEnd"/>
      <w:r w:rsidR="00B6053E">
        <w:t xml:space="preserve"> (2008) has desc</w:t>
      </w:r>
      <w:r w:rsidR="00186C3E">
        <w:t>r</w:t>
      </w:r>
      <w:r w:rsidR="00B6053E">
        <w:t xml:space="preserve">ibed this </w:t>
      </w:r>
      <w:r w:rsidR="00CA2A2D">
        <w:t xml:space="preserve">set of overlapping agreements </w:t>
      </w:r>
      <w:r w:rsidR="00B6053E">
        <w:t xml:space="preserve">as the </w:t>
      </w:r>
      <w:r w:rsidR="00CC2521">
        <w:t>‘</w:t>
      </w:r>
      <w:r w:rsidR="00B6053E">
        <w:t>spaghetti bowl</w:t>
      </w:r>
      <w:r w:rsidR="00CC2521">
        <w:t>’</w:t>
      </w:r>
      <w:r w:rsidR="00B6053E">
        <w:t>, and more recently Davidson (2014) labelled Australia’s set of agreements as the ‘noodle</w:t>
      </w:r>
      <w:r w:rsidR="00FE23A3">
        <w:noBreakHyphen/>
      </w:r>
      <w:r w:rsidR="00B6053E">
        <w:t>bowl’.</w:t>
      </w:r>
      <w:r w:rsidR="004D1631">
        <w:t xml:space="preserve"> </w:t>
      </w:r>
      <w:proofErr w:type="spellStart"/>
      <w:r w:rsidR="004D1631">
        <w:t>Bhagwati’s</w:t>
      </w:r>
      <w:proofErr w:type="spellEnd"/>
      <w:r w:rsidR="004D1631">
        <w:t xml:space="preserve"> real concern about PTAs is that they have distortionary effects on world trade, with costs imposed not just on the party countries (relative to free trade and on occasion relative to the status</w:t>
      </w:r>
      <w:r w:rsidR="00B342EE">
        <w:t xml:space="preserve"> quo), but on other</w:t>
      </w:r>
      <w:r w:rsidR="006C5EFB">
        <w:t>, third</w:t>
      </w:r>
      <w:r w:rsidR="00FE23A3">
        <w:noBreakHyphen/>
      </w:r>
      <w:r w:rsidR="006C5EFB">
        <w:t>party</w:t>
      </w:r>
      <w:r w:rsidR="00734527">
        <w:t>,</w:t>
      </w:r>
      <w:r w:rsidR="00B342EE">
        <w:t xml:space="preserve"> countries. T</w:t>
      </w:r>
      <w:r w:rsidR="004D1631">
        <w:t>hey can also be distortionary for the countries involved, and such distortions can multiply with the number of agreements (box</w:t>
      </w:r>
      <w:r w:rsidR="00C742BF">
        <w:t> </w:t>
      </w:r>
      <w:r w:rsidR="004D1631">
        <w:t>5).</w:t>
      </w:r>
    </w:p>
    <w:p w14:paraId="1C0B9A52" w14:textId="0F3826B7" w:rsidR="00C45083" w:rsidRDefault="00C45083" w:rsidP="00C45083">
      <w:pPr>
        <w:pStyle w:val="Heading3"/>
        <w:spacing w:before="480"/>
      </w:pPr>
      <w:r>
        <w:t xml:space="preserve">The spaghetti bowl of PTAs and </w:t>
      </w:r>
      <w:proofErr w:type="spellStart"/>
      <w:r>
        <w:t>RoO</w:t>
      </w:r>
      <w:proofErr w:type="spellEnd"/>
      <w:r>
        <w:t xml:space="preserve"> arrangements</w:t>
      </w:r>
    </w:p>
    <w:p w14:paraId="042BEED2" w14:textId="3EF67664" w:rsidR="00C45083" w:rsidRDefault="00C45083" w:rsidP="00C45083">
      <w:pPr>
        <w:pStyle w:val="Heading4"/>
        <w:spacing w:before="360"/>
      </w:pPr>
      <w:r>
        <w:t>Australia’s ‘noodle</w:t>
      </w:r>
      <w:r w:rsidR="00FE23A3">
        <w:noBreakHyphen/>
      </w:r>
      <w:r>
        <w:t>bowl’ of PTAs</w:t>
      </w:r>
    </w:p>
    <w:p w14:paraId="24759627" w14:textId="296F7C0F" w:rsidR="00C45083" w:rsidRDefault="00C45083" w:rsidP="00C45083">
      <w:pPr>
        <w:pStyle w:val="BodyText"/>
      </w:pPr>
      <w:r>
        <w:t>Australia has signed 10 PTAs (9 bilateral), and is negotiating agreements with India and Indonesia (figure 4). Australia also signed the Trans</w:t>
      </w:r>
      <w:r w:rsidR="00FE23A3">
        <w:noBreakHyphen/>
      </w:r>
      <w:r>
        <w:t>Pacific Partnership Agreement (</w:t>
      </w:r>
      <w:proofErr w:type="spellStart"/>
      <w:r>
        <w:t>TPP</w:t>
      </w:r>
      <w:proofErr w:type="spellEnd"/>
      <w:r>
        <w:t>) in 2016, although this is unlikely to be implemented due to the withdrawal of the United States. Australia is also part of the Asia</w:t>
      </w:r>
      <w:r w:rsidR="00FE23A3">
        <w:noBreakHyphen/>
      </w:r>
      <w:r>
        <w:t xml:space="preserve">Pacific Economic Community (APEC), although this is a commitment to cooperation on (tariff) liberalisation and other activities to support trade on an MFN basis — a concept known as open regionalism — rather than a PTA. </w:t>
      </w:r>
    </w:p>
    <w:p w14:paraId="37A48E78" w14:textId="244E79CC" w:rsidR="00C45083" w:rsidRDefault="00C45083" w:rsidP="002477A5">
      <w:pPr>
        <w:pStyle w:val="BodyText"/>
      </w:pPr>
      <w:r>
        <w:t>As a reminder that multilateral approaches are not quite dead, in 2015 Australia concluded the Expansion of the Information Technology Agreement (</w:t>
      </w:r>
      <w:proofErr w:type="spellStart"/>
      <w:r>
        <w:t>ITA</w:t>
      </w:r>
      <w:proofErr w:type="spellEnd"/>
      <w:r>
        <w:t xml:space="preserve">) with over 50 WTO Member countries, which provides for tariff reductions on 201 IT products. All of these products are also covered by Australia’s PTAs. The tariff reductions on these products differ between the PTAs and the </w:t>
      </w:r>
      <w:proofErr w:type="spellStart"/>
      <w:r>
        <w:t>ITA</w:t>
      </w:r>
      <w:proofErr w:type="spellEnd"/>
      <w:r>
        <w:t xml:space="preserve">. The </w:t>
      </w:r>
      <w:proofErr w:type="spellStart"/>
      <w:r>
        <w:t>ITA</w:t>
      </w:r>
      <w:proofErr w:type="spellEnd"/>
      <w:r>
        <w:t xml:space="preserve"> tariff reductions are on an MFN bound rate basis — passed on to all WTO members, not just the </w:t>
      </w:r>
      <w:proofErr w:type="spellStart"/>
      <w:r>
        <w:t>ITA</w:t>
      </w:r>
      <w:proofErr w:type="spellEnd"/>
      <w:r>
        <w:t xml:space="preserve"> signatories — and therefore not subject to </w:t>
      </w:r>
      <w:proofErr w:type="spellStart"/>
      <w:r>
        <w:t>RoO</w:t>
      </w:r>
      <w:proofErr w:type="spellEnd"/>
      <w:r>
        <w:t>. Another multilateral negotiation underway is the Environmental Goods Agreement (</w:t>
      </w:r>
      <w:proofErr w:type="spellStart"/>
      <w:r>
        <w:t>EGA</w:t>
      </w:r>
      <w:proofErr w:type="spellEnd"/>
      <w:r>
        <w:t>), which Australia chairs. This aims to expand the list of 54 environmental goods that the APEC countries agreed for tariff reduction in 2012.</w:t>
      </w:r>
    </w:p>
    <w:p w14:paraId="438FD491" w14:textId="3D4BB163" w:rsidR="004D1631" w:rsidRDefault="004D163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D1631" w14:paraId="72E935F0" w14:textId="77777777" w:rsidTr="0078515C">
        <w:tc>
          <w:tcPr>
            <w:tcW w:w="8771" w:type="dxa"/>
            <w:tcBorders>
              <w:top w:val="single" w:sz="6" w:space="0" w:color="78A22F"/>
              <w:left w:val="nil"/>
              <w:bottom w:val="nil"/>
              <w:right w:val="nil"/>
            </w:tcBorders>
            <w:shd w:val="clear" w:color="auto" w:fill="F2F2F2"/>
          </w:tcPr>
          <w:p w14:paraId="7FDAA1A7" w14:textId="4B9F794D" w:rsidR="004D1631" w:rsidRDefault="004D1631" w:rsidP="004D1631">
            <w:pPr>
              <w:pStyle w:val="BoxTitle"/>
            </w:pPr>
            <w:r>
              <w:rPr>
                <w:b w:val="0"/>
              </w:rPr>
              <w:t xml:space="preserve">Box </w:t>
            </w:r>
            <w:r w:rsidR="0088490F">
              <w:rPr>
                <w:b w:val="0"/>
              </w:rPr>
              <w:t>5</w:t>
            </w:r>
            <w:r w:rsidR="00DF47C3">
              <w:rPr>
                <w:b w:val="0"/>
              </w:rPr>
              <w:t xml:space="preserve"> </w:t>
            </w:r>
            <w:r>
              <w:tab/>
              <w:t xml:space="preserve">The distortionary influences of </w:t>
            </w:r>
            <w:proofErr w:type="spellStart"/>
            <w:r w:rsidR="000B677B">
              <w:t>RoO</w:t>
            </w:r>
            <w:proofErr w:type="spellEnd"/>
            <w:r w:rsidR="000B677B">
              <w:t xml:space="preserve"> in </w:t>
            </w:r>
            <w:r>
              <w:t>PTAs</w:t>
            </w:r>
          </w:p>
          <w:p w14:paraId="017881DA" w14:textId="0319DA3D" w:rsidR="004D1631" w:rsidRDefault="004D1631" w:rsidP="002321EF">
            <w:pPr>
              <w:pStyle w:val="Box"/>
            </w:pPr>
            <w:r>
              <w:t>While consumers</w:t>
            </w:r>
            <w:r w:rsidR="00297B13">
              <w:t>, exporters</w:t>
            </w:r>
            <w:r w:rsidR="00734527">
              <w:t>,</w:t>
            </w:r>
            <w:r w:rsidR="00297B13">
              <w:t xml:space="preserve"> and importers </w:t>
            </w:r>
            <w:r>
              <w:t>should gain from preference utilisation under any PTA, this has the potential to divert trade from more efficient providers in non</w:t>
            </w:r>
            <w:r w:rsidR="00FE23A3">
              <w:noBreakHyphen/>
            </w:r>
            <w:r>
              <w:t>partner countries.</w:t>
            </w:r>
          </w:p>
          <w:p w14:paraId="02CA35E9" w14:textId="0561E141" w:rsidR="00CC2521" w:rsidRDefault="004D1631" w:rsidP="002321EF">
            <w:pPr>
              <w:pStyle w:val="Box"/>
            </w:pPr>
            <w:r>
              <w:t xml:space="preserve">Trade diversion happens because the tariff preference allows the </w:t>
            </w:r>
            <w:r w:rsidR="005177ED">
              <w:t>PTA</w:t>
            </w:r>
            <w:r w:rsidR="00FE23A3">
              <w:noBreakHyphen/>
            </w:r>
            <w:r>
              <w:t>partner exporter to ‘undercut’ existing (or potential) ch</w:t>
            </w:r>
            <w:r w:rsidR="00B342EE">
              <w:t>eaper non</w:t>
            </w:r>
            <w:r w:rsidR="00FE23A3">
              <w:noBreakHyphen/>
            </w:r>
            <w:r w:rsidR="00B342EE">
              <w:t>party suppliers. I</w:t>
            </w:r>
            <w:r>
              <w:t xml:space="preserve">t is the </w:t>
            </w:r>
            <w:proofErr w:type="spellStart"/>
            <w:r>
              <w:t>RoO</w:t>
            </w:r>
            <w:proofErr w:type="spellEnd"/>
            <w:r>
              <w:t xml:space="preserve"> transformation test that protects this advantage by preventing </w:t>
            </w:r>
            <w:r w:rsidR="005177ED">
              <w:t>third</w:t>
            </w:r>
            <w:r w:rsidR="00FE23A3">
              <w:noBreakHyphen/>
            </w:r>
            <w:r w:rsidR="005177ED">
              <w:t>party</w:t>
            </w:r>
            <w:r>
              <w:t xml:space="preserve"> </w:t>
            </w:r>
            <w:r w:rsidR="005177ED">
              <w:t xml:space="preserve">country </w:t>
            </w:r>
            <w:r>
              <w:t>transhipment. Thus, there is trade creation between the partners and trade diversion away from lower cost sources.</w:t>
            </w:r>
            <w:r w:rsidR="000B677B">
              <w:t xml:space="preserve"> If the agreement partner is the existing supplier of a product — a so called natural trading partner — the </w:t>
            </w:r>
            <w:proofErr w:type="spellStart"/>
            <w:r w:rsidR="000B677B">
              <w:t>RoO</w:t>
            </w:r>
            <w:proofErr w:type="spellEnd"/>
            <w:r w:rsidR="000B677B">
              <w:t xml:space="preserve"> is unlikely to be needed. But its existence may exclude relatively ‘lightly’ transformed product and thereby diminish trade creation</w:t>
            </w:r>
            <w:r w:rsidR="0088490F">
              <w:t>.</w:t>
            </w:r>
            <w:r>
              <w:t xml:space="preserve"> </w:t>
            </w:r>
          </w:p>
          <w:p w14:paraId="071A372E" w14:textId="52C11B75" w:rsidR="004D1631" w:rsidRDefault="004D1631" w:rsidP="002321EF">
            <w:pPr>
              <w:pStyle w:val="Box"/>
            </w:pPr>
            <w:r>
              <w:t>How the exporter advantage is materialised is often overlooked. The exporter may ‘pass on’ the tariff preference as a lower price if it wants to greatly expand volume (if they face a highly price responsive demand). Or, the exporter may ‘pocket’ the tariff rent, in which case local consumers do not gain</w:t>
            </w:r>
            <w:r w:rsidR="000B677B">
              <w:t xml:space="preserve"> (Hayakawa and Ito</w:t>
            </w:r>
            <w:r w:rsidR="0088490F">
              <w:t> 2015)</w:t>
            </w:r>
            <w:r w:rsidR="000B677B">
              <w:t>)</w:t>
            </w:r>
            <w:r>
              <w:t>. Unilateral and multilateral tariff cuts are more likely to be passed on as lower import prices because of competition from multiple sources.</w:t>
            </w:r>
          </w:p>
          <w:p w14:paraId="13C38EEC" w14:textId="58C0C3FC" w:rsidR="004D1631" w:rsidRPr="00C754D1" w:rsidRDefault="004D1631" w:rsidP="002321EF">
            <w:pPr>
              <w:pStyle w:val="Box"/>
            </w:pPr>
            <w:r>
              <w:t xml:space="preserve">If the </w:t>
            </w:r>
            <w:proofErr w:type="spellStart"/>
            <w:r>
              <w:t>RoO</w:t>
            </w:r>
            <w:proofErr w:type="spellEnd"/>
            <w:r>
              <w:t xml:space="preserve"> is more stringent than necessary to deter transhipment, such that it chokes off at the margin partner production that cannot quite satisfy the </w:t>
            </w:r>
            <w:proofErr w:type="spellStart"/>
            <w:r>
              <w:t>RoO</w:t>
            </w:r>
            <w:proofErr w:type="spellEnd"/>
            <w:r>
              <w:t>, then the efficiency gains from increase</w:t>
            </w:r>
            <w:r w:rsidR="00520528">
              <w:t>d</w:t>
            </w:r>
            <w:r>
              <w:t xml:space="preserve"> import competition are muted.</w:t>
            </w:r>
          </w:p>
          <w:p w14:paraId="2966BC71" w14:textId="20D1D29A" w:rsidR="004D1631" w:rsidRDefault="000B677B" w:rsidP="0088490F">
            <w:pPr>
              <w:pStyle w:val="Box"/>
            </w:pPr>
            <w:r>
              <w:t xml:space="preserve">A single PTA </w:t>
            </w:r>
            <w:proofErr w:type="spellStart"/>
            <w:r>
              <w:t>RoO</w:t>
            </w:r>
            <w:proofErr w:type="spellEnd"/>
            <w:r>
              <w:t>, and the preference it gives access to, can reduce the efficiency of domestic producers if they alter their production decisions to take advantage of the preferences offered. For example, producers may switch their input sourcing from non</w:t>
            </w:r>
            <w:r w:rsidR="00FE23A3">
              <w:noBreakHyphen/>
            </w:r>
            <w:r>
              <w:t xml:space="preserve">party sources to (higher cost) domestic or partner sources, using the tariff preference to cover the higher cost of switching. The producer is better off, but the country is not as it also lost tariff revenue. Moreover, unlike free trade, where producers are free to choose the least cost inputs regardless of source, there is a resource allocation efficiency loss. </w:t>
            </w:r>
            <w:r w:rsidR="00CC2521">
              <w:t>Multiple agreements increase the complexity of the input mix calculation for potential exporters.</w:t>
            </w:r>
          </w:p>
          <w:p w14:paraId="504E9CFB" w14:textId="35F1B6E7" w:rsidR="00486930" w:rsidRPr="004D1631" w:rsidRDefault="00486930" w:rsidP="007B675A">
            <w:pPr>
              <w:pStyle w:val="Box"/>
            </w:pPr>
            <w:r>
              <w:t xml:space="preserve">Trade diverted due to stringent </w:t>
            </w:r>
            <w:proofErr w:type="spellStart"/>
            <w:r>
              <w:t>RoO</w:t>
            </w:r>
            <w:proofErr w:type="spellEnd"/>
            <w:r>
              <w:t xml:space="preserve"> can cause producers to shift production between countries </w:t>
            </w:r>
            <w:r w:rsidR="005D20C2">
              <w:t xml:space="preserve">to </w:t>
            </w:r>
            <w:r w:rsidR="000F603E">
              <w:t>access preferential tariffs</w:t>
            </w:r>
            <w:r w:rsidR="000361FC">
              <w:t>, caus</w:t>
            </w:r>
            <w:r w:rsidR="00291421">
              <w:t>ing international investment diversion</w:t>
            </w:r>
            <w:r w:rsidR="000F603E">
              <w:t xml:space="preserve">. </w:t>
            </w:r>
            <w:r w:rsidR="00B0417B">
              <w:t>A well</w:t>
            </w:r>
            <w:r w:rsidR="00FE23A3">
              <w:noBreakHyphen/>
            </w:r>
            <w:r w:rsidR="00D22C20">
              <w:t>known example</w:t>
            </w:r>
            <w:r w:rsidR="000F603E">
              <w:t xml:space="preserve"> </w:t>
            </w:r>
            <w:r w:rsidR="00D22C20">
              <w:t xml:space="preserve">is the </w:t>
            </w:r>
            <w:r w:rsidR="000F603E">
              <w:t xml:space="preserve">case of Chinese textile manufacturers moving production to Vietnam in anticipation of </w:t>
            </w:r>
            <w:r w:rsidR="00D22C20">
              <w:t>the strict yarn</w:t>
            </w:r>
            <w:r w:rsidR="00FE23A3">
              <w:noBreakHyphen/>
            </w:r>
            <w:r w:rsidR="00D22C20">
              <w:t xml:space="preserve">forward </w:t>
            </w:r>
            <w:proofErr w:type="spellStart"/>
            <w:r w:rsidR="00D22C20">
              <w:t>RoO</w:t>
            </w:r>
            <w:proofErr w:type="spellEnd"/>
            <w:r w:rsidR="00D22C20">
              <w:t xml:space="preserve"> </w:t>
            </w:r>
            <w:r w:rsidR="00D93B3A">
              <w:t>in</w:t>
            </w:r>
            <w:r w:rsidR="00D22C20">
              <w:t xml:space="preserve"> </w:t>
            </w:r>
            <w:r w:rsidR="000F603E">
              <w:t xml:space="preserve">the </w:t>
            </w:r>
            <w:r w:rsidR="00D93B3A">
              <w:t xml:space="preserve">proposed </w:t>
            </w:r>
            <w:r w:rsidR="000F603E">
              <w:t>Trans</w:t>
            </w:r>
            <w:r w:rsidR="00FE23A3">
              <w:noBreakHyphen/>
            </w:r>
            <w:r w:rsidR="000F603E">
              <w:t xml:space="preserve">Pacific Partnership </w:t>
            </w:r>
            <w:r w:rsidR="00D93B3A">
              <w:t>(</w:t>
            </w:r>
            <w:proofErr w:type="spellStart"/>
            <w:r w:rsidR="00D93B3A">
              <w:t>TPP</w:t>
            </w:r>
            <w:proofErr w:type="spellEnd"/>
            <w:r w:rsidR="00D93B3A">
              <w:t>) agreement</w:t>
            </w:r>
            <w:r w:rsidR="00447C68">
              <w:t>. The increased market access</w:t>
            </w:r>
            <w:r w:rsidR="007B675A">
              <w:t xml:space="preserve"> </w:t>
            </w:r>
            <w:r w:rsidR="00447C68">
              <w:t xml:space="preserve">in the United States </w:t>
            </w:r>
            <w:r w:rsidR="007B675A">
              <w:t>negotiated by</w:t>
            </w:r>
            <w:r w:rsidR="00447C68">
              <w:t xml:space="preserve"> fellow </w:t>
            </w:r>
            <w:proofErr w:type="spellStart"/>
            <w:r w:rsidR="00447C68">
              <w:t>TPP</w:t>
            </w:r>
            <w:proofErr w:type="spellEnd"/>
            <w:r w:rsidR="00447C68">
              <w:t xml:space="preserve"> member Vietnam</w:t>
            </w:r>
            <w:r w:rsidR="007B675A">
              <w:t xml:space="preserve"> would only have been available where their yarn and other intermediate inputs were sourced from a </w:t>
            </w:r>
            <w:proofErr w:type="spellStart"/>
            <w:r w:rsidR="007B675A">
              <w:t>TPP</w:t>
            </w:r>
            <w:proofErr w:type="spellEnd"/>
            <w:r w:rsidR="007B675A">
              <w:t xml:space="preserve"> member. </w:t>
            </w:r>
            <w:r w:rsidR="00447C68">
              <w:t xml:space="preserve"> </w:t>
            </w:r>
            <w:r w:rsidR="007B675A">
              <w:t>As</w:t>
            </w:r>
            <w:r w:rsidR="001F2149">
              <w:t xml:space="preserve"> China </w:t>
            </w:r>
            <w:r w:rsidR="007B675A">
              <w:t>was not a</w:t>
            </w:r>
            <w:r w:rsidR="001F2149">
              <w:t xml:space="preserve"> party to the </w:t>
            </w:r>
            <w:proofErr w:type="spellStart"/>
            <w:r w:rsidR="001F2149">
              <w:t>TPP</w:t>
            </w:r>
            <w:proofErr w:type="spellEnd"/>
            <w:r w:rsidR="007B675A">
              <w:t xml:space="preserve"> this would have reduced Chinese exports</w:t>
            </w:r>
            <w:r w:rsidR="00E5704E">
              <w:t xml:space="preserve"> of </w:t>
            </w:r>
            <w:r w:rsidR="00413E03">
              <w:t xml:space="preserve">yarn </w:t>
            </w:r>
            <w:r w:rsidR="000771F2">
              <w:t>and</w:t>
            </w:r>
            <w:r w:rsidR="00413E03">
              <w:t xml:space="preserve"> </w:t>
            </w:r>
            <w:r w:rsidR="00E5704E">
              <w:t xml:space="preserve">intermediate inputs </w:t>
            </w:r>
            <w:r w:rsidR="007B675A">
              <w:t>to</w:t>
            </w:r>
            <w:r w:rsidR="00E13576">
              <w:t xml:space="preserve"> Vietnam</w:t>
            </w:r>
            <w:r w:rsidR="007B675A">
              <w:t xml:space="preserve">. By producing these inputs in Vietnam the resulting finished products would be eligible for the preferential access to the United States market under the </w:t>
            </w:r>
            <w:proofErr w:type="spellStart"/>
            <w:r w:rsidR="007B675A">
              <w:t>TPP</w:t>
            </w:r>
            <w:proofErr w:type="spellEnd"/>
            <w:r w:rsidR="007B675A">
              <w:t>.</w:t>
            </w:r>
          </w:p>
        </w:tc>
      </w:tr>
      <w:tr w:rsidR="004D1631" w14:paraId="31A87C0B" w14:textId="77777777" w:rsidTr="0078515C">
        <w:tc>
          <w:tcPr>
            <w:tcW w:w="8771" w:type="dxa"/>
            <w:tcBorders>
              <w:top w:val="nil"/>
              <w:left w:val="nil"/>
              <w:bottom w:val="single" w:sz="6" w:space="0" w:color="78A22F"/>
              <w:right w:val="nil"/>
            </w:tcBorders>
            <w:shd w:val="clear" w:color="auto" w:fill="F2F2F2"/>
          </w:tcPr>
          <w:p w14:paraId="77C73E28" w14:textId="77777777" w:rsidR="004D1631" w:rsidRDefault="004D1631">
            <w:pPr>
              <w:pStyle w:val="Box"/>
              <w:spacing w:before="0" w:line="120" w:lineRule="exact"/>
            </w:pPr>
          </w:p>
        </w:tc>
      </w:tr>
      <w:tr w:rsidR="004D1631" w:rsidRPr="000863A5" w14:paraId="79827509" w14:textId="77777777" w:rsidTr="0078515C">
        <w:tc>
          <w:tcPr>
            <w:tcW w:w="8771" w:type="dxa"/>
            <w:tcBorders>
              <w:top w:val="single" w:sz="6" w:space="0" w:color="78A22F"/>
              <w:left w:val="nil"/>
              <w:bottom w:val="nil"/>
              <w:right w:val="nil"/>
            </w:tcBorders>
          </w:tcPr>
          <w:p w14:paraId="27AB810C" w14:textId="1BE108B8" w:rsidR="004D1631" w:rsidRPr="00626D32" w:rsidRDefault="004D1631" w:rsidP="0078515C">
            <w:pPr>
              <w:pStyle w:val="BoxSpaceBelow"/>
            </w:pPr>
          </w:p>
        </w:tc>
      </w:tr>
    </w:tbl>
    <w:p w14:paraId="62FFCA1A" w14:textId="77777777" w:rsidR="00293318" w:rsidRDefault="00293318" w:rsidP="0029331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3318" w14:paraId="3A754608" w14:textId="77777777" w:rsidTr="00283756">
        <w:tc>
          <w:tcPr>
            <w:tcW w:w="8771" w:type="dxa"/>
            <w:tcBorders>
              <w:top w:val="single" w:sz="6" w:space="0" w:color="78A22F"/>
              <w:left w:val="nil"/>
              <w:bottom w:val="nil"/>
              <w:right w:val="nil"/>
            </w:tcBorders>
            <w:shd w:val="clear" w:color="auto" w:fill="auto"/>
          </w:tcPr>
          <w:p w14:paraId="09F94268" w14:textId="758CE53A" w:rsidR="00293318" w:rsidRPr="00176D3F" w:rsidRDefault="00BA0DDA" w:rsidP="00B42F62">
            <w:pPr>
              <w:pStyle w:val="FigureTitle"/>
            </w:pPr>
            <w:r w:rsidRPr="00784A05">
              <w:rPr>
                <w:b w:val="0"/>
              </w:rPr>
              <w:t xml:space="preserve">Figure </w:t>
            </w:r>
            <w:r w:rsidR="00BB012D">
              <w:rPr>
                <w:b w:val="0"/>
              </w:rPr>
              <w:t>4</w:t>
            </w:r>
            <w:r w:rsidR="00293318">
              <w:tab/>
              <w:t xml:space="preserve">Australia’s bilateral </w:t>
            </w:r>
            <w:r w:rsidR="001E7701">
              <w:t xml:space="preserve">and regional </w:t>
            </w:r>
            <w:r w:rsidR="00293318">
              <w:t xml:space="preserve">trade agreements in force </w:t>
            </w:r>
          </w:p>
        </w:tc>
      </w:tr>
      <w:tr w:rsidR="00293318" w14:paraId="369EE63C" w14:textId="77777777" w:rsidTr="002837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93318" w14:paraId="36F963A6" w14:textId="77777777" w:rsidTr="00283756">
              <w:trPr>
                <w:jc w:val="center"/>
              </w:trPr>
              <w:tc>
                <w:tcPr>
                  <w:tcW w:w="5000" w:type="pct"/>
                  <w:tcBorders>
                    <w:top w:val="nil"/>
                    <w:bottom w:val="nil"/>
                  </w:tcBorders>
                </w:tcPr>
                <w:p w14:paraId="400C67DD" w14:textId="37FE1F53" w:rsidR="00293318" w:rsidRDefault="0007566B" w:rsidP="00B23DD1">
                  <w:pPr>
                    <w:pStyle w:val="Figure"/>
                  </w:pPr>
                  <w:r>
                    <w:rPr>
                      <w:noProof/>
                    </w:rPr>
                    <w:drawing>
                      <wp:inline distT="0" distB="0" distL="0" distR="0" wp14:anchorId="5F23468D" wp14:editId="5E72E79F">
                        <wp:extent cx="5397500" cy="457200"/>
                        <wp:effectExtent l="0" t="0" r="0" b="0"/>
                        <wp:docPr id="3" name="Picture 3" descr="Australia’s bilateral and regional trade agreements in for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7500" cy="457200"/>
                                </a:xfrm>
                                <a:prstGeom prst="rect">
                                  <a:avLst/>
                                </a:prstGeom>
                                <a:noFill/>
                                <a:ln>
                                  <a:noFill/>
                                </a:ln>
                              </pic:spPr>
                            </pic:pic>
                          </a:graphicData>
                        </a:graphic>
                      </wp:inline>
                    </w:drawing>
                  </w:r>
                </w:p>
              </w:tc>
            </w:tr>
          </w:tbl>
          <w:p w14:paraId="1870B365" w14:textId="77777777" w:rsidR="00293318" w:rsidRDefault="00293318" w:rsidP="00B23DD1">
            <w:pPr>
              <w:pStyle w:val="Figure"/>
            </w:pPr>
          </w:p>
        </w:tc>
      </w:tr>
      <w:tr w:rsidR="00293318" w14:paraId="7B35FF67" w14:textId="77777777" w:rsidTr="00283756">
        <w:tc>
          <w:tcPr>
            <w:tcW w:w="8771" w:type="dxa"/>
            <w:tcBorders>
              <w:top w:val="nil"/>
              <w:left w:val="nil"/>
              <w:bottom w:val="single" w:sz="6" w:space="0" w:color="78A22F"/>
              <w:right w:val="nil"/>
            </w:tcBorders>
            <w:shd w:val="clear" w:color="auto" w:fill="auto"/>
          </w:tcPr>
          <w:p w14:paraId="08F35CA6" w14:textId="77777777" w:rsidR="00293318" w:rsidRDefault="00293318" w:rsidP="00283756">
            <w:pPr>
              <w:pStyle w:val="Figurespace"/>
            </w:pPr>
          </w:p>
        </w:tc>
      </w:tr>
      <w:tr w:rsidR="00293318" w:rsidRPr="000863A5" w14:paraId="07E8F788" w14:textId="77777777" w:rsidTr="00283756">
        <w:tc>
          <w:tcPr>
            <w:tcW w:w="8771" w:type="dxa"/>
            <w:tcBorders>
              <w:top w:val="single" w:sz="6" w:space="0" w:color="78A22F"/>
              <w:left w:val="nil"/>
              <w:bottom w:val="nil"/>
              <w:right w:val="nil"/>
            </w:tcBorders>
          </w:tcPr>
          <w:p w14:paraId="61940DF9" w14:textId="77777777" w:rsidR="00293318" w:rsidRPr="00626D32" w:rsidRDefault="00293318" w:rsidP="00283756">
            <w:pPr>
              <w:pStyle w:val="BoxSpaceBelow"/>
            </w:pPr>
          </w:p>
        </w:tc>
      </w:tr>
    </w:tbl>
    <w:p w14:paraId="0F6CC95E" w14:textId="77777777" w:rsidR="003C270E" w:rsidRDefault="003C270E" w:rsidP="002477A5">
      <w:pPr>
        <w:pStyle w:val="Heading4"/>
      </w:pPr>
      <w:r>
        <w:lastRenderedPageBreak/>
        <w:t xml:space="preserve">Australian PTAs involve a mix of </w:t>
      </w:r>
      <w:proofErr w:type="spellStart"/>
      <w:r>
        <w:t>RoO</w:t>
      </w:r>
      <w:proofErr w:type="spellEnd"/>
      <w:r>
        <w:t xml:space="preserve"> tests</w:t>
      </w:r>
    </w:p>
    <w:p w14:paraId="5B75CE06" w14:textId="45C787CD" w:rsidR="003C270E" w:rsidRDefault="003C270E" w:rsidP="003C270E">
      <w:pPr>
        <w:pStyle w:val="BodyText"/>
      </w:pPr>
      <w:r>
        <w:t xml:space="preserve">All Australia’s existing trade agreements (other than with Singapore) include all </w:t>
      </w:r>
      <w:r w:rsidR="00305557">
        <w:t xml:space="preserve">of the </w:t>
      </w:r>
      <w:r>
        <w:t>three transformation test</w:t>
      </w:r>
      <w:r w:rsidR="00305557">
        <w:t xml:space="preserve"> types</w:t>
      </w:r>
      <w:r w:rsidR="00D449CE">
        <w:t xml:space="preserve"> </w:t>
      </w:r>
      <w:r>
        <w:t>(figure</w:t>
      </w:r>
      <w:r w:rsidR="00DF47C3">
        <w:t> </w:t>
      </w:r>
      <w:r w:rsidR="00367180">
        <w:t>5</w:t>
      </w:r>
      <w:r>
        <w:t xml:space="preserve">). Overall, </w:t>
      </w:r>
      <w:r w:rsidR="00367180">
        <w:t>the</w:t>
      </w:r>
      <w:r>
        <w:t xml:space="preserve"> CTC</w:t>
      </w:r>
      <w:r w:rsidR="00FE23A3">
        <w:noBreakHyphen/>
      </w:r>
      <w:r>
        <w:t xml:space="preserve">only test </w:t>
      </w:r>
      <w:r w:rsidR="00367180">
        <w:t>appears to be</w:t>
      </w:r>
      <w:r>
        <w:t xml:space="preserve"> the most common</w:t>
      </w:r>
      <w:r w:rsidR="003D27CB">
        <w:t>.</w:t>
      </w:r>
      <w:r>
        <w:rPr>
          <w:rStyle w:val="FootnoteReference"/>
        </w:rPr>
        <w:footnoteReference w:id="5"/>
      </w:r>
      <w:r>
        <w:t xml:space="preserve"> In cases where CTC applies, about 20 per cent are at the 2</w:t>
      </w:r>
      <w:r w:rsidR="00FE23A3">
        <w:noBreakHyphen/>
      </w:r>
      <w:r>
        <w:t xml:space="preserve">digit level (the most restrictive). Some agreements use a single rate for all </w:t>
      </w:r>
      <w:proofErr w:type="spellStart"/>
      <w:r>
        <w:t>RVC</w:t>
      </w:r>
      <w:proofErr w:type="spellEnd"/>
      <w:r>
        <w:t xml:space="preserve"> tests, as in the case of the 40 per cent rate in </w:t>
      </w:r>
      <w:proofErr w:type="spellStart"/>
      <w:r w:rsidR="005470DB">
        <w:t>JAEPA</w:t>
      </w:r>
      <w:proofErr w:type="spellEnd"/>
      <w:r w:rsidR="002C47A3">
        <w:t xml:space="preserve">, </w:t>
      </w:r>
      <w:proofErr w:type="spellStart"/>
      <w:r>
        <w:t>A</w:t>
      </w:r>
      <w:r w:rsidR="002C47A3">
        <w:t>A</w:t>
      </w:r>
      <w:r>
        <w:t>NZ</w:t>
      </w:r>
      <w:r w:rsidR="002C47A3">
        <w:t>FTA</w:t>
      </w:r>
      <w:proofErr w:type="spellEnd"/>
      <w:r>
        <w:t xml:space="preserve"> and </w:t>
      </w:r>
      <w:proofErr w:type="spellStart"/>
      <w:r>
        <w:t>M</w:t>
      </w:r>
      <w:r w:rsidR="002C47A3">
        <w:t>AFTA</w:t>
      </w:r>
      <w:proofErr w:type="spellEnd"/>
      <w:r w:rsidR="00367180">
        <w:t xml:space="preserve">, and the 50 per cent rule in the </w:t>
      </w:r>
      <w:proofErr w:type="spellStart"/>
      <w:r w:rsidR="00367180">
        <w:t>ANZCER</w:t>
      </w:r>
      <w:r w:rsidR="002C47A3">
        <w:t>TA</w:t>
      </w:r>
      <w:proofErr w:type="spellEnd"/>
      <w:r>
        <w:t xml:space="preserve">. Other agreements use a variety of rates, for example the </w:t>
      </w:r>
      <w:proofErr w:type="spellStart"/>
      <w:r>
        <w:t>AUSFTA</w:t>
      </w:r>
      <w:proofErr w:type="spellEnd"/>
      <w:r w:rsidR="004C5660">
        <w:t xml:space="preserve"> includes rates of 35, 45, 50 and 55</w:t>
      </w:r>
      <w:r w:rsidR="00305557">
        <w:t> per cent</w:t>
      </w:r>
      <w:r w:rsidR="004C5660">
        <w:t xml:space="preserve"> (though not all expressed on the same cost basis)</w:t>
      </w:r>
      <w:r w:rsidR="00B42F62">
        <w:t>.</w:t>
      </w:r>
    </w:p>
    <w:p w14:paraId="209DA460" w14:textId="575F589F" w:rsidR="00CC07D1" w:rsidRDefault="00CC07D1" w:rsidP="00917232">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C07D1" w14:paraId="52B034A2" w14:textId="77777777" w:rsidTr="00CC07D1">
        <w:trPr>
          <w:tblHeader/>
        </w:trPr>
        <w:tc>
          <w:tcPr>
            <w:tcW w:w="8771" w:type="dxa"/>
            <w:tcBorders>
              <w:top w:val="single" w:sz="6" w:space="0" w:color="78A22F"/>
              <w:left w:val="nil"/>
              <w:bottom w:val="nil"/>
              <w:right w:val="nil"/>
            </w:tcBorders>
            <w:shd w:val="clear" w:color="auto" w:fill="auto"/>
          </w:tcPr>
          <w:p w14:paraId="5AB7A7E0" w14:textId="7FD7B5B5" w:rsidR="00CC07D1" w:rsidRPr="00176D3F" w:rsidRDefault="00CC07D1" w:rsidP="00BB012D">
            <w:pPr>
              <w:pStyle w:val="FigureTitle"/>
            </w:pPr>
            <w:r w:rsidRPr="00784A05">
              <w:rPr>
                <w:b w:val="0"/>
              </w:rPr>
              <w:t xml:space="preserve">Figure </w:t>
            </w:r>
            <w:r w:rsidR="00BB012D">
              <w:rPr>
                <w:b w:val="0"/>
              </w:rPr>
              <w:t>5</w:t>
            </w:r>
            <w:r>
              <w:tab/>
            </w:r>
            <w:r>
              <w:rPr>
                <w:rFonts w:cs="Arial"/>
                <w:bCs/>
                <w:color w:val="000000"/>
              </w:rPr>
              <w:t xml:space="preserve">Methods used to determine origin of merchandise trade in Australia’s preferential trade </w:t>
            </w:r>
            <w:proofErr w:type="spellStart"/>
            <w:r>
              <w:rPr>
                <w:rFonts w:cs="Arial"/>
                <w:bCs/>
                <w:color w:val="000000"/>
              </w:rPr>
              <w:t>agreements</w:t>
            </w:r>
            <w:r>
              <w:rPr>
                <w:rFonts w:cs="Arial"/>
                <w:color w:val="000000"/>
                <w:sz w:val="28"/>
                <w:szCs w:val="28"/>
                <w:vertAlign w:val="superscript"/>
              </w:rPr>
              <w:t>a,b,c,d</w:t>
            </w:r>
            <w:proofErr w:type="spellEnd"/>
          </w:p>
        </w:tc>
      </w:tr>
      <w:tr w:rsidR="00CC07D1" w14:paraId="190CA4C3" w14:textId="77777777" w:rsidTr="00CC07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4252"/>
              <w:gridCol w:w="4252"/>
            </w:tblGrid>
            <w:tr w:rsidR="00CC07D1" w:rsidRPr="00B1465D" w14:paraId="1D4105F1" w14:textId="77777777" w:rsidTr="00CC07D1">
              <w:trPr>
                <w:tblHeader/>
                <w:jc w:val="center"/>
              </w:trPr>
              <w:tc>
                <w:tcPr>
                  <w:tcW w:w="2500" w:type="pct"/>
                  <w:tcBorders>
                    <w:top w:val="nil"/>
                    <w:bottom w:val="nil"/>
                  </w:tcBorders>
                </w:tcPr>
                <w:p w14:paraId="4C3188AB" w14:textId="76E6DE41" w:rsidR="00CC07D1" w:rsidRPr="00B1465D" w:rsidRDefault="00CC07D1" w:rsidP="00C45083">
                  <w:pPr>
                    <w:pStyle w:val="Figure"/>
                    <w:spacing w:before="60" w:after="60"/>
                    <w:rPr>
                      <w:rFonts w:ascii="Arial" w:hAnsi="Arial" w:cs="Arial"/>
                      <w:sz w:val="18"/>
                      <w:szCs w:val="18"/>
                    </w:rPr>
                  </w:pPr>
                  <w:r w:rsidRPr="00305C72">
                    <w:rPr>
                      <w:rFonts w:ascii="Arial" w:hAnsi="Arial" w:cs="Arial"/>
                      <w:i/>
                      <w:sz w:val="18"/>
                      <w:szCs w:val="18"/>
                    </w:rPr>
                    <w:t>Rule for determining origin</w:t>
                  </w:r>
                  <w:r w:rsidR="00C45083">
                    <w:rPr>
                      <w:rFonts w:ascii="Arial" w:hAnsi="Arial" w:cs="Arial"/>
                      <w:i/>
                      <w:sz w:val="18"/>
                      <w:szCs w:val="18"/>
                    </w:rPr>
                    <w:br/>
                  </w:r>
                  <w:r w:rsidRPr="00305C72">
                    <w:rPr>
                      <w:rFonts w:ascii="Arial" w:hAnsi="Arial" w:cs="Arial"/>
                      <w:i/>
                      <w:sz w:val="18"/>
                      <w:szCs w:val="18"/>
                    </w:rPr>
                    <w:t>Per cent of specified rules</w:t>
                  </w:r>
                  <w:r w:rsidRPr="00305C72">
                    <w:rPr>
                      <w:rStyle w:val="NoteLabel"/>
                      <w:rFonts w:cs="Arial"/>
                      <w:szCs w:val="18"/>
                    </w:rPr>
                    <w:t>c</w:t>
                  </w:r>
                </w:p>
              </w:tc>
              <w:tc>
                <w:tcPr>
                  <w:tcW w:w="2500" w:type="pct"/>
                  <w:tcBorders>
                    <w:top w:val="nil"/>
                    <w:bottom w:val="nil"/>
                  </w:tcBorders>
                </w:tcPr>
                <w:p w14:paraId="087C226B" w14:textId="4A0A0ADE" w:rsidR="00CC07D1" w:rsidRPr="00B1465D" w:rsidRDefault="00CC07D1" w:rsidP="00C45083">
                  <w:pPr>
                    <w:pStyle w:val="Figure"/>
                    <w:spacing w:before="60" w:after="60"/>
                    <w:rPr>
                      <w:rFonts w:ascii="Arial" w:hAnsi="Arial" w:cs="Arial"/>
                      <w:sz w:val="18"/>
                      <w:szCs w:val="18"/>
                    </w:rPr>
                  </w:pPr>
                  <w:r w:rsidRPr="00305C72">
                    <w:rPr>
                      <w:rFonts w:ascii="Arial" w:hAnsi="Arial" w:cs="Arial"/>
                      <w:i/>
                      <w:sz w:val="18"/>
                      <w:szCs w:val="18"/>
                    </w:rPr>
                    <w:t xml:space="preserve">Application of CTC </w:t>
                  </w:r>
                  <w:r w:rsidR="00C45083">
                    <w:rPr>
                      <w:rFonts w:ascii="Arial" w:hAnsi="Arial" w:cs="Arial"/>
                      <w:i/>
                      <w:sz w:val="18"/>
                      <w:szCs w:val="18"/>
                    </w:rPr>
                    <w:t>method</w:t>
                  </w:r>
                  <w:r w:rsidR="00C45083">
                    <w:rPr>
                      <w:rStyle w:val="NoteLabel"/>
                      <w:rFonts w:cs="Arial"/>
                      <w:szCs w:val="18"/>
                    </w:rPr>
                    <w:br/>
                  </w:r>
                  <w:r w:rsidRPr="00305C72">
                    <w:rPr>
                      <w:rFonts w:ascii="Arial" w:hAnsi="Arial" w:cs="Arial"/>
                      <w:i/>
                      <w:sz w:val="18"/>
                      <w:szCs w:val="18"/>
                    </w:rPr>
                    <w:t>Per cent of specified CTC rules</w:t>
                  </w:r>
                  <w:r w:rsidRPr="00305C72">
                    <w:rPr>
                      <w:rStyle w:val="NoteLabel"/>
                      <w:rFonts w:cs="Arial"/>
                      <w:szCs w:val="18"/>
                    </w:rPr>
                    <w:t>c</w:t>
                  </w:r>
                </w:p>
              </w:tc>
            </w:tr>
            <w:tr w:rsidR="00CC07D1" w:rsidRPr="00B1465D" w14:paraId="06FA96F0" w14:textId="77777777" w:rsidTr="00CC07D1">
              <w:trPr>
                <w:tblHeader/>
                <w:jc w:val="center"/>
              </w:trPr>
              <w:tc>
                <w:tcPr>
                  <w:tcW w:w="2500" w:type="pct"/>
                  <w:tcBorders>
                    <w:top w:val="nil"/>
                    <w:bottom w:val="nil"/>
                  </w:tcBorders>
                </w:tcPr>
                <w:p w14:paraId="628DA253" w14:textId="7BD3938D" w:rsidR="00CC07D1" w:rsidRPr="00B1465D" w:rsidRDefault="0007566B" w:rsidP="00C45083">
                  <w:pPr>
                    <w:pStyle w:val="Figure"/>
                    <w:spacing w:before="0" w:after="0"/>
                    <w:rPr>
                      <w:rFonts w:ascii="Arial" w:hAnsi="Arial" w:cs="Arial"/>
                      <w:sz w:val="18"/>
                      <w:szCs w:val="18"/>
                    </w:rPr>
                  </w:pPr>
                  <w:r>
                    <w:rPr>
                      <w:rFonts w:ascii="Arial" w:hAnsi="Arial" w:cs="Arial"/>
                      <w:noProof/>
                      <w:sz w:val="18"/>
                      <w:szCs w:val="18"/>
                    </w:rPr>
                    <w:drawing>
                      <wp:inline distT="0" distB="0" distL="0" distR="0" wp14:anchorId="3F9D89BE" wp14:editId="669D01F1">
                        <wp:extent cx="2692400" cy="3213100"/>
                        <wp:effectExtent l="0" t="0" r="0" b="6350"/>
                        <wp:docPr id="4" name="Picture 4" descr="Methods used to determine origin of merchandise trade in Australia’s preferential trade agre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2400" cy="3213100"/>
                                </a:xfrm>
                                <a:prstGeom prst="rect">
                                  <a:avLst/>
                                </a:prstGeom>
                                <a:noFill/>
                                <a:ln>
                                  <a:noFill/>
                                </a:ln>
                              </pic:spPr>
                            </pic:pic>
                          </a:graphicData>
                        </a:graphic>
                      </wp:inline>
                    </w:drawing>
                  </w:r>
                </w:p>
              </w:tc>
              <w:tc>
                <w:tcPr>
                  <w:tcW w:w="2500" w:type="pct"/>
                  <w:tcBorders>
                    <w:top w:val="nil"/>
                    <w:bottom w:val="nil"/>
                  </w:tcBorders>
                </w:tcPr>
                <w:p w14:paraId="6E9937B2" w14:textId="6874068B" w:rsidR="00CC07D1" w:rsidRPr="00B1465D" w:rsidRDefault="0007566B" w:rsidP="00C45083">
                  <w:pPr>
                    <w:pStyle w:val="Figure"/>
                    <w:spacing w:before="0" w:after="0"/>
                    <w:rPr>
                      <w:rFonts w:ascii="Arial" w:hAnsi="Arial" w:cs="Arial"/>
                      <w:sz w:val="18"/>
                      <w:szCs w:val="18"/>
                    </w:rPr>
                  </w:pPr>
                  <w:r>
                    <w:rPr>
                      <w:rFonts w:ascii="Arial" w:hAnsi="Arial" w:cs="Arial"/>
                      <w:noProof/>
                      <w:sz w:val="18"/>
                      <w:szCs w:val="18"/>
                    </w:rPr>
                    <w:drawing>
                      <wp:inline distT="0" distB="0" distL="0" distR="0" wp14:anchorId="19BA1D2F" wp14:editId="3060604E">
                        <wp:extent cx="2667000" cy="3200400"/>
                        <wp:effectExtent l="0" t="0" r="0" b="0"/>
                        <wp:docPr id="5" name="Picture 5" descr="Methods used to determine origin of merchandise trade in Australia’s preferential trade agre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3200400"/>
                                </a:xfrm>
                                <a:prstGeom prst="rect">
                                  <a:avLst/>
                                </a:prstGeom>
                                <a:noFill/>
                                <a:ln>
                                  <a:noFill/>
                                </a:ln>
                              </pic:spPr>
                            </pic:pic>
                          </a:graphicData>
                        </a:graphic>
                      </wp:inline>
                    </w:drawing>
                  </w:r>
                </w:p>
              </w:tc>
            </w:tr>
          </w:tbl>
          <w:p w14:paraId="567D1E9F" w14:textId="77777777" w:rsidR="00CC07D1" w:rsidRDefault="00CC07D1" w:rsidP="00917232">
            <w:pPr>
              <w:pStyle w:val="Figure"/>
            </w:pPr>
          </w:p>
        </w:tc>
      </w:tr>
      <w:tr w:rsidR="00CC07D1" w:rsidRPr="00176D3F" w14:paraId="108FDBC1" w14:textId="77777777" w:rsidTr="00CC07D1">
        <w:tc>
          <w:tcPr>
            <w:tcW w:w="8771" w:type="dxa"/>
            <w:tcBorders>
              <w:top w:val="nil"/>
              <w:left w:val="nil"/>
              <w:bottom w:val="nil"/>
              <w:right w:val="nil"/>
            </w:tcBorders>
            <w:shd w:val="clear" w:color="auto" w:fill="auto"/>
          </w:tcPr>
          <w:p w14:paraId="15198F01" w14:textId="40F2FC22" w:rsidR="00CC07D1" w:rsidRPr="00176D3F" w:rsidRDefault="00CC07D1" w:rsidP="00305557">
            <w:pPr>
              <w:pStyle w:val="Note"/>
            </w:pPr>
            <w:r w:rsidRPr="00274EEE">
              <w:rPr>
                <w:rStyle w:val="NoteLabel"/>
              </w:rPr>
              <w:t>a</w:t>
            </w:r>
            <w:r>
              <w:rPr>
                <w:rFonts w:cs="Arial"/>
                <w:color w:val="000000"/>
                <w:sz w:val="20"/>
              </w:rPr>
              <w:t xml:space="preserve"> CTC refers to a change in tariff classification test. </w:t>
            </w:r>
            <w:proofErr w:type="spellStart"/>
            <w:r>
              <w:rPr>
                <w:rFonts w:cs="Arial"/>
                <w:color w:val="000000"/>
                <w:sz w:val="20"/>
              </w:rPr>
              <w:t>RVC</w:t>
            </w:r>
            <w:proofErr w:type="spellEnd"/>
            <w:r>
              <w:rPr>
                <w:rFonts w:cs="Arial"/>
                <w:color w:val="000000"/>
                <w:sz w:val="20"/>
              </w:rPr>
              <w:t xml:space="preserve"> refers to a regional or qualifying value content rule. ‘Other’ includes combined CTC and </w:t>
            </w:r>
            <w:proofErr w:type="spellStart"/>
            <w:r>
              <w:rPr>
                <w:rFonts w:cs="Arial"/>
                <w:color w:val="000000"/>
                <w:sz w:val="20"/>
              </w:rPr>
              <w:t>RVC</w:t>
            </w:r>
            <w:proofErr w:type="spellEnd"/>
            <w:r>
              <w:rPr>
                <w:rFonts w:cs="Arial"/>
                <w:color w:val="000000"/>
                <w:sz w:val="20"/>
              </w:rPr>
              <w:t xml:space="preserve"> rules, CTC rules with exceptions, and specified process tests requiring particular production methods needed to qualify for preferential entry.  </w:t>
            </w:r>
            <w:r w:rsidRPr="00274EEE">
              <w:rPr>
                <w:rStyle w:val="NoteLabel"/>
              </w:rPr>
              <w:t>b</w:t>
            </w:r>
            <w:r>
              <w:rPr>
                <w:rFonts w:cs="Arial"/>
                <w:color w:val="000000"/>
                <w:sz w:val="20"/>
              </w:rPr>
              <w:t xml:space="preserve"> The agreement with Singapore is not included as it applies a </w:t>
            </w:r>
            <w:proofErr w:type="spellStart"/>
            <w:r>
              <w:rPr>
                <w:rFonts w:cs="Arial"/>
                <w:color w:val="000000"/>
                <w:sz w:val="20"/>
              </w:rPr>
              <w:t>RVC</w:t>
            </w:r>
            <w:proofErr w:type="spellEnd"/>
            <w:r w:rsidR="00FE23A3">
              <w:rPr>
                <w:rFonts w:cs="Arial"/>
                <w:color w:val="000000"/>
                <w:sz w:val="20"/>
              </w:rPr>
              <w:noBreakHyphen/>
            </w:r>
            <w:r>
              <w:rPr>
                <w:rFonts w:cs="Arial"/>
                <w:color w:val="000000"/>
                <w:sz w:val="20"/>
              </w:rPr>
              <w:t xml:space="preserve">only test to all products, of either 30 or 50 per cent. In 2016 it was agreed that it would change to a CTC only system that aligns with the </w:t>
            </w:r>
            <w:proofErr w:type="spellStart"/>
            <w:r>
              <w:rPr>
                <w:rFonts w:cs="Arial"/>
                <w:color w:val="000000"/>
                <w:sz w:val="20"/>
              </w:rPr>
              <w:t>AA</w:t>
            </w:r>
            <w:r w:rsidR="00305557">
              <w:rPr>
                <w:rFonts w:cs="Arial"/>
                <w:color w:val="000000"/>
                <w:sz w:val="20"/>
              </w:rPr>
              <w:t>NZFTA</w:t>
            </w:r>
            <w:proofErr w:type="spellEnd"/>
            <w:r>
              <w:rPr>
                <w:rFonts w:cs="Arial"/>
                <w:color w:val="000000"/>
                <w:sz w:val="20"/>
              </w:rPr>
              <w:t xml:space="preserve"> (yet to take effect</w:t>
            </w:r>
            <w:r w:rsidR="002B4A6C">
              <w:rPr>
                <w:rFonts w:cs="Arial"/>
                <w:color w:val="000000"/>
                <w:sz w:val="20"/>
              </w:rPr>
              <w:t>)</w:t>
            </w:r>
            <w:r>
              <w:rPr>
                <w:rFonts w:cs="Arial"/>
                <w:color w:val="000000"/>
                <w:sz w:val="20"/>
              </w:rPr>
              <w:t xml:space="preserve">. </w:t>
            </w:r>
            <w:r w:rsidRPr="00274EEE">
              <w:rPr>
                <w:rStyle w:val="NoteLabel"/>
              </w:rPr>
              <w:t>c</w:t>
            </w:r>
            <w:r>
              <w:rPr>
                <w:rFonts w:cs="Arial"/>
                <w:color w:val="000000"/>
                <w:sz w:val="20"/>
              </w:rPr>
              <w:t xml:space="preserve"> Individual rules can be expressed at the 4 digit heading level, 6 digit subheading level or groupings of tariff line items.  </w:t>
            </w:r>
            <w:r w:rsidRPr="00274EEE">
              <w:rPr>
                <w:rStyle w:val="NoteLabel"/>
              </w:rPr>
              <w:t>d</w:t>
            </w:r>
            <w:r>
              <w:rPr>
                <w:rFonts w:cs="Arial"/>
                <w:color w:val="000000"/>
                <w:sz w:val="20"/>
              </w:rPr>
              <w:t xml:space="preserve"> When the </w:t>
            </w:r>
            <w:proofErr w:type="spellStart"/>
            <w:r w:rsidR="00305557">
              <w:rPr>
                <w:rFonts w:cs="Arial"/>
                <w:color w:val="000000"/>
                <w:sz w:val="20"/>
              </w:rPr>
              <w:t>ANZCERTA</w:t>
            </w:r>
            <w:proofErr w:type="spellEnd"/>
            <w:r>
              <w:rPr>
                <w:rFonts w:cs="Arial"/>
                <w:color w:val="000000"/>
                <w:sz w:val="20"/>
              </w:rPr>
              <w:t xml:space="preserve"> entered into force in 1983, an </w:t>
            </w:r>
            <w:proofErr w:type="spellStart"/>
            <w:r>
              <w:rPr>
                <w:rFonts w:cs="Arial"/>
                <w:color w:val="000000"/>
                <w:sz w:val="20"/>
              </w:rPr>
              <w:t>RVC</w:t>
            </w:r>
            <w:proofErr w:type="spellEnd"/>
            <w:r>
              <w:rPr>
                <w:rFonts w:cs="Arial"/>
                <w:color w:val="000000"/>
                <w:sz w:val="20"/>
              </w:rPr>
              <w:t xml:space="preserve"> rule with a simple technical test was the main rule applied. The figure reflects revised rules in force since 1 January 2007.</w:t>
            </w:r>
          </w:p>
        </w:tc>
      </w:tr>
      <w:tr w:rsidR="00CC07D1" w:rsidRPr="00176D3F" w14:paraId="411C6CED" w14:textId="77777777" w:rsidTr="00CC07D1">
        <w:tc>
          <w:tcPr>
            <w:tcW w:w="8771" w:type="dxa"/>
            <w:tcBorders>
              <w:top w:val="nil"/>
              <w:left w:val="nil"/>
              <w:bottom w:val="nil"/>
              <w:right w:val="nil"/>
            </w:tcBorders>
            <w:shd w:val="clear" w:color="auto" w:fill="auto"/>
          </w:tcPr>
          <w:p w14:paraId="79EE2C0A" w14:textId="77777777" w:rsidR="00CC07D1" w:rsidRPr="00176D3F" w:rsidRDefault="00CC07D1" w:rsidP="00305557">
            <w:pPr>
              <w:pStyle w:val="Source"/>
            </w:pPr>
            <w:r>
              <w:rPr>
                <w:i/>
              </w:rPr>
              <w:t>S</w:t>
            </w:r>
            <w:r w:rsidRPr="00784A05">
              <w:rPr>
                <w:i/>
              </w:rPr>
              <w:t>ource</w:t>
            </w:r>
            <w:r w:rsidRPr="00176D3F">
              <w:t xml:space="preserve">: </w:t>
            </w:r>
            <w:r>
              <w:t>Commission estimates.</w:t>
            </w:r>
          </w:p>
        </w:tc>
      </w:tr>
      <w:tr w:rsidR="00CC07D1" w14:paraId="568C75A7" w14:textId="77777777" w:rsidTr="00CC07D1">
        <w:tc>
          <w:tcPr>
            <w:tcW w:w="8771" w:type="dxa"/>
            <w:tcBorders>
              <w:top w:val="nil"/>
              <w:left w:val="nil"/>
              <w:bottom w:val="single" w:sz="6" w:space="0" w:color="78A22F"/>
              <w:right w:val="nil"/>
            </w:tcBorders>
            <w:shd w:val="clear" w:color="auto" w:fill="auto"/>
          </w:tcPr>
          <w:p w14:paraId="7A8B8C26" w14:textId="77777777" w:rsidR="00CC07D1" w:rsidRDefault="00CC07D1" w:rsidP="00CC07D1">
            <w:pPr>
              <w:pStyle w:val="Figurespace"/>
            </w:pPr>
          </w:p>
        </w:tc>
      </w:tr>
      <w:tr w:rsidR="00CC07D1" w:rsidRPr="000863A5" w14:paraId="0D26D7B9" w14:textId="77777777" w:rsidTr="00CC07D1">
        <w:tc>
          <w:tcPr>
            <w:tcW w:w="8771" w:type="dxa"/>
            <w:tcBorders>
              <w:top w:val="single" w:sz="6" w:space="0" w:color="78A22F"/>
              <w:left w:val="nil"/>
              <w:bottom w:val="nil"/>
              <w:right w:val="nil"/>
            </w:tcBorders>
          </w:tcPr>
          <w:p w14:paraId="658A7E94" w14:textId="1162DAD1" w:rsidR="00CC07D1" w:rsidRPr="00626D32" w:rsidRDefault="00CC07D1" w:rsidP="00CC07D1">
            <w:pPr>
              <w:pStyle w:val="BoxSpaceBelow"/>
            </w:pPr>
          </w:p>
        </w:tc>
      </w:tr>
    </w:tbl>
    <w:p w14:paraId="75AF2E2E" w14:textId="3D719B01" w:rsidR="00EC631A" w:rsidRPr="00232B1E" w:rsidRDefault="00EC631A" w:rsidP="00EC631A">
      <w:pPr>
        <w:pStyle w:val="BodyText"/>
      </w:pPr>
      <w:r w:rsidRPr="00232B1E">
        <w:lastRenderedPageBreak/>
        <w:t xml:space="preserve">All of Australia’s trade agreements provide some products with a choice between a CTC </w:t>
      </w:r>
      <w:r w:rsidRPr="00232B1E">
        <w:rPr>
          <w:i/>
        </w:rPr>
        <w:t>or</w:t>
      </w:r>
      <w:r w:rsidRPr="00232B1E">
        <w:t xml:space="preserve"> </w:t>
      </w:r>
      <w:proofErr w:type="spellStart"/>
      <w:r w:rsidRPr="00232B1E">
        <w:t>RVC</w:t>
      </w:r>
      <w:proofErr w:type="spellEnd"/>
      <w:r w:rsidRPr="00232B1E">
        <w:t xml:space="preserve"> test. A</w:t>
      </w:r>
      <w:r>
        <w:t>llowing</w:t>
      </w:r>
      <w:r w:rsidRPr="00232B1E">
        <w:t xml:space="preserve"> choice should act to reduce the stringency and compliance costs compared to only the specified CTC or </w:t>
      </w:r>
      <w:proofErr w:type="spellStart"/>
      <w:r w:rsidRPr="00232B1E">
        <w:t>RVC</w:t>
      </w:r>
      <w:proofErr w:type="spellEnd"/>
      <w:r w:rsidRPr="00232B1E">
        <w:t>.</w:t>
      </w:r>
      <w:r w:rsidRPr="00232B1E">
        <w:rPr>
          <w:rStyle w:val="FootnoteReference"/>
        </w:rPr>
        <w:footnoteReference w:id="6"/>
      </w:r>
      <w:r w:rsidRPr="00232B1E">
        <w:t xml:space="preserve"> The choice formulation is highly prevalent for the </w:t>
      </w:r>
      <w:proofErr w:type="spellStart"/>
      <w:r>
        <w:t>MAFTA</w:t>
      </w:r>
      <w:proofErr w:type="spellEnd"/>
      <w:r w:rsidRPr="00232B1E">
        <w:t xml:space="preserve"> (almost 90 per cent of tariff lines), </w:t>
      </w:r>
      <w:proofErr w:type="spellStart"/>
      <w:r w:rsidRPr="00232B1E">
        <w:t>ANZCER</w:t>
      </w:r>
      <w:r>
        <w:t>TA</w:t>
      </w:r>
      <w:proofErr w:type="spellEnd"/>
      <w:r w:rsidRPr="00232B1E">
        <w:t xml:space="preserve"> (around 85 per cent) and </w:t>
      </w:r>
      <w:proofErr w:type="spellStart"/>
      <w:r w:rsidR="00F86234">
        <w:t>JAEPA</w:t>
      </w:r>
      <w:proofErr w:type="spellEnd"/>
      <w:r w:rsidR="00F86234" w:rsidRPr="00232B1E">
        <w:t xml:space="preserve"> </w:t>
      </w:r>
      <w:r w:rsidRPr="00232B1E">
        <w:t xml:space="preserve">(about 50 per cent). </w:t>
      </w:r>
    </w:p>
    <w:p w14:paraId="5C8B8675" w14:textId="03628B2E" w:rsidR="00EC631A" w:rsidRDefault="00EC631A" w:rsidP="00EC631A">
      <w:pPr>
        <w:pStyle w:val="BodyText"/>
      </w:pPr>
      <w:r>
        <w:t xml:space="preserve">In contrast to a choice formulation, some </w:t>
      </w:r>
      <w:proofErr w:type="spellStart"/>
      <w:r>
        <w:t>RoO</w:t>
      </w:r>
      <w:proofErr w:type="spellEnd"/>
      <w:r>
        <w:t xml:space="preserve"> require dual tests, for instance a CTC </w:t>
      </w:r>
      <w:r w:rsidRPr="00F95264">
        <w:rPr>
          <w:i/>
        </w:rPr>
        <w:t>and</w:t>
      </w:r>
      <w:r>
        <w:t xml:space="preserve"> </w:t>
      </w:r>
      <w:proofErr w:type="spellStart"/>
      <w:r>
        <w:t>RVC</w:t>
      </w:r>
      <w:proofErr w:type="spellEnd"/>
      <w:r>
        <w:t xml:space="preserve">, which effectively sets the </w:t>
      </w:r>
      <w:proofErr w:type="spellStart"/>
      <w:r>
        <w:t>RoO</w:t>
      </w:r>
      <w:proofErr w:type="spellEnd"/>
      <w:r>
        <w:t xml:space="preserve"> at the more restrictive of the two. The </w:t>
      </w:r>
      <w:proofErr w:type="spellStart"/>
      <w:r>
        <w:t>ChAFTA</w:t>
      </w:r>
      <w:proofErr w:type="spellEnd"/>
      <w:r>
        <w:t xml:space="preserve"> requires motor vehicles (HS 8704) to satisfy both a CTC(4) and a </w:t>
      </w:r>
      <w:proofErr w:type="spellStart"/>
      <w:r>
        <w:t>RVC45</w:t>
      </w:r>
      <w:proofErr w:type="spellEnd"/>
      <w:r>
        <w:t xml:space="preserve"> test. Curiously, the parts and accessories</w:t>
      </w:r>
      <w:r w:rsidR="00B342EE">
        <w:t xml:space="preserve"> for these vehicles (HS 8708) are</w:t>
      </w:r>
      <w:r>
        <w:t xml:space="preserve"> subject to a choice test (CTC(4) or </w:t>
      </w:r>
      <w:proofErr w:type="spellStart"/>
      <w:r>
        <w:t>RVC50</w:t>
      </w:r>
      <w:proofErr w:type="spellEnd"/>
      <w:r>
        <w:t>).</w:t>
      </w:r>
    </w:p>
    <w:p w14:paraId="6FB22F10" w14:textId="15E96012" w:rsidR="00EC631A" w:rsidRDefault="00EC631A" w:rsidP="00EC631A">
      <w:pPr>
        <w:pStyle w:val="BodyText"/>
      </w:pPr>
      <w:r>
        <w:t xml:space="preserve">An example </w:t>
      </w:r>
      <w:r w:rsidR="00B342EE">
        <w:t>that</w:t>
      </w:r>
      <w:r>
        <w:t xml:space="preserve"> combines both a choice and a dual test can be found in the </w:t>
      </w:r>
      <w:proofErr w:type="spellStart"/>
      <w:r w:rsidRPr="00F95264">
        <w:t>AANZFTA</w:t>
      </w:r>
      <w:proofErr w:type="spellEnd"/>
      <w:r>
        <w:rPr>
          <w:lang w:val="en"/>
        </w:rPr>
        <w:t xml:space="preserve">. </w:t>
      </w:r>
      <w:r w:rsidRPr="00F95264">
        <w:t>Cooking appliances and plate warmers: for gas fuel or for both gas and other fuels</w:t>
      </w:r>
      <w:r>
        <w:t xml:space="preserve"> (</w:t>
      </w:r>
      <w:r w:rsidRPr="00F95264">
        <w:t>HS 7321.11</w:t>
      </w:r>
      <w:r>
        <w:t xml:space="preserve">) offer a choice between a </w:t>
      </w:r>
      <w:proofErr w:type="spellStart"/>
      <w:r w:rsidRPr="00F95264">
        <w:t>RVC</w:t>
      </w:r>
      <w:proofErr w:type="spellEnd"/>
      <w:r w:rsidRPr="00F95264">
        <w:t>(40) or CTC(4)</w:t>
      </w:r>
      <w:r>
        <w:t xml:space="preserve"> test, or alternatively the choice of a dual test of </w:t>
      </w:r>
      <w:r w:rsidRPr="00F95264">
        <w:t>(</w:t>
      </w:r>
      <w:proofErr w:type="spellStart"/>
      <w:r w:rsidRPr="00F95264">
        <w:t>RVC</w:t>
      </w:r>
      <w:proofErr w:type="spellEnd"/>
      <w:r w:rsidRPr="00F95264">
        <w:t>(35) + CTC(6))</w:t>
      </w:r>
      <w:r>
        <w:t>.</w:t>
      </w:r>
    </w:p>
    <w:p w14:paraId="262E9386" w14:textId="77777777" w:rsidR="003C270E" w:rsidRDefault="003C270E" w:rsidP="002477A5">
      <w:pPr>
        <w:pStyle w:val="Heading4"/>
      </w:pPr>
      <w:r>
        <w:t>A producer may face different tests across different markets</w:t>
      </w:r>
    </w:p>
    <w:p w14:paraId="63DE41D0" w14:textId="47BC75B1" w:rsidR="003C270E" w:rsidRDefault="00A73D54" w:rsidP="003C270E">
      <w:pPr>
        <w:pStyle w:val="BodyText"/>
      </w:pPr>
      <w:r>
        <w:t>A significant consequence of tailor</w:t>
      </w:r>
      <w:r w:rsidR="00FE23A3">
        <w:noBreakHyphen/>
      </w:r>
      <w:r>
        <w:t xml:space="preserve">made </w:t>
      </w:r>
      <w:proofErr w:type="spellStart"/>
      <w:r>
        <w:t>RoO</w:t>
      </w:r>
      <w:proofErr w:type="spellEnd"/>
      <w:r>
        <w:t xml:space="preserve"> across agreements is that an exporter faces different </w:t>
      </w:r>
      <w:proofErr w:type="spellStart"/>
      <w:r>
        <w:t>RoO</w:t>
      </w:r>
      <w:proofErr w:type="spellEnd"/>
      <w:r w:rsidR="00A74836">
        <w:t xml:space="preserve"> </w:t>
      </w:r>
      <w:r w:rsidR="00305557">
        <w:t>in different markets. For example, i</w:t>
      </w:r>
      <w:r w:rsidR="003C270E">
        <w:t>n the case of bed linen (HS 6302)</w:t>
      </w:r>
      <w:r w:rsidR="00D532D1">
        <w:t>,</w:t>
      </w:r>
      <w:r w:rsidR="003C270E">
        <w:t xml:space="preserve"> six agreements require a CTC(2) transformation but differ in the supplementary tests and exceptions (box</w:t>
      </w:r>
      <w:r w:rsidR="00305557">
        <w:t> 6</w:t>
      </w:r>
      <w:r w:rsidR="003C270E">
        <w:t xml:space="preserve">). Pity the manufacturer who has to navigate this. Where an exporter faces different </w:t>
      </w:r>
      <w:proofErr w:type="spellStart"/>
      <w:r w:rsidR="003C270E">
        <w:t>RoO</w:t>
      </w:r>
      <w:proofErr w:type="spellEnd"/>
      <w:r w:rsidR="003C270E">
        <w:t xml:space="preserve"> the most restrictive can become binding for a firm. That is, if that market is important to the firm and the costs of </w:t>
      </w:r>
      <w:r w:rsidR="00BB474B">
        <w:t xml:space="preserve">altering </w:t>
      </w:r>
      <w:r w:rsidR="003C270E">
        <w:t xml:space="preserve">the product for </w:t>
      </w:r>
      <w:r w:rsidR="00CC2521">
        <w:t xml:space="preserve">different </w:t>
      </w:r>
      <w:r w:rsidR="003C270E">
        <w:t>market</w:t>
      </w:r>
      <w:r w:rsidR="00CC2521">
        <w:t>s</w:t>
      </w:r>
      <w:r w:rsidR="003C270E">
        <w:t xml:space="preserve"> are non</w:t>
      </w:r>
      <w:r w:rsidR="00FE23A3">
        <w:noBreakHyphen/>
      </w:r>
      <w:r w:rsidR="003C270E">
        <w:t xml:space="preserve">trivial, firms have to </w:t>
      </w:r>
      <w:r w:rsidR="00D40164">
        <w:t xml:space="preserve">change </w:t>
      </w:r>
      <w:r w:rsidR="003C270E">
        <w:t xml:space="preserve">their production process in order to comply.  </w:t>
      </w:r>
    </w:p>
    <w:p w14:paraId="3BABCEF3" w14:textId="11C22AB3" w:rsidR="00C45083" w:rsidRDefault="00C45083" w:rsidP="00C45083">
      <w:pPr>
        <w:pStyle w:val="BodyText"/>
      </w:pPr>
      <w:r>
        <w:t xml:space="preserve">Overlapping trade agreements compound the problem. Australia has bilateral preferential arrangements with New Zealand (1983), Singapore (2003), Thailand (2005) and Malaysia (2012), which are also members of the </w:t>
      </w:r>
      <w:proofErr w:type="spellStart"/>
      <w:r>
        <w:t>AANZFTA</w:t>
      </w:r>
      <w:proofErr w:type="spellEnd"/>
      <w:r>
        <w:t xml:space="preserve"> (2010) agreement. The 2016 revision (yet to take effect) to the </w:t>
      </w:r>
      <w:proofErr w:type="spellStart"/>
      <w:r>
        <w:t>SAFTA</w:t>
      </w:r>
      <w:proofErr w:type="spellEnd"/>
      <w:r>
        <w:t xml:space="preserve"> (to a CTC based system to align with the </w:t>
      </w:r>
      <w:proofErr w:type="spellStart"/>
      <w:r>
        <w:t>AANZFTA</w:t>
      </w:r>
      <w:proofErr w:type="spellEnd"/>
      <w:r>
        <w:t xml:space="preserve">) resolved one overlap as originally the Singapore agreement was a </w:t>
      </w:r>
      <w:proofErr w:type="spellStart"/>
      <w:r>
        <w:t>RVC</w:t>
      </w:r>
      <w:proofErr w:type="spellEnd"/>
      <w:r w:rsidR="00FE23A3">
        <w:noBreakHyphen/>
      </w:r>
      <w:r>
        <w:t xml:space="preserve">only test of either 30 or 50 per cent, but other overlaps remain. </w:t>
      </w:r>
    </w:p>
    <w:p w14:paraId="398BBAD2" w14:textId="1D501EDC" w:rsidR="00C45083" w:rsidRPr="00EC631A" w:rsidRDefault="00C45083" w:rsidP="00C45083">
      <w:pPr>
        <w:pStyle w:val="Heading4"/>
      </w:pPr>
      <w:r w:rsidRPr="00EC631A">
        <w:t>And have a choice proof</w:t>
      </w:r>
      <w:r w:rsidR="00FE23A3">
        <w:noBreakHyphen/>
      </w:r>
      <w:r w:rsidRPr="00EC631A">
        <w:t>of</w:t>
      </w:r>
      <w:r w:rsidR="00FE23A3">
        <w:noBreakHyphen/>
      </w:r>
      <w:r w:rsidRPr="00EC631A">
        <w:t>origin systems even within a single market</w:t>
      </w:r>
    </w:p>
    <w:p w14:paraId="408ADCA3" w14:textId="5D6CA951" w:rsidR="00C45083" w:rsidRDefault="00C45083" w:rsidP="00C45083">
      <w:pPr>
        <w:pStyle w:val="BodyText"/>
      </w:pPr>
      <w:r w:rsidRPr="008C19E7">
        <w:t xml:space="preserve">The </w:t>
      </w:r>
      <w:r>
        <w:t xml:space="preserve">complexity </w:t>
      </w:r>
      <w:r w:rsidRPr="008C19E7">
        <w:t>issu</w:t>
      </w:r>
      <w:r>
        <w:t xml:space="preserve">e is not just the different </w:t>
      </w:r>
      <w:proofErr w:type="spellStart"/>
      <w:r>
        <w:t>RoO</w:t>
      </w:r>
      <w:proofErr w:type="spellEnd"/>
      <w:r>
        <w:t>. There are</w:t>
      </w:r>
      <w:r w:rsidRPr="008C19E7">
        <w:t xml:space="preserve"> also </w:t>
      </w:r>
      <w:r>
        <w:t>different types of</w:t>
      </w:r>
      <w:r w:rsidRPr="008C19E7">
        <w:t xml:space="preserve"> paperwork</w:t>
      </w:r>
      <w:r>
        <w:t xml:space="preserve"> for tests of </w:t>
      </w:r>
      <w:proofErr w:type="spellStart"/>
      <w:r>
        <w:t>RoO</w:t>
      </w:r>
      <w:proofErr w:type="spellEnd"/>
      <w:r w:rsidRPr="008C19E7">
        <w:t xml:space="preserve">, </w:t>
      </w:r>
      <w:r>
        <w:t>and</w:t>
      </w:r>
      <w:r w:rsidRPr="008C19E7">
        <w:t xml:space="preserve"> at least three different ‘proof</w:t>
      </w:r>
      <w:r w:rsidR="00FE23A3">
        <w:noBreakHyphen/>
      </w:r>
      <w:r w:rsidRPr="008C19E7">
        <w:t>of</w:t>
      </w:r>
      <w:r w:rsidR="00FE23A3">
        <w:noBreakHyphen/>
      </w:r>
      <w:r w:rsidRPr="008C19E7">
        <w:t>origin</w:t>
      </w:r>
      <w:r>
        <w:t>’</w:t>
      </w:r>
      <w:r w:rsidRPr="008C19E7">
        <w:t xml:space="preserve"> systems </w:t>
      </w:r>
      <w:r>
        <w:t>(see below</w:t>
      </w:r>
      <w:r w:rsidRPr="008C19E7">
        <w:t xml:space="preserve">). And </w:t>
      </w:r>
      <w:r>
        <w:t>because</w:t>
      </w:r>
      <w:r w:rsidRPr="008C19E7">
        <w:t xml:space="preserve"> of</w:t>
      </w:r>
      <w:r>
        <w:t xml:space="preserve"> overlapping trade agreements, </w:t>
      </w:r>
      <w:r w:rsidRPr="00580A98">
        <w:t>there</w:t>
      </w:r>
      <w:r>
        <w:t xml:space="preserve"> can be multiple systems even with the same trading partner. For example,</w:t>
      </w:r>
      <w:r w:rsidRPr="00580A98">
        <w:t xml:space="preserve"> </w:t>
      </w:r>
      <w:r>
        <w:t xml:space="preserve">there </w:t>
      </w:r>
      <w:r w:rsidRPr="00580A98">
        <w:t>are two proof</w:t>
      </w:r>
      <w:r w:rsidR="00FE23A3">
        <w:noBreakHyphen/>
      </w:r>
      <w:r w:rsidRPr="00580A98">
        <w:t>of</w:t>
      </w:r>
      <w:r w:rsidR="00FE23A3">
        <w:noBreakHyphen/>
      </w:r>
      <w:r w:rsidRPr="00580A98">
        <w:t xml:space="preserve">origin systems for Australian preferential exports to Malaysia. First, Malaysia is part of the 2010 </w:t>
      </w:r>
      <w:proofErr w:type="spellStart"/>
      <w:r w:rsidRPr="00580A98">
        <w:t>AA</w:t>
      </w:r>
      <w:r>
        <w:t>N</w:t>
      </w:r>
      <w:r w:rsidRPr="00580A98">
        <w:t>ZFTA</w:t>
      </w:r>
      <w:proofErr w:type="spellEnd"/>
      <w:r w:rsidRPr="00580A98">
        <w:t xml:space="preserve"> agreement which adopted a third party Certificate of Origin model. After </w:t>
      </w:r>
      <w:proofErr w:type="spellStart"/>
      <w:r w:rsidRPr="00580A98">
        <w:t>AANZFTA</w:t>
      </w:r>
      <w:proofErr w:type="spellEnd"/>
      <w:r w:rsidRPr="00580A98">
        <w:t xml:space="preserve">, </w:t>
      </w:r>
      <w:r w:rsidRPr="00580A98">
        <w:lastRenderedPageBreak/>
        <w:t>Australia entered a bilateral agreement with Malaysia in 2012 which adopted a first party declaration</w:t>
      </w:r>
      <w:r w:rsidR="00FE23A3">
        <w:noBreakHyphen/>
      </w:r>
      <w:r w:rsidRPr="00580A98">
        <w:t>of</w:t>
      </w:r>
      <w:r w:rsidR="00FE23A3">
        <w:noBreakHyphen/>
      </w:r>
      <w:r w:rsidRPr="00580A98">
        <w:t xml:space="preserve">origin model. To date, the protocols for </w:t>
      </w:r>
      <w:proofErr w:type="spellStart"/>
      <w:r w:rsidRPr="00580A98">
        <w:t>RoO</w:t>
      </w:r>
      <w:proofErr w:type="spellEnd"/>
      <w:r w:rsidRPr="00580A98">
        <w:t xml:space="preserve"> have not superseded one another as new agreements are completed</w:t>
      </w:r>
      <w:r>
        <w:t xml:space="preserve">. </w:t>
      </w:r>
    </w:p>
    <w:p w14:paraId="016D1A0F" w14:textId="1871335C" w:rsidR="003C270E" w:rsidRDefault="003C270E" w:rsidP="003C270E">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3C270E" w14:paraId="3923613C" w14:textId="77777777" w:rsidTr="00F33EF1">
        <w:tc>
          <w:tcPr>
            <w:tcW w:w="8771" w:type="dxa"/>
            <w:tcBorders>
              <w:top w:val="single" w:sz="6" w:space="0" w:color="78A22F"/>
              <w:left w:val="nil"/>
              <w:bottom w:val="nil"/>
              <w:right w:val="nil"/>
            </w:tcBorders>
            <w:shd w:val="clear" w:color="auto" w:fill="F2F2F2"/>
          </w:tcPr>
          <w:p w14:paraId="518D69DF" w14:textId="77777777" w:rsidR="003C270E" w:rsidRDefault="00BA0DDA" w:rsidP="00305557">
            <w:pPr>
              <w:pStyle w:val="BoxTitle"/>
            </w:pPr>
            <w:r>
              <w:rPr>
                <w:b w:val="0"/>
              </w:rPr>
              <w:t xml:space="preserve">Box </w:t>
            </w:r>
            <w:r w:rsidR="00305557">
              <w:rPr>
                <w:b w:val="0"/>
              </w:rPr>
              <w:t>6</w:t>
            </w:r>
            <w:r w:rsidR="003C270E">
              <w:tab/>
              <w:t xml:space="preserve">Different </w:t>
            </w:r>
            <w:proofErr w:type="spellStart"/>
            <w:r w:rsidR="003C270E">
              <w:t>RoO</w:t>
            </w:r>
            <w:proofErr w:type="spellEnd"/>
            <w:r w:rsidR="003C270E">
              <w:t xml:space="preserve"> treatment for the same product</w:t>
            </w:r>
          </w:p>
        </w:tc>
      </w:tr>
      <w:tr w:rsidR="003C270E" w14:paraId="1A7E6CE9" w14:textId="77777777" w:rsidTr="00F33EF1">
        <w:tc>
          <w:tcPr>
            <w:tcW w:w="8771" w:type="dxa"/>
            <w:tcBorders>
              <w:top w:val="nil"/>
              <w:left w:val="nil"/>
              <w:bottom w:val="nil"/>
              <w:right w:val="nil"/>
            </w:tcBorders>
            <w:shd w:val="clear" w:color="auto" w:fill="F2F2F2"/>
          </w:tcPr>
          <w:p w14:paraId="1D561C35" w14:textId="77777777" w:rsidR="003C270E" w:rsidRDefault="003C270E" w:rsidP="00BF19C4">
            <w:pPr>
              <w:pStyle w:val="Box"/>
            </w:pPr>
            <w:r>
              <w:t>In order to qualify for concessional entry, Bed linen, table linen, toilet linen and kitchen linen [HS item 6302] must meet the following criteria:</w:t>
            </w:r>
          </w:p>
          <w:p w14:paraId="0B84D5D4" w14:textId="6F1508FC" w:rsidR="003C270E" w:rsidRDefault="003C270E" w:rsidP="00BF19C4">
            <w:pPr>
              <w:pStyle w:val="BoxListBullet"/>
            </w:pPr>
            <w:r w:rsidRPr="00391BB2">
              <w:rPr>
                <w:i/>
              </w:rPr>
              <w:t>Australia</w:t>
            </w:r>
            <w:r w:rsidR="00604A87" w:rsidRPr="00391BB2">
              <w:rPr>
                <w:i/>
              </w:rPr>
              <w:t>–</w:t>
            </w:r>
            <w:r w:rsidRPr="00391BB2">
              <w:rPr>
                <w:i/>
              </w:rPr>
              <w:t>United States</w:t>
            </w:r>
            <w:r>
              <w:t xml:space="preserve">. Change to heading 6302 from any other chapter, except from heading 5106 through 5113, 5204 through 5212, 5307 through 5308 or 5310 through 5311, </w:t>
            </w:r>
            <w:r w:rsidR="00FE23A3">
              <w:t>c</w:t>
            </w:r>
            <w:r>
              <w:t>hapter 54, or heading 5508 through 5516, 5801 through 5802 or 6001 through 6006, provided that the good is both cut (or knit to shape) and sewn or otherwise assembled in the US or Australia.</w:t>
            </w:r>
          </w:p>
          <w:p w14:paraId="020BDED1" w14:textId="449CC3B9" w:rsidR="003C270E" w:rsidRDefault="003C270E" w:rsidP="00BF19C4">
            <w:pPr>
              <w:pStyle w:val="BoxListBullet"/>
            </w:pPr>
            <w:r w:rsidRPr="00391BB2">
              <w:rPr>
                <w:i/>
              </w:rPr>
              <w:t>Thailand</w:t>
            </w:r>
            <w:r w:rsidR="00604A87" w:rsidRPr="00391BB2">
              <w:rPr>
                <w:i/>
              </w:rPr>
              <w:t>–</w:t>
            </w:r>
            <w:r w:rsidRPr="00391BB2">
              <w:rPr>
                <w:i/>
              </w:rPr>
              <w:t>Australia</w:t>
            </w:r>
            <w:r>
              <w:t>. Change to heading 6302 from any other chapter, provided that any non</w:t>
            </w:r>
            <w:r w:rsidR="00FE23A3">
              <w:noBreakHyphen/>
            </w:r>
            <w:r>
              <w:t>originating material that is fabric is pre</w:t>
            </w:r>
            <w:r w:rsidR="00FE23A3">
              <w:noBreakHyphen/>
            </w:r>
            <w:r>
              <w:t>bleached or unbleached, and that there is a regional value content of not less than 55 per cent.</w:t>
            </w:r>
          </w:p>
          <w:p w14:paraId="1C6F9F44" w14:textId="77777777" w:rsidR="003C270E" w:rsidRDefault="003C270E" w:rsidP="00BF19C4">
            <w:pPr>
              <w:pStyle w:val="BoxListBullet"/>
            </w:pPr>
            <w:r w:rsidRPr="00391BB2">
              <w:rPr>
                <w:i/>
              </w:rPr>
              <w:t>Australia–New Zealand.</w:t>
            </w:r>
            <w:r>
              <w:t xml:space="preserve"> Change to heading 6302 from any other chapter, provided that where the starting material is fabric, the fabric is raw and fully finished in the territory of the Parties; or No change in tariff classification is required, provided that there is a regional value content of not less than 45 per cent based on the build down method.</w:t>
            </w:r>
          </w:p>
          <w:p w14:paraId="013DB50C" w14:textId="5A201143" w:rsidR="003C270E" w:rsidRDefault="003C270E" w:rsidP="00BF19C4">
            <w:pPr>
              <w:pStyle w:val="BoxListBullet"/>
            </w:pPr>
            <w:r w:rsidRPr="00391BB2">
              <w:rPr>
                <w:i/>
              </w:rPr>
              <w:t>Australia</w:t>
            </w:r>
            <w:r w:rsidR="00604A87" w:rsidRPr="00391BB2">
              <w:rPr>
                <w:i/>
              </w:rPr>
              <w:t>–</w:t>
            </w:r>
            <w:r w:rsidRPr="00391BB2">
              <w:rPr>
                <w:i/>
              </w:rPr>
              <w:t>Chil</w:t>
            </w:r>
            <w:r>
              <w:t>e. Change to heading 6302 from any other chapter provided that where the starting material is fabric, the fabric is raw and fully finished in the territory of the parties.</w:t>
            </w:r>
          </w:p>
          <w:p w14:paraId="37574076" w14:textId="1B432C3B" w:rsidR="003C270E" w:rsidRDefault="003C270E" w:rsidP="00BF19C4">
            <w:pPr>
              <w:pStyle w:val="BoxListBullet"/>
            </w:pPr>
            <w:r w:rsidRPr="00391BB2">
              <w:rPr>
                <w:i/>
              </w:rPr>
              <w:t>Malaysia</w:t>
            </w:r>
            <w:r w:rsidR="00604A87" w:rsidRPr="00391BB2">
              <w:rPr>
                <w:i/>
              </w:rPr>
              <w:t>–</w:t>
            </w:r>
            <w:r w:rsidRPr="00391BB2">
              <w:rPr>
                <w:i/>
              </w:rPr>
              <w:t>Australia.</w:t>
            </w:r>
            <w:r>
              <w:t xml:space="preserve"> Change to heading 6302 from any other chapter, provided that where the starting material is fabric, the fabric was </w:t>
            </w:r>
            <w:proofErr w:type="spellStart"/>
            <w:r>
              <w:t>greige</w:t>
            </w:r>
            <w:proofErr w:type="spellEnd"/>
            <w:r>
              <w:t xml:space="preserve"> fabric that: (a) is dyed or printed; and (b) finished in Australia or Malaysia to render it directly usable.</w:t>
            </w:r>
          </w:p>
          <w:p w14:paraId="2950C410" w14:textId="22C52411" w:rsidR="003C270E" w:rsidRDefault="003C270E" w:rsidP="00604A87">
            <w:pPr>
              <w:pStyle w:val="BoxListBullet"/>
            </w:pPr>
            <w:r w:rsidRPr="009B1C78">
              <w:rPr>
                <w:i/>
              </w:rPr>
              <w:t>Japan</w:t>
            </w:r>
            <w:r w:rsidR="00604A87" w:rsidRPr="00391BB2">
              <w:rPr>
                <w:i/>
              </w:rPr>
              <w:t>–</w:t>
            </w:r>
            <w:r w:rsidRPr="009B1C78">
              <w:rPr>
                <w:i/>
              </w:rPr>
              <w:t>Australia</w:t>
            </w:r>
            <w:r>
              <w:t>. Change to heading from any other chapter provided that, where non</w:t>
            </w:r>
            <w:r w:rsidR="00FE23A3">
              <w:noBreakHyphen/>
            </w:r>
            <w:r>
              <w:t>originating materials of headings 50.07, 51.11 through 51.13, 52.08 through 52.12, 53.09 through 53.11, 54.07, 54.08, 55.12 through 55.16, or chapter 60 are used, each of the non</w:t>
            </w:r>
            <w:r w:rsidR="00FE23A3">
              <w:noBreakHyphen/>
            </w:r>
            <w:r>
              <w:t>originating materials is woven, or knitted or crocheted entirely in the Area of one or both Parties.</w:t>
            </w:r>
          </w:p>
        </w:tc>
      </w:tr>
      <w:tr w:rsidR="003C270E" w14:paraId="46576BD6" w14:textId="77777777" w:rsidTr="00F33EF1">
        <w:tc>
          <w:tcPr>
            <w:tcW w:w="8771" w:type="dxa"/>
            <w:tcBorders>
              <w:top w:val="nil"/>
              <w:left w:val="nil"/>
              <w:bottom w:val="single" w:sz="6" w:space="0" w:color="78A22F"/>
              <w:right w:val="nil"/>
            </w:tcBorders>
            <w:shd w:val="clear" w:color="auto" w:fill="F2F2F2"/>
          </w:tcPr>
          <w:p w14:paraId="7F24EAFA" w14:textId="77777777" w:rsidR="003C270E" w:rsidRDefault="003C270E" w:rsidP="00BF19C4">
            <w:pPr>
              <w:pStyle w:val="Box"/>
              <w:spacing w:before="0" w:line="120" w:lineRule="exact"/>
            </w:pPr>
          </w:p>
        </w:tc>
      </w:tr>
      <w:tr w:rsidR="003C270E" w:rsidRPr="000863A5" w14:paraId="3DF013B3" w14:textId="77777777" w:rsidTr="00F33EF1">
        <w:tc>
          <w:tcPr>
            <w:tcW w:w="8771" w:type="dxa"/>
            <w:tcBorders>
              <w:top w:val="single" w:sz="6" w:space="0" w:color="78A22F"/>
              <w:left w:val="nil"/>
              <w:bottom w:val="nil"/>
              <w:right w:val="nil"/>
            </w:tcBorders>
          </w:tcPr>
          <w:p w14:paraId="22D0C3B1" w14:textId="49CC0313" w:rsidR="003C270E" w:rsidRPr="00626D32" w:rsidRDefault="003C270E" w:rsidP="00BF19C4">
            <w:pPr>
              <w:pStyle w:val="BoxSpaceBelow"/>
            </w:pPr>
          </w:p>
        </w:tc>
      </w:tr>
    </w:tbl>
    <w:p w14:paraId="419E3F65" w14:textId="77777777" w:rsidR="00D449CE" w:rsidRPr="00EC631A" w:rsidRDefault="00D449CE" w:rsidP="00EC631A">
      <w:pPr>
        <w:pStyle w:val="Heading3"/>
      </w:pPr>
      <w:r w:rsidRPr="00EC631A">
        <w:t xml:space="preserve">With many </w:t>
      </w:r>
      <w:r w:rsidR="00283756" w:rsidRPr="00EC631A">
        <w:t xml:space="preserve">PTAs </w:t>
      </w:r>
      <w:r w:rsidRPr="00EC631A">
        <w:t>to choose from</w:t>
      </w:r>
      <w:r w:rsidR="00283756" w:rsidRPr="00EC631A">
        <w:t>,</w:t>
      </w:r>
      <w:r w:rsidRPr="00EC631A">
        <w:t xml:space="preserve"> complexity may simply trump use</w:t>
      </w:r>
    </w:p>
    <w:p w14:paraId="6EF2E18D" w14:textId="22ADF422" w:rsidR="00B90DCA" w:rsidRDefault="00E0230C" w:rsidP="00B23DD1">
      <w:pPr>
        <w:pStyle w:val="BodyText"/>
        <w:spacing w:before="200"/>
      </w:pPr>
      <w:r>
        <w:t>W</w:t>
      </w:r>
      <w:r w:rsidR="00C169A1">
        <w:t>hen faced with a number of PTAs</w:t>
      </w:r>
      <w:r w:rsidR="00422661">
        <w:t>,</w:t>
      </w:r>
      <w:r w:rsidR="00C169A1">
        <w:t xml:space="preserve"> exporters may be pulled in different ways, depending on which PTA partner countries it purchases inputs from and which it wants to sell to. For small firms the computational requirements to work out what is worthwhile and what is not will generally be overwhelming, and rules of thumb that may or may not be efficient will often be used. </w:t>
      </w:r>
      <w:r w:rsidR="00B90DCA">
        <w:t xml:space="preserve"> </w:t>
      </w:r>
    </w:p>
    <w:p w14:paraId="76C3D295" w14:textId="77777777" w:rsidR="00C90FDB" w:rsidRDefault="00E0230C" w:rsidP="00EC631A">
      <w:pPr>
        <w:pStyle w:val="BodyText"/>
      </w:pPr>
      <w:r>
        <w:t>W</w:t>
      </w:r>
      <w:r w:rsidR="00D418C1">
        <w:t xml:space="preserve">ith a </w:t>
      </w:r>
      <w:proofErr w:type="spellStart"/>
      <w:r w:rsidR="00D418C1">
        <w:t>RV</w:t>
      </w:r>
      <w:r>
        <w:t>C</w:t>
      </w:r>
      <w:proofErr w:type="spellEnd"/>
      <w:r>
        <w:t xml:space="preserve"> test </w:t>
      </w:r>
      <w:r w:rsidR="00B90DCA">
        <w:t xml:space="preserve">a change in the exchange rate (affecting the cost of imported inputs and the final selling price) </w:t>
      </w:r>
      <w:r>
        <w:t>can</w:t>
      </w:r>
      <w:r w:rsidR="00B90DCA">
        <w:t xml:space="preserve"> affect eligibility</w:t>
      </w:r>
      <w:r>
        <w:t xml:space="preserve"> for a preference</w:t>
      </w:r>
      <w:r w:rsidR="00B90DCA">
        <w:t>.</w:t>
      </w:r>
      <w:r>
        <w:t xml:space="preserve"> Monitoring this for one destination market or one source partner country adds to the complexity of system</w:t>
      </w:r>
      <w:r w:rsidR="00A74836">
        <w:t>;</w:t>
      </w:r>
      <w:r>
        <w:t xml:space="preserve"> monitoring it for a myriad of agreements is almost impossible. Unsurprisingly, many small firms report confusion about just what advantage the system of PTAs offers. </w:t>
      </w:r>
    </w:p>
    <w:p w14:paraId="5172A1C7" w14:textId="77777777" w:rsidR="00C90FDB" w:rsidRPr="00C90FDB" w:rsidRDefault="00C90FDB" w:rsidP="00C90FDB">
      <w:pPr>
        <w:pStyle w:val="Quote"/>
      </w:pPr>
      <w:r w:rsidRPr="00073150">
        <w:lastRenderedPageBreak/>
        <w:t>The use and understanding of Australia’s multiple free trade agreements is very low, with the majority of businesses surveyed struggling to navigate complex rules and regulations.</w:t>
      </w:r>
      <w:r w:rsidRPr="00C90FDB">
        <w:t xml:space="preserve"> (</w:t>
      </w:r>
      <w:proofErr w:type="spellStart"/>
      <w:r w:rsidRPr="00C90FDB">
        <w:t>ACCI</w:t>
      </w:r>
      <w:proofErr w:type="spellEnd"/>
      <w:r w:rsidRPr="00C90FDB">
        <w:t> </w:t>
      </w:r>
      <w:proofErr w:type="spellStart"/>
      <w:r w:rsidRPr="00C90FDB">
        <w:t>2016</w:t>
      </w:r>
      <w:r w:rsidR="00313F8B">
        <w:t>b</w:t>
      </w:r>
      <w:proofErr w:type="spellEnd"/>
      <w:r w:rsidRPr="00C90FDB">
        <w:t xml:space="preserve"> National Trade Survey, p. 4)</w:t>
      </w:r>
    </w:p>
    <w:p w14:paraId="35B52EAD" w14:textId="438E8B89" w:rsidR="00B90DCA" w:rsidRDefault="00E0230C" w:rsidP="00EC631A">
      <w:pPr>
        <w:pStyle w:val="BodyText"/>
      </w:pPr>
      <w:r>
        <w:t xml:space="preserve">While this means that they will not distort their production decisions to satisfy </w:t>
      </w:r>
      <w:proofErr w:type="spellStart"/>
      <w:r>
        <w:t>RoO</w:t>
      </w:r>
      <w:proofErr w:type="spellEnd"/>
      <w:r>
        <w:t>, it also means that they do</w:t>
      </w:r>
      <w:r w:rsidR="0075098C">
        <w:t xml:space="preserve"> </w:t>
      </w:r>
      <w:r>
        <w:t>n</w:t>
      </w:r>
      <w:r w:rsidR="0075098C">
        <w:t>o</w:t>
      </w:r>
      <w:r>
        <w:t>t get the trade creation benefits that can be in PTAs.</w:t>
      </w:r>
      <w:r w:rsidR="00422661">
        <w:t xml:space="preserve"> And they might not bother to export</w:t>
      </w:r>
      <w:r w:rsidR="0075098C" w:rsidRPr="0075098C">
        <w:t xml:space="preserve"> </w:t>
      </w:r>
      <w:r w:rsidR="00D373B6">
        <w:t>at all</w:t>
      </w:r>
      <w:r w:rsidR="00422661">
        <w:t>.</w:t>
      </w:r>
    </w:p>
    <w:p w14:paraId="02CC8575" w14:textId="6A861B63" w:rsidR="00B90DCA" w:rsidRDefault="00283756" w:rsidP="00EC631A">
      <w:pPr>
        <w:pStyle w:val="BodyText"/>
      </w:pPr>
      <w:r>
        <w:t xml:space="preserve">Overall, it is hard to see </w:t>
      </w:r>
      <w:r w:rsidR="00006E22">
        <w:t>the current noodle</w:t>
      </w:r>
      <w:r w:rsidR="00FE23A3">
        <w:noBreakHyphen/>
      </w:r>
      <w:r w:rsidR="00006E22">
        <w:t xml:space="preserve">bowl of </w:t>
      </w:r>
      <w:r>
        <w:t>PTAs working as effective stepping stones toward greater trade liberalisation on a multilateral basis</w:t>
      </w:r>
      <w:r w:rsidR="00006E22">
        <w:t xml:space="preserve"> (Davidson 2014)</w:t>
      </w:r>
      <w:r>
        <w:t>.</w:t>
      </w:r>
      <w:r w:rsidR="00006E22">
        <w:t xml:space="preserve"> The focus on PTAs</w:t>
      </w:r>
      <w:r>
        <w:t xml:space="preserve"> also undermines the incentive to act unilaterally, as current tariffs and other restrictions are often seen as negotiating coin. This is a pity, as unilateral liberalisation has been shown to offer not just gains to trade, but more importantly competitive pressures and cheaper access to imports that embody new technology (</w:t>
      </w:r>
      <w:r w:rsidR="00832889">
        <w:t>PC 2010)</w:t>
      </w:r>
      <w:r>
        <w:t>.</w:t>
      </w:r>
    </w:p>
    <w:p w14:paraId="7B288E7A" w14:textId="77777777" w:rsidR="00AF6682" w:rsidRDefault="00BB012D" w:rsidP="002477A5">
      <w:pPr>
        <w:pStyle w:val="Heading2"/>
      </w:pPr>
      <w:r>
        <w:t>4</w:t>
      </w:r>
      <w:r w:rsidR="00F33EF1">
        <w:tab/>
      </w:r>
      <w:r w:rsidR="00AF6682">
        <w:t>Does the cost of compliance undermine the value of PTAs?</w:t>
      </w:r>
    </w:p>
    <w:p w14:paraId="5DEEC845" w14:textId="77777777" w:rsidR="00123120" w:rsidRDefault="00AF6682" w:rsidP="00232B1E">
      <w:pPr>
        <w:pStyle w:val="BodyText"/>
        <w:spacing w:before="200"/>
      </w:pPr>
      <w:r>
        <w:t xml:space="preserve">Previous work by the Commission recommended that </w:t>
      </w:r>
      <w:proofErr w:type="spellStart"/>
      <w:r>
        <w:t>RoO</w:t>
      </w:r>
      <w:proofErr w:type="spellEnd"/>
      <w:r>
        <w:t xml:space="preserve"> be waived when the difference in MFN tariffs between agreement partners is five percentage points or less.</w:t>
      </w:r>
      <w:r w:rsidR="00832889">
        <w:rPr>
          <w:rStyle w:val="FootnoteReference"/>
        </w:rPr>
        <w:footnoteReference w:id="7"/>
      </w:r>
      <w:r>
        <w:t xml:space="preserve"> </w:t>
      </w:r>
      <w:r w:rsidR="00A74836">
        <w:t xml:space="preserve">The reasoning was that the risk of transhipment is minimal and there can be substantial costs associated with the paperwork required for satisfying the </w:t>
      </w:r>
      <w:proofErr w:type="spellStart"/>
      <w:r w:rsidR="00A74836">
        <w:t>RoO</w:t>
      </w:r>
      <w:proofErr w:type="spellEnd"/>
      <w:r w:rsidR="00A74836">
        <w:t xml:space="preserve">, which reduces the use of the preference. </w:t>
      </w:r>
      <w:r>
        <w:t>The 2010 recommendation was agreed to by the government (</w:t>
      </w:r>
      <w:r w:rsidR="00313F8B">
        <w:t xml:space="preserve">Australian Government </w:t>
      </w:r>
      <w:r>
        <w:t xml:space="preserve">2011), yet subsequent agreements did not adopt this position. </w:t>
      </w:r>
    </w:p>
    <w:p w14:paraId="2C85E9D7" w14:textId="5B267C17" w:rsidR="00994267" w:rsidRDefault="00994267" w:rsidP="00232B1E">
      <w:pPr>
        <w:pStyle w:val="BodyText"/>
        <w:spacing w:before="200"/>
      </w:pPr>
      <w:r>
        <w:t>To enjoy the reduced tariff on offer</w:t>
      </w:r>
      <w:r w:rsidR="000B36F8">
        <w:t xml:space="preserve"> through </w:t>
      </w:r>
      <w:proofErr w:type="spellStart"/>
      <w:r w:rsidR="000B36F8">
        <w:t>RoO</w:t>
      </w:r>
      <w:proofErr w:type="spellEnd"/>
      <w:r>
        <w:t xml:space="preserve">, importers have to ‘prove’ </w:t>
      </w:r>
      <w:r w:rsidR="00D532D1">
        <w:t xml:space="preserve">that </w:t>
      </w:r>
      <w:r>
        <w:t>the economic transformation rule has been met. Documentary evidence such as furnishing an authorised certificate with production information or self</w:t>
      </w:r>
      <w:r w:rsidR="00FE23A3">
        <w:noBreakHyphen/>
      </w:r>
      <w:r>
        <w:t xml:space="preserve">declaration paperwork is required. </w:t>
      </w:r>
    </w:p>
    <w:p w14:paraId="2868B0BA" w14:textId="44CB8E29" w:rsidR="00994267" w:rsidRDefault="00832889" w:rsidP="00232B1E">
      <w:pPr>
        <w:pStyle w:val="BodyText"/>
        <w:spacing w:before="200"/>
      </w:pPr>
      <w:r>
        <w:t>A</w:t>
      </w:r>
      <w:r w:rsidR="006F594A">
        <w:t>s</w:t>
      </w:r>
      <w:r>
        <w:t xml:space="preserve"> </w:t>
      </w:r>
      <w:r w:rsidR="00994267">
        <w:t xml:space="preserve">origin identification </w:t>
      </w:r>
      <w:r>
        <w:t xml:space="preserve">is required </w:t>
      </w:r>
      <w:r w:rsidR="00994267">
        <w:t>for non</w:t>
      </w:r>
      <w:r w:rsidR="00FE23A3">
        <w:noBreakHyphen/>
      </w:r>
      <w:r w:rsidR="00994267">
        <w:t>preferential trade</w:t>
      </w:r>
      <w:r w:rsidR="00422661">
        <w:t>,</w:t>
      </w:r>
      <w:r w:rsidR="004E0B17">
        <w:t xml:space="preserve"> </w:t>
      </w:r>
      <w:r>
        <w:t>it is the additional costs of proof</w:t>
      </w:r>
      <w:r w:rsidR="00FE23A3">
        <w:noBreakHyphen/>
      </w:r>
      <w:r>
        <w:t>of</w:t>
      </w:r>
      <w:r w:rsidR="00FE23A3">
        <w:noBreakHyphen/>
      </w:r>
      <w:r>
        <w:t>origin protocols for preferential treatment that matter</w:t>
      </w:r>
      <w:r w:rsidR="00994267">
        <w:t>.</w:t>
      </w:r>
      <w:r w:rsidR="004E0B17">
        <w:t xml:space="preserve"> </w:t>
      </w:r>
      <w:r w:rsidR="00074475">
        <w:t xml:space="preserve">These costs include: additional certification of origin; processing time that can delay release of the cargo; </w:t>
      </w:r>
      <w:proofErr w:type="spellStart"/>
      <w:r w:rsidR="00074475">
        <w:t>rebatable</w:t>
      </w:r>
      <w:proofErr w:type="spellEnd"/>
      <w:r w:rsidR="00074475">
        <w:t xml:space="preserve"> duties to be paid before release where the certification is checked after release; and potentially a requirement to meet costs associated with investigations about whether the cargo meets the </w:t>
      </w:r>
      <w:proofErr w:type="spellStart"/>
      <w:r w:rsidR="00074475">
        <w:t>RoO</w:t>
      </w:r>
      <w:proofErr w:type="spellEnd"/>
      <w:r w:rsidR="00074475">
        <w:t xml:space="preserve"> requirement.</w:t>
      </w:r>
    </w:p>
    <w:p w14:paraId="53509E52" w14:textId="0082C0F0" w:rsidR="004E0B17" w:rsidRDefault="004E0B17" w:rsidP="00232B1E">
      <w:pPr>
        <w:pStyle w:val="Heading3"/>
        <w:spacing w:before="480"/>
      </w:pPr>
      <w:r>
        <w:t>Declaring origin for non</w:t>
      </w:r>
      <w:r w:rsidR="00FE23A3">
        <w:noBreakHyphen/>
      </w:r>
      <w:r>
        <w:t>preferential imports</w:t>
      </w:r>
    </w:p>
    <w:p w14:paraId="56D685F5" w14:textId="66F80A7D" w:rsidR="004E0B17" w:rsidRDefault="004E0B17" w:rsidP="00232B1E">
      <w:pPr>
        <w:pStyle w:val="BodyText"/>
        <w:spacing w:before="200"/>
      </w:pPr>
      <w:r>
        <w:t>Non</w:t>
      </w:r>
      <w:r w:rsidR="00FE23A3">
        <w:noBreakHyphen/>
      </w:r>
      <w:r>
        <w:t xml:space="preserve">preferential trade imports </w:t>
      </w:r>
      <w:r w:rsidRPr="00C65B73">
        <w:rPr>
          <w:i/>
        </w:rPr>
        <w:t>into Australia</w:t>
      </w:r>
      <w:r>
        <w:t xml:space="preserve"> require labelling on goods packaging, including </w:t>
      </w:r>
      <w:r w:rsidR="00832889">
        <w:t>their</w:t>
      </w:r>
      <w:r>
        <w:t xml:space="preserve"> origin. Separate from these commercial markings is the cargo </w:t>
      </w:r>
      <w:r>
        <w:lastRenderedPageBreak/>
        <w:t>documentation</w:t>
      </w:r>
      <w:r w:rsidR="000B36F8">
        <w:t xml:space="preserve">, which includes </w:t>
      </w:r>
      <w:r>
        <w:t>origin information, such as country of production, country of loading, and last country of dispatch. Country of production is where the ‘last substantial transformation’ occurred</w:t>
      </w:r>
      <w:r w:rsidR="00832889">
        <w:t>,</w:t>
      </w:r>
      <w:r>
        <w:t xml:space="preserve"> but this is not further defined and there are no </w:t>
      </w:r>
      <w:proofErr w:type="spellStart"/>
      <w:r>
        <w:t>RoO</w:t>
      </w:r>
      <w:proofErr w:type="spellEnd"/>
      <w:r w:rsidR="00FE23A3">
        <w:noBreakHyphen/>
      </w:r>
      <w:r>
        <w:t>like quantitative tests. There is no general requirement to ‘prove’ origin in the normal course of import.</w:t>
      </w:r>
    </w:p>
    <w:p w14:paraId="7EDDDD7E" w14:textId="77777777" w:rsidR="004E0B17" w:rsidRDefault="004E0B17" w:rsidP="00232B1E">
      <w:pPr>
        <w:pStyle w:val="BodyText"/>
        <w:spacing w:before="200"/>
      </w:pPr>
      <w:r>
        <w:t>Australia’s cargo clearance system may trigger other origin related questions and evidence requirements, such as for quarantine, and permits for restricted goods. Other origin documents (outside of Customs requirements) include Certificates of Origin, issued by business chambers, in the ordinary course of trade, for such purposes a</w:t>
      </w:r>
      <w:r w:rsidR="00D86D26">
        <w:t>s</w:t>
      </w:r>
      <w:r>
        <w:t xml:space="preserve"> trade finance.</w:t>
      </w:r>
      <w:r>
        <w:rPr>
          <w:rStyle w:val="FootnoteReference"/>
        </w:rPr>
        <w:footnoteReference w:id="8"/>
      </w:r>
    </w:p>
    <w:p w14:paraId="208734A5" w14:textId="7F6831B6" w:rsidR="004E0B17" w:rsidRDefault="004E0B17" w:rsidP="004E0B17">
      <w:pPr>
        <w:pStyle w:val="BodyText"/>
      </w:pPr>
      <w:r>
        <w:t xml:space="preserve">Declaration of origin in the normal course of trade varies around the world. Most </w:t>
      </w:r>
      <w:r w:rsidR="00E0495D">
        <w:t>m</w:t>
      </w:r>
      <w:r>
        <w:t>embers of the World Customs Organization (</w:t>
      </w:r>
      <w:proofErr w:type="spellStart"/>
      <w:r>
        <w:t>WCO</w:t>
      </w:r>
      <w:proofErr w:type="spellEnd"/>
      <w:r>
        <w:t>) do not require any non</w:t>
      </w:r>
      <w:r w:rsidR="00FE23A3">
        <w:noBreakHyphen/>
      </w:r>
      <w:r>
        <w:t>preferential proof of origin for most types of import</w:t>
      </w:r>
      <w:r w:rsidR="00422661">
        <w:t>s</w:t>
      </w:r>
      <w:r>
        <w:t xml:space="preserve">, though many do require proof in certain circumstances. However, some </w:t>
      </w:r>
      <w:r w:rsidR="00D373B6">
        <w:t>m</w:t>
      </w:r>
      <w:r>
        <w:t xml:space="preserve">embers </w:t>
      </w:r>
      <w:r w:rsidRPr="00503995">
        <w:rPr>
          <w:u w:val="single"/>
        </w:rPr>
        <w:t>always</w:t>
      </w:r>
      <w:r>
        <w:t xml:space="preserve"> require a non</w:t>
      </w:r>
      <w:r w:rsidR="00FE23A3">
        <w:noBreakHyphen/>
      </w:r>
      <w:r>
        <w:t>preferential certificate of origin, and this is inconsistent with the WTO Agreement on Customs Valuation (</w:t>
      </w:r>
      <w:proofErr w:type="spellStart"/>
      <w:r w:rsidR="00203826">
        <w:t>Azzam</w:t>
      </w:r>
      <w:proofErr w:type="spellEnd"/>
      <w:r w:rsidR="00203826">
        <w:t> </w:t>
      </w:r>
      <w:r>
        <w:t>2015</w:t>
      </w:r>
      <w:r w:rsidR="00203826">
        <w:t>)</w:t>
      </w:r>
      <w:r>
        <w:t>. The reasons cited for always requiring evidence of proof</w:t>
      </w:r>
      <w:r w:rsidR="00FE23A3">
        <w:noBreakHyphen/>
      </w:r>
      <w:r>
        <w:t>of</w:t>
      </w:r>
      <w:r w:rsidR="00FE23A3">
        <w:noBreakHyphen/>
      </w:r>
      <w:r>
        <w:t>origin in non</w:t>
      </w:r>
      <w:r w:rsidR="00FE23A3">
        <w:noBreakHyphen/>
      </w:r>
      <w:r>
        <w:t>preferential cases were: customs valuation purposes; duty purposes in general; consumer protection</w:t>
      </w:r>
      <w:r w:rsidR="00CC2521">
        <w:t>;</w:t>
      </w:r>
      <w:r>
        <w:t xml:space="preserve"> intellectual property rights protection; risk management profiling</w:t>
      </w:r>
      <w:r w:rsidR="00CC2521">
        <w:t>;</w:t>
      </w:r>
      <w:r>
        <w:t xml:space="preserve"> and application of quotas</w:t>
      </w:r>
      <w:r w:rsidR="00FE5D4E">
        <w:t xml:space="preserve"> and bans</w:t>
      </w:r>
      <w:r>
        <w:t xml:space="preserve">. </w:t>
      </w:r>
    </w:p>
    <w:p w14:paraId="7DFB59CE" w14:textId="7400A63A" w:rsidR="00074475" w:rsidRDefault="00074475" w:rsidP="00232B1E">
      <w:pPr>
        <w:pStyle w:val="Heading3"/>
        <w:spacing w:before="480"/>
      </w:pPr>
      <w:r>
        <w:t>Proving Rule</w:t>
      </w:r>
      <w:r w:rsidR="00FE23A3">
        <w:noBreakHyphen/>
      </w:r>
      <w:r>
        <w:t xml:space="preserve">of Origin for preferential trade </w:t>
      </w:r>
    </w:p>
    <w:p w14:paraId="2EB1390F" w14:textId="77777777" w:rsidR="00074475" w:rsidRDefault="00074475" w:rsidP="00232B1E">
      <w:pPr>
        <w:pStyle w:val="BodyText"/>
        <w:spacing w:before="200"/>
      </w:pPr>
      <w:r>
        <w:t xml:space="preserve">For preferential trade treatment origin is defined by the </w:t>
      </w:r>
      <w:proofErr w:type="spellStart"/>
      <w:r>
        <w:t>RoO</w:t>
      </w:r>
      <w:proofErr w:type="spellEnd"/>
      <w:r>
        <w:t xml:space="preserve">. There may be complete agreement that the good came from country X and that some manufacturing took place there, but to claim the tariff preference, you have to prove (to the satisfaction of the import country Customs) it meets the </w:t>
      </w:r>
      <w:proofErr w:type="spellStart"/>
      <w:r>
        <w:t>RoO</w:t>
      </w:r>
      <w:proofErr w:type="spellEnd"/>
      <w:r>
        <w:t xml:space="preserve">. </w:t>
      </w:r>
    </w:p>
    <w:p w14:paraId="5FE6CCCA" w14:textId="16B65A41" w:rsidR="00074475" w:rsidRDefault="00074475" w:rsidP="00232B1E">
      <w:pPr>
        <w:pStyle w:val="BodyText"/>
        <w:spacing w:before="200"/>
      </w:pPr>
      <w:r>
        <w:t xml:space="preserve">This raises some key issues. </w:t>
      </w:r>
      <w:r w:rsidR="00203826">
        <w:t>What evidence d</w:t>
      </w:r>
      <w:r w:rsidR="00726EDD">
        <w:t>o</w:t>
      </w:r>
      <w:r>
        <w:t xml:space="preserve"> Customs </w:t>
      </w:r>
      <w:r w:rsidR="00203826">
        <w:t>require?</w:t>
      </w:r>
      <w:r>
        <w:t xml:space="preserve"> Does the examination occur before cargo is released? </w:t>
      </w:r>
      <w:r w:rsidR="00203826">
        <w:t>If examination is after release</w:t>
      </w:r>
      <w:r w:rsidR="00422661">
        <w:t>,</w:t>
      </w:r>
      <w:r w:rsidR="00203826">
        <w:t xml:space="preserve"> does the importer have to pay the duty and reclaim it back once approved? </w:t>
      </w:r>
      <w:r>
        <w:t xml:space="preserve">What if Customs does not agree with the submitted evidence? </w:t>
      </w:r>
      <w:r w:rsidR="00203826">
        <w:t>U</w:t>
      </w:r>
      <w:r>
        <w:t>ncertainty about the answers to these questions can restrict the use of preference</w:t>
      </w:r>
      <w:r w:rsidR="00422661">
        <w:t>s</w:t>
      </w:r>
      <w:r>
        <w:t xml:space="preserve">. But even without uncertainty, the treatment affects the costs that importers (and by extension exporters) face. </w:t>
      </w:r>
    </w:p>
    <w:p w14:paraId="344B4124" w14:textId="77777777" w:rsidR="00074475" w:rsidRDefault="00074475" w:rsidP="00232B1E">
      <w:pPr>
        <w:pStyle w:val="BodyText"/>
        <w:spacing w:before="200"/>
      </w:pPr>
      <w:r>
        <w:t>Internationally, there are four main proof of origin models for preferential trade (table </w:t>
      </w:r>
      <w:r w:rsidR="00B1038B">
        <w:t>5</w:t>
      </w:r>
      <w:r>
        <w:t xml:space="preserve">). </w:t>
      </w:r>
    </w:p>
    <w:p w14:paraId="460EE129" w14:textId="329EC1A6" w:rsidR="00074475" w:rsidRDefault="00074475" w:rsidP="005C021A">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074475" w14:paraId="2271ABBC" w14:textId="77777777" w:rsidTr="00213E8B">
        <w:tc>
          <w:tcPr>
            <w:tcW w:w="8771" w:type="dxa"/>
            <w:tcBorders>
              <w:top w:val="single" w:sz="6" w:space="0" w:color="78A22F"/>
              <w:left w:val="nil"/>
              <w:bottom w:val="nil"/>
              <w:right w:val="nil"/>
            </w:tcBorders>
            <w:shd w:val="clear" w:color="auto" w:fill="auto"/>
          </w:tcPr>
          <w:p w14:paraId="43E0CEFD" w14:textId="38DA7470" w:rsidR="00074475" w:rsidRPr="00784A05" w:rsidRDefault="00F33EF1" w:rsidP="00B1038B">
            <w:pPr>
              <w:pStyle w:val="TableTitle"/>
            </w:pPr>
            <w:r>
              <w:rPr>
                <w:b w:val="0"/>
              </w:rPr>
              <w:t xml:space="preserve">Table </w:t>
            </w:r>
            <w:r w:rsidR="00B1038B">
              <w:rPr>
                <w:b w:val="0"/>
              </w:rPr>
              <w:t>5</w:t>
            </w:r>
            <w:r w:rsidR="00074475">
              <w:tab/>
              <w:t>Proof</w:t>
            </w:r>
            <w:r w:rsidR="00FE23A3">
              <w:noBreakHyphen/>
            </w:r>
            <w:r w:rsidR="00074475">
              <w:t>of</w:t>
            </w:r>
            <w:r w:rsidR="00FE23A3">
              <w:noBreakHyphen/>
            </w:r>
            <w:r w:rsidR="00074475">
              <w:t>origin systems: import country requirements</w:t>
            </w:r>
          </w:p>
        </w:tc>
      </w:tr>
      <w:tr w:rsidR="00074475" w14:paraId="75173529" w14:textId="77777777" w:rsidTr="00213E8B">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88"/>
              <w:gridCol w:w="3118"/>
              <w:gridCol w:w="1560"/>
              <w:gridCol w:w="1421"/>
            </w:tblGrid>
            <w:tr w:rsidR="00074475" w14:paraId="3C156F31" w14:textId="77777777" w:rsidTr="00E10CE0">
              <w:trPr>
                <w:tblHeader/>
              </w:trPr>
              <w:tc>
                <w:tcPr>
                  <w:tcW w:w="1407" w:type="pct"/>
                  <w:tcBorders>
                    <w:top w:val="single" w:sz="6" w:space="0" w:color="BFBFBF"/>
                  </w:tcBorders>
                  <w:shd w:val="clear" w:color="auto" w:fill="auto"/>
                  <w:tcMar>
                    <w:top w:w="28" w:type="dxa"/>
                  </w:tcMar>
                </w:tcPr>
                <w:p w14:paraId="7DD60D61" w14:textId="77777777" w:rsidR="00074475" w:rsidRDefault="00074475" w:rsidP="00213E8B">
                  <w:pPr>
                    <w:pStyle w:val="TableColumnHeading"/>
                    <w:jc w:val="left"/>
                  </w:pPr>
                  <w:r>
                    <w:t>System</w:t>
                  </w:r>
                </w:p>
              </w:tc>
              <w:tc>
                <w:tcPr>
                  <w:tcW w:w="1837" w:type="pct"/>
                  <w:tcBorders>
                    <w:top w:val="single" w:sz="6" w:space="0" w:color="BFBFBF"/>
                  </w:tcBorders>
                </w:tcPr>
                <w:p w14:paraId="17CC4A63" w14:textId="77777777" w:rsidR="00074475" w:rsidRDefault="00074475" w:rsidP="00213E8B">
                  <w:pPr>
                    <w:pStyle w:val="TableColumnHeading"/>
                    <w:jc w:val="left"/>
                  </w:pPr>
                  <w:r>
                    <w:t>Key features</w:t>
                  </w:r>
                </w:p>
              </w:tc>
              <w:tc>
                <w:tcPr>
                  <w:tcW w:w="919" w:type="pct"/>
                  <w:tcBorders>
                    <w:top w:val="single" w:sz="6" w:space="0" w:color="BFBFBF"/>
                  </w:tcBorders>
                  <w:shd w:val="clear" w:color="auto" w:fill="auto"/>
                  <w:tcMar>
                    <w:top w:w="28" w:type="dxa"/>
                  </w:tcMar>
                </w:tcPr>
                <w:p w14:paraId="134E6D18" w14:textId="77777777" w:rsidR="00074475" w:rsidRDefault="00074475" w:rsidP="00213E8B">
                  <w:pPr>
                    <w:pStyle w:val="TableColumnHeading"/>
                    <w:jc w:val="left"/>
                  </w:pPr>
                  <w:r>
                    <w:t>Percentage of trade agreements</w:t>
                  </w:r>
                  <w:r w:rsidRPr="008E77FE">
                    <w:rPr>
                      <w:rStyle w:val="NoteLabel"/>
                    </w:rPr>
                    <w:t>a</w:t>
                  </w:r>
                </w:p>
              </w:tc>
              <w:tc>
                <w:tcPr>
                  <w:tcW w:w="837" w:type="pct"/>
                  <w:tcBorders>
                    <w:top w:val="single" w:sz="6" w:space="0" w:color="BFBFBF"/>
                  </w:tcBorders>
                  <w:shd w:val="clear" w:color="auto" w:fill="auto"/>
                  <w:tcMar>
                    <w:top w:w="28" w:type="dxa"/>
                  </w:tcMar>
                </w:tcPr>
                <w:p w14:paraId="42BBDCE1" w14:textId="77777777" w:rsidR="00074475" w:rsidRDefault="00074475" w:rsidP="00213E8B">
                  <w:pPr>
                    <w:pStyle w:val="TableColumnHeading"/>
                    <w:ind w:right="28"/>
                  </w:pPr>
                  <w:r>
                    <w:t xml:space="preserve">Typical adoptees </w:t>
                  </w:r>
                </w:p>
              </w:tc>
            </w:tr>
            <w:tr w:rsidR="00074475" w14:paraId="675FB8FB" w14:textId="77777777" w:rsidTr="00E10CE0">
              <w:tc>
                <w:tcPr>
                  <w:tcW w:w="1407" w:type="pct"/>
                </w:tcPr>
                <w:p w14:paraId="1D578145" w14:textId="1659449F" w:rsidR="00074475" w:rsidRDefault="00074475" w:rsidP="00213E8B">
                  <w:pPr>
                    <w:pStyle w:val="TableUnitsRow"/>
                    <w:numPr>
                      <w:ilvl w:val="0"/>
                      <w:numId w:val="23"/>
                    </w:numPr>
                    <w:jc w:val="left"/>
                  </w:pPr>
                  <w:r>
                    <w:t>Authority issued certification, including e</w:t>
                  </w:r>
                  <w:r w:rsidR="00FE23A3">
                    <w:noBreakHyphen/>
                  </w:r>
                  <w:r>
                    <w:t>certificates</w:t>
                  </w:r>
                </w:p>
              </w:tc>
              <w:tc>
                <w:tcPr>
                  <w:tcW w:w="1837" w:type="pct"/>
                </w:tcPr>
                <w:p w14:paraId="4106FF12" w14:textId="77777777" w:rsidR="00074475" w:rsidRDefault="00074475" w:rsidP="00213E8B">
                  <w:pPr>
                    <w:pStyle w:val="TableUnitsRow"/>
                    <w:jc w:val="left"/>
                  </w:pPr>
                  <w:r>
                    <w:t>Government authorities or delegated bodies issue the certificate of origin in a prescribed format</w:t>
                  </w:r>
                </w:p>
              </w:tc>
              <w:tc>
                <w:tcPr>
                  <w:tcW w:w="919" w:type="pct"/>
                </w:tcPr>
                <w:p w14:paraId="4474288F" w14:textId="77777777" w:rsidR="00074475" w:rsidRDefault="00074475" w:rsidP="00213E8B">
                  <w:pPr>
                    <w:pStyle w:val="TableUnitsRow"/>
                    <w:jc w:val="left"/>
                  </w:pPr>
                  <w:r>
                    <w:t>32.9</w:t>
                  </w:r>
                </w:p>
              </w:tc>
              <w:tc>
                <w:tcPr>
                  <w:tcW w:w="837" w:type="pct"/>
                </w:tcPr>
                <w:p w14:paraId="3744D9AE" w14:textId="3A7143E3" w:rsidR="00074475" w:rsidRDefault="00074475" w:rsidP="00213E8B">
                  <w:pPr>
                    <w:pStyle w:val="TableUnitsRow"/>
                    <w:ind w:right="28"/>
                  </w:pPr>
                  <w:r>
                    <w:t>Intra</w:t>
                  </w:r>
                  <w:r w:rsidR="00FE23A3">
                    <w:noBreakHyphen/>
                  </w:r>
                  <w:r>
                    <w:t>African and intra</w:t>
                  </w:r>
                  <w:r w:rsidR="00FE23A3">
                    <w:noBreakHyphen/>
                  </w:r>
                  <w:r>
                    <w:t>Asian</w:t>
                  </w:r>
                </w:p>
              </w:tc>
            </w:tr>
            <w:tr w:rsidR="00074475" w14:paraId="5D04875C" w14:textId="77777777" w:rsidTr="00E10CE0">
              <w:tc>
                <w:tcPr>
                  <w:tcW w:w="1407" w:type="pct"/>
                </w:tcPr>
                <w:p w14:paraId="5E486E0B" w14:textId="77777777" w:rsidR="00074475" w:rsidRDefault="00074475" w:rsidP="00213E8B">
                  <w:pPr>
                    <w:pStyle w:val="TableUnitsRow"/>
                    <w:numPr>
                      <w:ilvl w:val="0"/>
                      <w:numId w:val="23"/>
                    </w:numPr>
                    <w:jc w:val="left"/>
                  </w:pPr>
                  <w:r>
                    <w:t>Approved Exporter system</w:t>
                  </w:r>
                </w:p>
              </w:tc>
              <w:tc>
                <w:tcPr>
                  <w:tcW w:w="1837" w:type="pct"/>
                </w:tcPr>
                <w:p w14:paraId="1BB27550" w14:textId="77777777" w:rsidR="00074475" w:rsidRDefault="00074475" w:rsidP="00213E8B">
                  <w:pPr>
                    <w:pStyle w:val="TableUnitsRow"/>
                    <w:jc w:val="left"/>
                  </w:pPr>
                  <w:r>
                    <w:t>Exporters with prior approval may make origin declaration on commercial documents</w:t>
                  </w:r>
                </w:p>
              </w:tc>
              <w:tc>
                <w:tcPr>
                  <w:tcW w:w="919" w:type="pct"/>
                </w:tcPr>
                <w:p w14:paraId="284B4552" w14:textId="77777777" w:rsidR="00074475" w:rsidRDefault="00074475" w:rsidP="00213E8B">
                  <w:pPr>
                    <w:pStyle w:val="TableUnitsRow"/>
                    <w:jc w:val="left"/>
                  </w:pPr>
                  <w:r>
                    <w:t>36.9</w:t>
                  </w:r>
                </w:p>
              </w:tc>
              <w:tc>
                <w:tcPr>
                  <w:tcW w:w="837" w:type="pct"/>
                </w:tcPr>
                <w:p w14:paraId="6AAF2AA9" w14:textId="77777777" w:rsidR="00074475" w:rsidRDefault="00074475" w:rsidP="00213E8B">
                  <w:pPr>
                    <w:pStyle w:val="TableUnitsRow"/>
                    <w:ind w:right="28"/>
                  </w:pPr>
                  <w:r>
                    <w:t xml:space="preserve">European     </w:t>
                  </w:r>
                </w:p>
              </w:tc>
            </w:tr>
            <w:tr w:rsidR="00074475" w14:paraId="238F3E6E" w14:textId="77777777" w:rsidTr="00E10CE0">
              <w:tc>
                <w:tcPr>
                  <w:tcW w:w="1407" w:type="pct"/>
                </w:tcPr>
                <w:p w14:paraId="11C9B8D4" w14:textId="142E0266" w:rsidR="00074475" w:rsidRDefault="00074475" w:rsidP="00213E8B">
                  <w:pPr>
                    <w:pStyle w:val="TableUnitsRow"/>
                    <w:numPr>
                      <w:ilvl w:val="0"/>
                      <w:numId w:val="23"/>
                    </w:numPr>
                    <w:jc w:val="left"/>
                  </w:pPr>
                  <w:r>
                    <w:t>Fully exporter</w:t>
                  </w:r>
                  <w:r w:rsidR="00FE23A3">
                    <w:noBreakHyphen/>
                  </w:r>
                  <w:r>
                    <w:t>based system</w:t>
                  </w:r>
                </w:p>
              </w:tc>
              <w:tc>
                <w:tcPr>
                  <w:tcW w:w="1837" w:type="pct"/>
                </w:tcPr>
                <w:p w14:paraId="02C45FC8" w14:textId="77777777" w:rsidR="00074475" w:rsidRDefault="00074475" w:rsidP="00213E8B">
                  <w:pPr>
                    <w:pStyle w:val="TableUnitsRow"/>
                    <w:jc w:val="left"/>
                  </w:pPr>
                  <w:r>
                    <w:t>Any exporter can sign and issue a certificate of origin of a prescribed form</w:t>
                  </w:r>
                </w:p>
              </w:tc>
              <w:tc>
                <w:tcPr>
                  <w:tcW w:w="919" w:type="pct"/>
                </w:tcPr>
                <w:p w14:paraId="429B2910" w14:textId="77777777" w:rsidR="00074475" w:rsidRDefault="00074475" w:rsidP="00213E8B">
                  <w:pPr>
                    <w:pStyle w:val="TableUnitsRow"/>
                    <w:jc w:val="left"/>
                  </w:pPr>
                  <w:r>
                    <w:t>22.1</w:t>
                  </w:r>
                </w:p>
              </w:tc>
              <w:tc>
                <w:tcPr>
                  <w:tcW w:w="837" w:type="pct"/>
                </w:tcPr>
                <w:p w14:paraId="55832780" w14:textId="77777777" w:rsidR="00074475" w:rsidRDefault="00074475" w:rsidP="00213E8B">
                  <w:pPr>
                    <w:pStyle w:val="TableUnitsRow"/>
                    <w:ind w:right="28"/>
                  </w:pPr>
                  <w:r>
                    <w:t>Americas</w:t>
                  </w:r>
                </w:p>
              </w:tc>
            </w:tr>
            <w:tr w:rsidR="00074475" w14:paraId="49E30EB3" w14:textId="77777777" w:rsidTr="00E10CE0">
              <w:tc>
                <w:tcPr>
                  <w:tcW w:w="1407" w:type="pct"/>
                  <w:tcBorders>
                    <w:bottom w:val="single" w:sz="6" w:space="0" w:color="BFBFBF"/>
                  </w:tcBorders>
                </w:tcPr>
                <w:p w14:paraId="495ACF23" w14:textId="3310A417" w:rsidR="00074475" w:rsidRDefault="00074475" w:rsidP="00213E8B">
                  <w:pPr>
                    <w:pStyle w:val="TableBodyText"/>
                    <w:numPr>
                      <w:ilvl w:val="0"/>
                      <w:numId w:val="23"/>
                    </w:numPr>
                    <w:jc w:val="left"/>
                  </w:pPr>
                  <w:r>
                    <w:t>Importer</w:t>
                  </w:r>
                  <w:r w:rsidR="00FE23A3">
                    <w:noBreakHyphen/>
                  </w:r>
                  <w:r>
                    <w:t>based certification</w:t>
                  </w:r>
                </w:p>
              </w:tc>
              <w:tc>
                <w:tcPr>
                  <w:tcW w:w="1837" w:type="pct"/>
                  <w:tcBorders>
                    <w:bottom w:val="single" w:sz="6" w:space="0" w:color="BFBFBF"/>
                  </w:tcBorders>
                </w:tcPr>
                <w:p w14:paraId="3BC94F00" w14:textId="77777777" w:rsidR="00074475" w:rsidRDefault="00074475" w:rsidP="00213E8B">
                  <w:pPr>
                    <w:pStyle w:val="TableBodyText"/>
                    <w:jc w:val="left"/>
                  </w:pPr>
                  <w:r>
                    <w:t>Importers certify the origin of goods</w:t>
                  </w:r>
                </w:p>
              </w:tc>
              <w:tc>
                <w:tcPr>
                  <w:tcW w:w="919" w:type="pct"/>
                  <w:tcBorders>
                    <w:bottom w:val="single" w:sz="6" w:space="0" w:color="BFBFBF"/>
                  </w:tcBorders>
                </w:tcPr>
                <w:p w14:paraId="34E8924F" w14:textId="77777777" w:rsidR="00074475" w:rsidRDefault="00074475" w:rsidP="00213E8B">
                  <w:pPr>
                    <w:pStyle w:val="TableBodyText"/>
                    <w:jc w:val="left"/>
                  </w:pPr>
                  <w:r>
                    <w:t>8.1</w:t>
                  </w:r>
                </w:p>
              </w:tc>
              <w:tc>
                <w:tcPr>
                  <w:tcW w:w="837" w:type="pct"/>
                  <w:tcBorders>
                    <w:bottom w:val="single" w:sz="6" w:space="0" w:color="BFBFBF"/>
                  </w:tcBorders>
                </w:tcPr>
                <w:p w14:paraId="5941BC56" w14:textId="77777777" w:rsidR="00074475" w:rsidRDefault="00074475" w:rsidP="00213E8B">
                  <w:pPr>
                    <w:pStyle w:val="TableBodyText"/>
                    <w:ind w:right="28"/>
                  </w:pPr>
                </w:p>
              </w:tc>
            </w:tr>
          </w:tbl>
          <w:p w14:paraId="26B7D29A" w14:textId="77777777" w:rsidR="00074475" w:rsidRDefault="00074475" w:rsidP="00213E8B">
            <w:pPr>
              <w:pStyle w:val="Box"/>
            </w:pPr>
          </w:p>
        </w:tc>
      </w:tr>
      <w:tr w:rsidR="00074475" w14:paraId="61954497" w14:textId="77777777" w:rsidTr="00213E8B">
        <w:tc>
          <w:tcPr>
            <w:tcW w:w="8771" w:type="dxa"/>
            <w:tcBorders>
              <w:top w:val="nil"/>
              <w:left w:val="nil"/>
              <w:bottom w:val="nil"/>
              <w:right w:val="nil"/>
            </w:tcBorders>
            <w:shd w:val="clear" w:color="auto" w:fill="auto"/>
          </w:tcPr>
          <w:p w14:paraId="165F5038" w14:textId="77777777" w:rsidR="00074475" w:rsidRDefault="00074475" w:rsidP="00213E8B">
            <w:pPr>
              <w:pStyle w:val="Note"/>
              <w:rPr>
                <w:i/>
              </w:rPr>
            </w:pPr>
            <w:r w:rsidRPr="008E77FE">
              <w:rPr>
                <w:rStyle w:val="NoteLabel"/>
              </w:rPr>
              <w:t>a</w:t>
            </w:r>
            <w:r>
              <w:t xml:space="preserve"> 149 trade agreements entered into force 1994 to 2013.</w:t>
            </w:r>
          </w:p>
        </w:tc>
      </w:tr>
      <w:tr w:rsidR="00074475" w14:paraId="4BA3B0C5" w14:textId="77777777" w:rsidTr="00213E8B">
        <w:tc>
          <w:tcPr>
            <w:tcW w:w="8771" w:type="dxa"/>
            <w:tcBorders>
              <w:top w:val="nil"/>
              <w:left w:val="nil"/>
              <w:bottom w:val="nil"/>
              <w:right w:val="nil"/>
            </w:tcBorders>
            <w:shd w:val="clear" w:color="auto" w:fill="auto"/>
          </w:tcPr>
          <w:p w14:paraId="3675434D" w14:textId="525370AD" w:rsidR="00074475" w:rsidRDefault="00074475" w:rsidP="00FE23A3">
            <w:pPr>
              <w:pStyle w:val="Source"/>
            </w:pPr>
            <w:r>
              <w:rPr>
                <w:i/>
              </w:rPr>
              <w:t>Source</w:t>
            </w:r>
            <w:r w:rsidRPr="00167F06">
              <w:t xml:space="preserve">: </w:t>
            </w:r>
            <w:proofErr w:type="spellStart"/>
            <w:r w:rsidR="00201115">
              <w:t>Azzam</w:t>
            </w:r>
            <w:proofErr w:type="spellEnd"/>
            <w:r w:rsidR="00201115">
              <w:t xml:space="preserve"> </w:t>
            </w:r>
            <w:r>
              <w:t>201</w:t>
            </w:r>
            <w:r w:rsidR="00FE23A3">
              <w:t>.</w:t>
            </w:r>
          </w:p>
        </w:tc>
      </w:tr>
      <w:tr w:rsidR="00074475" w14:paraId="52A25CD6" w14:textId="77777777" w:rsidTr="00213E8B">
        <w:tc>
          <w:tcPr>
            <w:tcW w:w="8771" w:type="dxa"/>
            <w:tcBorders>
              <w:top w:val="nil"/>
              <w:left w:val="nil"/>
              <w:bottom w:val="single" w:sz="6" w:space="0" w:color="78A22F"/>
              <w:right w:val="nil"/>
            </w:tcBorders>
            <w:shd w:val="clear" w:color="auto" w:fill="auto"/>
          </w:tcPr>
          <w:p w14:paraId="61C16090" w14:textId="77777777" w:rsidR="00074475" w:rsidRDefault="00074475" w:rsidP="00213E8B">
            <w:pPr>
              <w:pStyle w:val="Box"/>
              <w:spacing w:before="0" w:line="120" w:lineRule="exact"/>
            </w:pPr>
          </w:p>
        </w:tc>
      </w:tr>
      <w:tr w:rsidR="00074475" w:rsidRPr="000863A5" w14:paraId="0AF8C712" w14:textId="77777777" w:rsidTr="00213E8B">
        <w:tc>
          <w:tcPr>
            <w:tcW w:w="8771" w:type="dxa"/>
            <w:tcBorders>
              <w:top w:val="single" w:sz="6" w:space="0" w:color="78A22F"/>
              <w:left w:val="nil"/>
              <w:bottom w:val="nil"/>
              <w:right w:val="nil"/>
            </w:tcBorders>
          </w:tcPr>
          <w:p w14:paraId="39D0667E" w14:textId="0F77DDAA" w:rsidR="00074475" w:rsidRPr="00626D32" w:rsidRDefault="00074475" w:rsidP="00213E8B">
            <w:pPr>
              <w:pStyle w:val="BoxSpaceBelow"/>
            </w:pPr>
          </w:p>
        </w:tc>
      </w:tr>
    </w:tbl>
    <w:p w14:paraId="04F9A21C" w14:textId="77777777" w:rsidR="00074475" w:rsidRDefault="00074475" w:rsidP="00003AA9">
      <w:pPr>
        <w:pStyle w:val="Heading4"/>
        <w:spacing w:before="360"/>
      </w:pPr>
      <w:r>
        <w:t>Proof of origin under Australia’s trade agreements</w:t>
      </w:r>
    </w:p>
    <w:p w14:paraId="77CCB1DC" w14:textId="6465E396" w:rsidR="00074475" w:rsidRDefault="00074475" w:rsidP="00074475">
      <w:pPr>
        <w:pStyle w:val="BodyText"/>
      </w:pPr>
      <w:r>
        <w:t>The proof</w:t>
      </w:r>
      <w:r w:rsidR="00FE23A3">
        <w:noBreakHyphen/>
      </w:r>
      <w:r>
        <w:t>of</w:t>
      </w:r>
      <w:r w:rsidR="00FE23A3">
        <w:noBreakHyphen/>
      </w:r>
      <w:r>
        <w:t>origin model differs between Australia’s trade agreements (table</w:t>
      </w:r>
      <w:r w:rsidR="008D37FA">
        <w:t> </w:t>
      </w:r>
      <w:r w:rsidR="00B1038B">
        <w:t>6</w:t>
      </w:r>
      <w:r>
        <w:t>). For example:</w:t>
      </w:r>
    </w:p>
    <w:p w14:paraId="02D02CC7" w14:textId="77777777" w:rsidR="00074475" w:rsidRDefault="00074475" w:rsidP="005C021A">
      <w:pPr>
        <w:pStyle w:val="ListBullet"/>
        <w:spacing w:before="100"/>
      </w:pPr>
      <w:r>
        <w:t xml:space="preserve">No proof is required for preferential trade with either NZ or the USA at the time the goods are imported or enter commerce, but </w:t>
      </w:r>
      <w:r w:rsidRPr="004308C3">
        <w:rPr>
          <w:i/>
        </w:rPr>
        <w:t>may</w:t>
      </w:r>
      <w:r>
        <w:t xml:space="preserve"> be asked for later.</w:t>
      </w:r>
    </w:p>
    <w:p w14:paraId="0752787B" w14:textId="4AE98D59" w:rsidR="00074475" w:rsidRDefault="00B0417B" w:rsidP="005C021A">
      <w:pPr>
        <w:pStyle w:val="ListBullet"/>
        <w:spacing w:before="100"/>
      </w:pPr>
      <w:r>
        <w:t>The agreements with Thailand, ASEAN and New Zealand,</w:t>
      </w:r>
      <w:r w:rsidR="00074475">
        <w:t xml:space="preserve"> and China require that an exporter (in either trade direction) apply for a standardised Certificate of Origin issued by an authorised party.</w:t>
      </w:r>
    </w:p>
    <w:p w14:paraId="01E4C448" w14:textId="6D8E2E1A" w:rsidR="00074475" w:rsidRDefault="00074475" w:rsidP="005C021A">
      <w:pPr>
        <w:pStyle w:val="ListBullet"/>
        <w:spacing w:before="100"/>
      </w:pPr>
      <w:r>
        <w:t>Australia’s other agreements require proof</w:t>
      </w:r>
      <w:r w:rsidR="00FE23A3">
        <w:noBreakHyphen/>
      </w:r>
      <w:r>
        <w:t>of</w:t>
      </w:r>
      <w:r w:rsidR="00FE23A3">
        <w:noBreakHyphen/>
      </w:r>
      <w:r>
        <w:t xml:space="preserve">origin at the time of trade (or soon after), </w:t>
      </w:r>
      <w:r w:rsidR="006F594A">
        <w:t>generally with</w:t>
      </w:r>
      <w:r w:rsidR="000B36F8">
        <w:t xml:space="preserve"> </w:t>
      </w:r>
      <w:r>
        <w:t>a choice between an authorised Certificate of Origin (obtained by the exporter) and other forms of declaration of origin, variously by the exporter, producer or importer (box</w:t>
      </w:r>
      <w:r w:rsidR="008D37FA">
        <w:t> 7</w:t>
      </w:r>
      <w:r>
        <w:t>).</w:t>
      </w:r>
    </w:p>
    <w:p w14:paraId="183DFE4B" w14:textId="04A20882" w:rsidR="00C45083" w:rsidRDefault="00C45083" w:rsidP="00C45083">
      <w:pPr>
        <w:pStyle w:val="BodyText"/>
      </w:pPr>
      <w:r>
        <w:t>There are other non</w:t>
      </w:r>
      <w:r w:rsidR="00FE23A3">
        <w:noBreakHyphen/>
      </w:r>
      <w:r>
        <w:t>trivial compliance cost differences across proof of origin arrangements. There are differences in terms of: how long the Certificate is valid, and how many shipments it covers; the minimum threshold shipment value requiring proof; the scope for, and validity of, Advance Rulings; the language of documentation; scope for electronic paperwork; ex</w:t>
      </w:r>
      <w:r w:rsidR="00FE23A3">
        <w:noBreakHyphen/>
      </w:r>
      <w:r>
        <w:t>post origin verification visits (notification, time frames and information questionnaires); the scope to apply for refunds of tariffs if documentation is provided after general tariffs were paid; and how long records need be kept.</w:t>
      </w:r>
    </w:p>
    <w:p w14:paraId="0C05EFA0" w14:textId="047F8CDE" w:rsidR="00074475" w:rsidRDefault="00074475" w:rsidP="00B23DD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074475" w14:paraId="0AF5D47E" w14:textId="77777777" w:rsidTr="00073150">
        <w:tc>
          <w:tcPr>
            <w:tcW w:w="8771" w:type="dxa"/>
            <w:tcBorders>
              <w:top w:val="single" w:sz="6" w:space="0" w:color="78A22F"/>
              <w:left w:val="nil"/>
              <w:bottom w:val="nil"/>
              <w:right w:val="nil"/>
            </w:tcBorders>
            <w:shd w:val="clear" w:color="auto" w:fill="auto"/>
          </w:tcPr>
          <w:p w14:paraId="5AC677FC" w14:textId="19824B5B" w:rsidR="00074475" w:rsidRPr="00784A05" w:rsidRDefault="00F33EF1" w:rsidP="00CC2521">
            <w:pPr>
              <w:pStyle w:val="TableTitle"/>
            </w:pPr>
            <w:r>
              <w:rPr>
                <w:b w:val="0"/>
              </w:rPr>
              <w:t xml:space="preserve">Table </w:t>
            </w:r>
            <w:r w:rsidR="00B1038B">
              <w:rPr>
                <w:b w:val="0"/>
              </w:rPr>
              <w:t>6</w:t>
            </w:r>
            <w:r w:rsidR="00074475">
              <w:tab/>
            </w:r>
            <w:r w:rsidR="00CC2521">
              <w:t>Proof</w:t>
            </w:r>
            <w:r w:rsidR="00074475">
              <w:t xml:space="preserve"> of origin requirements under Australia’s trade agreements</w:t>
            </w:r>
          </w:p>
        </w:tc>
      </w:tr>
      <w:tr w:rsidR="00E43798" w14:paraId="27626F19" w14:textId="77777777" w:rsidTr="00073150">
        <w:tc>
          <w:tcPr>
            <w:tcW w:w="8771" w:type="dxa"/>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1701"/>
              <w:gridCol w:w="5081"/>
              <w:gridCol w:w="1666"/>
            </w:tblGrid>
            <w:tr w:rsidR="00E43798" w14:paraId="2A4E0D56" w14:textId="77777777" w:rsidTr="00C45083">
              <w:trPr>
                <w:tblHeader/>
              </w:trPr>
              <w:tc>
                <w:tcPr>
                  <w:tcW w:w="1701" w:type="dxa"/>
                  <w:tcBorders>
                    <w:top w:val="single" w:sz="6" w:space="0" w:color="BFBFBF"/>
                    <w:bottom w:val="single" w:sz="6" w:space="0" w:color="BFBFBF"/>
                  </w:tcBorders>
                  <w:shd w:val="clear" w:color="auto" w:fill="auto"/>
                  <w:tcMar>
                    <w:top w:w="28" w:type="dxa"/>
                  </w:tcMar>
                </w:tcPr>
                <w:p w14:paraId="13E5A65D" w14:textId="77777777" w:rsidR="00E43798" w:rsidRDefault="00E43798" w:rsidP="00E43798">
                  <w:pPr>
                    <w:pStyle w:val="TableColumnHeading"/>
                    <w:jc w:val="left"/>
                  </w:pPr>
                  <w:r>
                    <w:t>Agreement (commencement)</w:t>
                  </w:r>
                </w:p>
              </w:tc>
              <w:tc>
                <w:tcPr>
                  <w:tcW w:w="5081" w:type="dxa"/>
                  <w:tcBorders>
                    <w:top w:val="single" w:sz="6" w:space="0" w:color="BFBFBF"/>
                    <w:bottom w:val="single" w:sz="6" w:space="0" w:color="BFBFBF"/>
                  </w:tcBorders>
                  <w:shd w:val="clear" w:color="auto" w:fill="auto"/>
                  <w:tcMar>
                    <w:top w:w="28" w:type="dxa"/>
                  </w:tcMar>
                </w:tcPr>
                <w:p w14:paraId="6C2C074A" w14:textId="5777871D" w:rsidR="00E43798" w:rsidRDefault="00C45083" w:rsidP="00E43798">
                  <w:pPr>
                    <w:pStyle w:val="TableColumnHeading"/>
                    <w:jc w:val="left"/>
                  </w:pPr>
                  <w:r>
                    <w:br/>
                  </w:r>
                  <w:r w:rsidR="00E43798">
                    <w:t xml:space="preserve">Imports to Australia and exports from Australia </w:t>
                  </w:r>
                </w:p>
              </w:tc>
              <w:tc>
                <w:tcPr>
                  <w:tcW w:w="1666" w:type="dxa"/>
                  <w:tcBorders>
                    <w:top w:val="single" w:sz="6" w:space="0" w:color="BFBFBF"/>
                    <w:bottom w:val="single" w:sz="6" w:space="0" w:color="BFBFBF"/>
                  </w:tcBorders>
                  <w:shd w:val="clear" w:color="auto" w:fill="auto"/>
                  <w:tcMar>
                    <w:top w:w="28" w:type="dxa"/>
                  </w:tcMar>
                </w:tcPr>
                <w:p w14:paraId="702082FD" w14:textId="77777777" w:rsidR="00E43798" w:rsidRDefault="00E43798" w:rsidP="00E43798">
                  <w:pPr>
                    <w:pStyle w:val="TableColumnHeading"/>
                    <w:ind w:right="28"/>
                  </w:pPr>
                  <w:r>
                    <w:t xml:space="preserve">Accredited issuer of Certificate of Origin </w:t>
                  </w:r>
                </w:p>
              </w:tc>
            </w:tr>
            <w:tr w:rsidR="00A85DD5" w:rsidRPr="00BB5DA2" w14:paraId="09140568" w14:textId="77777777" w:rsidTr="00A85DD5">
              <w:tc>
                <w:tcPr>
                  <w:tcW w:w="6782" w:type="dxa"/>
                  <w:gridSpan w:val="2"/>
                  <w:tcBorders>
                    <w:top w:val="single" w:sz="6" w:space="0" w:color="BFBFBF"/>
                  </w:tcBorders>
                </w:tcPr>
                <w:p w14:paraId="4CE071C1" w14:textId="3DF26DE8" w:rsidR="00A85DD5" w:rsidRPr="00A85DD5" w:rsidRDefault="00A85DD5" w:rsidP="00A85DD5">
                  <w:pPr>
                    <w:pStyle w:val="TableUnitsRow"/>
                    <w:jc w:val="left"/>
                    <w:rPr>
                      <w:b/>
                    </w:rPr>
                  </w:pPr>
                  <w:r w:rsidRPr="00A85DD5">
                    <w:rPr>
                      <w:b/>
                    </w:rPr>
                    <w:t>Preferential agreements</w:t>
                  </w:r>
                </w:p>
              </w:tc>
              <w:tc>
                <w:tcPr>
                  <w:tcW w:w="1666" w:type="dxa"/>
                  <w:tcBorders>
                    <w:top w:val="single" w:sz="6" w:space="0" w:color="BFBFBF"/>
                  </w:tcBorders>
                </w:tcPr>
                <w:p w14:paraId="5978C46A" w14:textId="77777777" w:rsidR="00A85DD5" w:rsidRPr="00BB5DA2" w:rsidRDefault="00A85DD5" w:rsidP="00E43798"/>
              </w:tc>
            </w:tr>
            <w:tr w:rsidR="00E43798" w14:paraId="657BBD0B" w14:textId="77777777" w:rsidTr="007C3379">
              <w:tc>
                <w:tcPr>
                  <w:tcW w:w="1701" w:type="dxa"/>
                  <w:shd w:val="clear" w:color="auto" w:fill="F2F2F2" w:themeFill="accent4"/>
                </w:tcPr>
                <w:p w14:paraId="602013A9" w14:textId="79BB32D1" w:rsidR="00E43798" w:rsidRDefault="00E43798" w:rsidP="00C45083">
                  <w:pPr>
                    <w:pStyle w:val="TableBodyText"/>
                    <w:spacing w:before="60"/>
                    <w:jc w:val="left"/>
                  </w:pPr>
                  <w:r>
                    <w:t>Australia</w:t>
                  </w:r>
                  <w:r w:rsidR="00FE23A3">
                    <w:noBreakHyphen/>
                  </w:r>
                  <w:r>
                    <w:t>New Zealand (1983)</w:t>
                  </w:r>
                </w:p>
              </w:tc>
              <w:tc>
                <w:tcPr>
                  <w:tcW w:w="5081" w:type="dxa"/>
                  <w:shd w:val="clear" w:color="auto" w:fill="F2F2F2" w:themeFill="accent4"/>
                </w:tcPr>
                <w:p w14:paraId="499F3307" w14:textId="216D3012" w:rsidR="00E43798" w:rsidRDefault="00E43798" w:rsidP="00C45083">
                  <w:pPr>
                    <w:pStyle w:val="TableBodyText"/>
                    <w:spacing w:before="60"/>
                    <w:jc w:val="left"/>
                  </w:pPr>
                  <w:r>
                    <w:t>No Certificate. Importer claim for preferential treatment based on a declaration by exporter (if requested) in non</w:t>
                  </w:r>
                  <w:r w:rsidR="00FE23A3">
                    <w:noBreakHyphen/>
                  </w:r>
                  <w:r>
                    <w:t>prescribed format</w:t>
                  </w:r>
                  <w:r w:rsidR="001F068E">
                    <w:t>.</w:t>
                  </w:r>
                </w:p>
              </w:tc>
              <w:tc>
                <w:tcPr>
                  <w:tcW w:w="1666" w:type="dxa"/>
                  <w:shd w:val="clear" w:color="auto" w:fill="F2F2F2" w:themeFill="accent4"/>
                </w:tcPr>
                <w:p w14:paraId="7B757E50" w14:textId="77777777" w:rsidR="00E43798" w:rsidRDefault="00E43798" w:rsidP="00C45083">
                  <w:pPr>
                    <w:pStyle w:val="TableBodyText"/>
                    <w:spacing w:before="60"/>
                    <w:ind w:right="28"/>
                  </w:pPr>
                </w:p>
              </w:tc>
            </w:tr>
            <w:tr w:rsidR="00E43798" w14:paraId="662770F8" w14:textId="77777777" w:rsidTr="00C45083">
              <w:tc>
                <w:tcPr>
                  <w:tcW w:w="1701" w:type="dxa"/>
                </w:tcPr>
                <w:p w14:paraId="5710441C" w14:textId="64198771" w:rsidR="00E43798" w:rsidRDefault="00E43798" w:rsidP="00C45083">
                  <w:pPr>
                    <w:pStyle w:val="TableBodyText"/>
                    <w:spacing w:before="60"/>
                    <w:jc w:val="left"/>
                  </w:pPr>
                  <w:r>
                    <w:t>Australia</w:t>
                  </w:r>
                  <w:r w:rsidR="00FE23A3">
                    <w:noBreakHyphen/>
                  </w:r>
                  <w:r>
                    <w:t>Singapore (2003)</w:t>
                  </w:r>
                </w:p>
              </w:tc>
              <w:tc>
                <w:tcPr>
                  <w:tcW w:w="5081" w:type="dxa"/>
                </w:tcPr>
                <w:p w14:paraId="2611BC57" w14:textId="670C02A4" w:rsidR="00E43798" w:rsidRDefault="00E43798" w:rsidP="00C45083">
                  <w:pPr>
                    <w:pStyle w:val="TableBodyText"/>
                    <w:spacing w:before="60"/>
                    <w:jc w:val="left"/>
                  </w:pPr>
                  <w:r>
                    <w:t>Importer must possess a Declaration made by the exporter. The exporter Declaration must be based on a valid Certificate or Origin issued by an authorised third party. If the exporter is not the producer the exporter must provide the producer with the Certificate and the producer must provide the exporter written confirmation that the good are originating goods in accordance with the furnished Certificate.</w:t>
                  </w:r>
                  <w:r w:rsidR="00CC2521">
                    <w:t xml:space="preserve"> In 2016 it was agreed the proof</w:t>
                  </w:r>
                  <w:r w:rsidR="00FE23A3">
                    <w:noBreakHyphen/>
                  </w:r>
                  <w:r w:rsidR="00CC2521">
                    <w:t>of</w:t>
                  </w:r>
                  <w:r w:rsidR="00FE23A3">
                    <w:noBreakHyphen/>
                  </w:r>
                  <w:r w:rsidR="00CC2521">
                    <w:t>origin provisions will change to self</w:t>
                  </w:r>
                  <w:r w:rsidR="00FE23A3">
                    <w:noBreakHyphen/>
                  </w:r>
                  <w:r w:rsidR="00CC2521">
                    <w:t>certification by the importer, exporter or producer</w:t>
                  </w:r>
                  <w:r w:rsidR="00FE5D4E">
                    <w:t>.</w:t>
                  </w:r>
                </w:p>
              </w:tc>
              <w:tc>
                <w:tcPr>
                  <w:tcW w:w="1666" w:type="dxa"/>
                </w:tcPr>
                <w:p w14:paraId="11732B1A" w14:textId="77777777" w:rsidR="00E43798" w:rsidRDefault="00E43798" w:rsidP="00C45083">
                  <w:pPr>
                    <w:pStyle w:val="TableBodyText"/>
                    <w:spacing w:before="60"/>
                    <w:ind w:right="28"/>
                  </w:pPr>
                  <w:r>
                    <w:t>Mandatory Certificate</w:t>
                  </w:r>
                </w:p>
                <w:p w14:paraId="0A494197" w14:textId="77777777" w:rsidR="00E43798" w:rsidRDefault="00E43798" w:rsidP="00C45083">
                  <w:pPr>
                    <w:pStyle w:val="TableBodyText"/>
                    <w:spacing w:before="60"/>
                    <w:ind w:right="28"/>
                  </w:pPr>
                </w:p>
                <w:p w14:paraId="3765F9B9" w14:textId="77777777" w:rsidR="00E43798" w:rsidRDefault="00E43798" w:rsidP="00C45083">
                  <w:pPr>
                    <w:pStyle w:val="TableBodyText"/>
                    <w:spacing w:before="60"/>
                    <w:ind w:right="28"/>
                  </w:pPr>
                  <w:proofErr w:type="spellStart"/>
                  <w:r>
                    <w:t>ACCI</w:t>
                  </w:r>
                  <w:proofErr w:type="spellEnd"/>
                  <w:r>
                    <w:t xml:space="preserve">, </w:t>
                  </w:r>
                  <w:proofErr w:type="spellStart"/>
                  <w:r>
                    <w:t>AiGroup</w:t>
                  </w:r>
                  <w:proofErr w:type="spellEnd"/>
                </w:p>
                <w:p w14:paraId="5E2A0D11" w14:textId="77777777" w:rsidR="00E43798" w:rsidRDefault="00E43798" w:rsidP="00C45083">
                  <w:pPr>
                    <w:pStyle w:val="TableBodyText"/>
                    <w:spacing w:before="60"/>
                    <w:ind w:right="28"/>
                  </w:pPr>
                </w:p>
                <w:p w14:paraId="0E441D5F" w14:textId="77777777" w:rsidR="00E43798" w:rsidRDefault="00E43798" w:rsidP="00C45083">
                  <w:pPr>
                    <w:pStyle w:val="TableBodyText"/>
                    <w:spacing w:before="60"/>
                    <w:ind w:right="28"/>
                  </w:pPr>
                  <w:r>
                    <w:t xml:space="preserve">International Enterprise Singapore </w:t>
                  </w:r>
                </w:p>
              </w:tc>
            </w:tr>
            <w:tr w:rsidR="00E43798" w14:paraId="7921DBC3" w14:textId="77777777" w:rsidTr="007C3379">
              <w:tc>
                <w:tcPr>
                  <w:tcW w:w="1701" w:type="dxa"/>
                  <w:shd w:val="clear" w:color="auto" w:fill="F2F2F2" w:themeFill="accent4"/>
                </w:tcPr>
                <w:p w14:paraId="1225C16C" w14:textId="49F343BB" w:rsidR="00E43798" w:rsidRDefault="00E43798" w:rsidP="00C45083">
                  <w:pPr>
                    <w:pStyle w:val="TableBodyText"/>
                    <w:spacing w:before="60"/>
                    <w:jc w:val="left"/>
                  </w:pPr>
                  <w:r>
                    <w:t>Australia</w:t>
                  </w:r>
                  <w:r w:rsidR="00FE23A3">
                    <w:noBreakHyphen/>
                  </w:r>
                  <w:r>
                    <w:t>United States (2005)</w:t>
                  </w:r>
                </w:p>
              </w:tc>
              <w:tc>
                <w:tcPr>
                  <w:tcW w:w="5081" w:type="dxa"/>
                  <w:shd w:val="clear" w:color="auto" w:fill="F2F2F2" w:themeFill="accent4"/>
                </w:tcPr>
                <w:p w14:paraId="4D7A1238" w14:textId="325CFB88" w:rsidR="00E43798" w:rsidRDefault="00E43798" w:rsidP="00C45083">
                  <w:pPr>
                    <w:pStyle w:val="TableBodyText"/>
                    <w:spacing w:before="60"/>
                    <w:jc w:val="left"/>
                  </w:pPr>
                  <w:r>
                    <w:t>No Certificate. Importer claim for preferential treatment based on a declaration by exporter (if requested) in non</w:t>
                  </w:r>
                  <w:r w:rsidR="00FE23A3">
                    <w:noBreakHyphen/>
                  </w:r>
                  <w:r>
                    <w:t>prescribed format</w:t>
                  </w:r>
                </w:p>
              </w:tc>
              <w:tc>
                <w:tcPr>
                  <w:tcW w:w="1666" w:type="dxa"/>
                  <w:shd w:val="clear" w:color="auto" w:fill="F2F2F2" w:themeFill="accent4"/>
                </w:tcPr>
                <w:p w14:paraId="5F19BAD8" w14:textId="77777777" w:rsidR="00E43798" w:rsidRDefault="00E43798" w:rsidP="00C45083">
                  <w:pPr>
                    <w:pStyle w:val="TableBodyText"/>
                    <w:spacing w:before="60"/>
                    <w:ind w:right="28"/>
                  </w:pPr>
                </w:p>
              </w:tc>
            </w:tr>
            <w:tr w:rsidR="00E43798" w14:paraId="2D168F28" w14:textId="77777777" w:rsidTr="00C45083">
              <w:tc>
                <w:tcPr>
                  <w:tcW w:w="1701" w:type="dxa"/>
                </w:tcPr>
                <w:p w14:paraId="22F8CC3E" w14:textId="567AAFC1" w:rsidR="00E43798" w:rsidRDefault="00E43798" w:rsidP="00C45083">
                  <w:pPr>
                    <w:pStyle w:val="TableBodyText"/>
                    <w:spacing w:before="60"/>
                    <w:jc w:val="left"/>
                  </w:pPr>
                  <w:r>
                    <w:t>Australia</w:t>
                  </w:r>
                  <w:r w:rsidR="00FE23A3">
                    <w:noBreakHyphen/>
                  </w:r>
                  <w:r>
                    <w:t>Thailand (2005)</w:t>
                  </w:r>
                </w:p>
              </w:tc>
              <w:tc>
                <w:tcPr>
                  <w:tcW w:w="5081" w:type="dxa"/>
                </w:tcPr>
                <w:p w14:paraId="3DC01880" w14:textId="20CB31E1" w:rsidR="00E43798" w:rsidRDefault="00E43798" w:rsidP="00C45083">
                  <w:pPr>
                    <w:pStyle w:val="TableBodyText"/>
                    <w:spacing w:before="60"/>
                    <w:jc w:val="left"/>
                  </w:pPr>
                  <w:r>
                    <w:t>The importer must have a Certificate Of Origin, obtained by a registered exporter from an authorised Third Party Certificate of origin</w:t>
                  </w:r>
                  <w:r w:rsidR="001F068E">
                    <w:t>.</w:t>
                  </w:r>
                </w:p>
              </w:tc>
              <w:tc>
                <w:tcPr>
                  <w:tcW w:w="1666" w:type="dxa"/>
                </w:tcPr>
                <w:p w14:paraId="0D78C643" w14:textId="77777777" w:rsidR="00E43798" w:rsidRDefault="00E43798" w:rsidP="00C45083">
                  <w:pPr>
                    <w:pStyle w:val="TableBodyText"/>
                    <w:spacing w:before="60"/>
                    <w:ind w:right="28"/>
                  </w:pPr>
                  <w:r>
                    <w:t>Mandatory Certificate</w:t>
                  </w:r>
                </w:p>
                <w:p w14:paraId="4B47798B" w14:textId="77777777" w:rsidR="00E43798" w:rsidRDefault="00E43798" w:rsidP="00C45083">
                  <w:pPr>
                    <w:pStyle w:val="TableBodyText"/>
                    <w:spacing w:before="60"/>
                    <w:ind w:right="28"/>
                  </w:pPr>
                  <w:proofErr w:type="spellStart"/>
                  <w:r>
                    <w:t>ACCI</w:t>
                  </w:r>
                  <w:proofErr w:type="spellEnd"/>
                  <w:r>
                    <w:t xml:space="preserve">, </w:t>
                  </w:r>
                  <w:proofErr w:type="spellStart"/>
                  <w:r>
                    <w:t>AiGroup</w:t>
                  </w:r>
                  <w:proofErr w:type="spellEnd"/>
                </w:p>
                <w:p w14:paraId="1F4ECCE1" w14:textId="365EE31C" w:rsidR="00E43798" w:rsidRDefault="00E43798" w:rsidP="00C45083">
                  <w:pPr>
                    <w:pStyle w:val="TableBodyText"/>
                    <w:spacing w:before="60"/>
                    <w:ind w:right="28"/>
                  </w:pPr>
                  <w:r>
                    <w:t xml:space="preserve">Department of Foreign Trade </w:t>
                  </w:r>
                  <w:r w:rsidR="00FE23A3">
                    <w:noBreakHyphen/>
                  </w:r>
                  <w:r>
                    <w:t xml:space="preserve"> Ministry of Commerce (Thailand)</w:t>
                  </w:r>
                </w:p>
              </w:tc>
            </w:tr>
            <w:tr w:rsidR="00C45083" w14:paraId="091B86CE" w14:textId="77777777" w:rsidTr="007C3379">
              <w:tc>
                <w:tcPr>
                  <w:tcW w:w="1701" w:type="dxa"/>
                  <w:shd w:val="clear" w:color="auto" w:fill="F2F2F2" w:themeFill="accent4"/>
                </w:tcPr>
                <w:p w14:paraId="494DB3BD" w14:textId="0F0D4A95" w:rsidR="00C45083" w:rsidRDefault="00C45083" w:rsidP="00C45083">
                  <w:pPr>
                    <w:pStyle w:val="TableBodyText"/>
                    <w:spacing w:before="60"/>
                    <w:jc w:val="left"/>
                  </w:pPr>
                  <w:r>
                    <w:t>Australia</w:t>
                  </w:r>
                  <w:r w:rsidR="00FE23A3">
                    <w:noBreakHyphen/>
                  </w:r>
                  <w:r>
                    <w:t>Chile (2009)</w:t>
                  </w:r>
                </w:p>
              </w:tc>
              <w:tc>
                <w:tcPr>
                  <w:tcW w:w="5081" w:type="dxa"/>
                  <w:shd w:val="clear" w:color="auto" w:fill="F2F2F2" w:themeFill="accent4"/>
                </w:tcPr>
                <w:p w14:paraId="44F540E9" w14:textId="275CD453" w:rsidR="00C45083" w:rsidRDefault="00C45083" w:rsidP="00C45083">
                  <w:pPr>
                    <w:pStyle w:val="TableBodyText"/>
                    <w:spacing w:before="60"/>
                    <w:jc w:val="left"/>
                  </w:pPr>
                  <w:r>
                    <w:t>An importer must have a Certificate Of Origin from the exporter (or exporter agent)</w:t>
                  </w:r>
                  <w:r w:rsidRPr="008E77FE">
                    <w:rPr>
                      <w:rStyle w:val="NoteLabel"/>
                    </w:rPr>
                    <w:t xml:space="preserve"> a</w:t>
                  </w:r>
                  <w:r>
                    <w:t>. If the exporter is not the producer the exporter must sign the Certificate on the basis of the exporters knowledge or written declaration by the producer. The producer is not compelled to make a declaration.</w:t>
                  </w:r>
                  <w:r w:rsidRPr="008E77FE">
                    <w:rPr>
                      <w:rStyle w:val="NoteLabel"/>
                    </w:rPr>
                    <w:t xml:space="preserve"> </w:t>
                  </w:r>
                </w:p>
              </w:tc>
              <w:tc>
                <w:tcPr>
                  <w:tcW w:w="1666" w:type="dxa"/>
                  <w:shd w:val="clear" w:color="auto" w:fill="F2F2F2" w:themeFill="accent4"/>
                </w:tcPr>
                <w:p w14:paraId="0FC81007" w14:textId="2F4A3BA3" w:rsidR="00C45083" w:rsidRDefault="00C45083" w:rsidP="00C45083">
                  <w:pPr>
                    <w:pStyle w:val="TableBodyText"/>
                    <w:spacing w:before="60"/>
                    <w:ind w:right="28"/>
                  </w:pPr>
                  <w:r>
                    <w:t xml:space="preserve">Certificate does not need to be from an authorised issuer  </w:t>
                  </w:r>
                </w:p>
              </w:tc>
            </w:tr>
            <w:tr w:rsidR="00C45083" w14:paraId="31E05820" w14:textId="77777777" w:rsidTr="00C45083">
              <w:tc>
                <w:tcPr>
                  <w:tcW w:w="1701" w:type="dxa"/>
                </w:tcPr>
                <w:p w14:paraId="729F7907" w14:textId="5419D6A7" w:rsidR="00C45083" w:rsidRDefault="00C45083" w:rsidP="00C45083">
                  <w:pPr>
                    <w:pStyle w:val="TableBodyText"/>
                    <w:spacing w:before="60"/>
                    <w:jc w:val="left"/>
                  </w:pPr>
                  <w:r>
                    <w:t>Australia</w:t>
                  </w:r>
                  <w:r w:rsidR="00FE23A3">
                    <w:noBreakHyphen/>
                  </w:r>
                  <w:r>
                    <w:t>ASEAN</w:t>
                  </w:r>
                  <w:r w:rsidR="00FE23A3">
                    <w:noBreakHyphen/>
                  </w:r>
                  <w:r>
                    <w:t>New Zealand (2010)</w:t>
                  </w:r>
                </w:p>
              </w:tc>
              <w:tc>
                <w:tcPr>
                  <w:tcW w:w="5081" w:type="dxa"/>
                </w:tcPr>
                <w:p w14:paraId="03CCFFAC" w14:textId="77777777" w:rsidR="00C45083" w:rsidRDefault="00C45083" w:rsidP="00C45083">
                  <w:pPr>
                    <w:pStyle w:val="TableBodyText"/>
                    <w:spacing w:before="60"/>
                    <w:jc w:val="left"/>
                  </w:pPr>
                  <w:r>
                    <w:t>Importer must have an authorised Certificate of Origin from an exporter. A Certificate can be obtained by a manufacturer or producer or exporter.</w:t>
                  </w:r>
                </w:p>
                <w:p w14:paraId="6AF2F89A" w14:textId="77777777" w:rsidR="00C45083" w:rsidRDefault="00C45083" w:rsidP="00C45083">
                  <w:pPr>
                    <w:pStyle w:val="TableBodyText"/>
                    <w:spacing w:before="60"/>
                    <w:jc w:val="left"/>
                  </w:pPr>
                </w:p>
              </w:tc>
              <w:tc>
                <w:tcPr>
                  <w:tcW w:w="1666" w:type="dxa"/>
                </w:tcPr>
                <w:p w14:paraId="6A7919F6" w14:textId="77777777" w:rsidR="00C45083" w:rsidRDefault="00C45083" w:rsidP="00C45083">
                  <w:pPr>
                    <w:pStyle w:val="TableBodyText"/>
                    <w:spacing w:before="60"/>
                    <w:ind w:right="28"/>
                  </w:pPr>
                  <w:r>
                    <w:t>ASEAN Secretariat maintains a list of authorised issuers</w:t>
                  </w:r>
                </w:p>
                <w:p w14:paraId="06381DEA" w14:textId="77777777" w:rsidR="00C45083" w:rsidRDefault="00C45083" w:rsidP="00C45083">
                  <w:pPr>
                    <w:pStyle w:val="TableBodyText"/>
                    <w:spacing w:before="60"/>
                    <w:ind w:right="28"/>
                  </w:pPr>
                </w:p>
              </w:tc>
            </w:tr>
            <w:tr w:rsidR="00C45083" w14:paraId="6C8A5810" w14:textId="77777777" w:rsidTr="007C3379">
              <w:tc>
                <w:tcPr>
                  <w:tcW w:w="1701" w:type="dxa"/>
                  <w:shd w:val="clear" w:color="auto" w:fill="F2F2F2" w:themeFill="accent4"/>
                </w:tcPr>
                <w:p w14:paraId="5257EB7B" w14:textId="5BBD3AA8" w:rsidR="00C45083" w:rsidRDefault="00C45083" w:rsidP="00C45083">
                  <w:pPr>
                    <w:pStyle w:val="TableBodyText"/>
                    <w:spacing w:before="60"/>
                    <w:jc w:val="left"/>
                  </w:pPr>
                  <w:r>
                    <w:t>Australia</w:t>
                  </w:r>
                  <w:r w:rsidR="00FE23A3">
                    <w:noBreakHyphen/>
                  </w:r>
                  <w:r>
                    <w:t>Malaysia (2012)</w:t>
                  </w:r>
                </w:p>
              </w:tc>
              <w:tc>
                <w:tcPr>
                  <w:tcW w:w="5081" w:type="dxa"/>
                  <w:shd w:val="clear" w:color="auto" w:fill="F2F2F2" w:themeFill="accent4"/>
                </w:tcPr>
                <w:p w14:paraId="46FAE191" w14:textId="77777777" w:rsidR="00C45083" w:rsidRDefault="00C45083" w:rsidP="00C45083">
                  <w:pPr>
                    <w:pStyle w:val="TableBodyText"/>
                    <w:spacing w:before="60"/>
                    <w:jc w:val="left"/>
                  </w:pPr>
                  <w:r>
                    <w:t>Importer provides Declaration of Origin completed by the exporter or producer. The Declaration may be on the invoice or company letter head. Notwithstanding, Malaysia requires its exporters or producers to obtain a Certificate of Origin from an Issuer.</w:t>
                  </w:r>
                </w:p>
                <w:p w14:paraId="11F19D43" w14:textId="77777777" w:rsidR="00C45083" w:rsidRDefault="00C45083" w:rsidP="00C45083">
                  <w:pPr>
                    <w:pStyle w:val="TableBodyText"/>
                    <w:spacing w:before="60"/>
                    <w:jc w:val="left"/>
                  </w:pPr>
                </w:p>
              </w:tc>
              <w:tc>
                <w:tcPr>
                  <w:tcW w:w="1666" w:type="dxa"/>
                  <w:shd w:val="clear" w:color="auto" w:fill="F2F2F2" w:themeFill="accent4"/>
                </w:tcPr>
                <w:p w14:paraId="7D2AC311" w14:textId="21AC600E" w:rsidR="00C45083" w:rsidRDefault="00C45083" w:rsidP="00C45083">
                  <w:pPr>
                    <w:pStyle w:val="TableBodyText"/>
                    <w:spacing w:before="60"/>
                    <w:ind w:right="28"/>
                  </w:pPr>
                  <w:r>
                    <w:t>Issuing Authority of Malaysia (not specified in the Agreement)</w:t>
                  </w:r>
                </w:p>
              </w:tc>
            </w:tr>
            <w:tr w:rsidR="00C45083" w14:paraId="1E0E2313" w14:textId="77777777" w:rsidTr="00C45083">
              <w:tc>
                <w:tcPr>
                  <w:tcW w:w="1701" w:type="dxa"/>
                </w:tcPr>
                <w:p w14:paraId="43852927" w14:textId="20CAD7B7" w:rsidR="00C45083" w:rsidRDefault="00C45083" w:rsidP="00C45083">
                  <w:pPr>
                    <w:pStyle w:val="TableBodyText"/>
                    <w:jc w:val="left"/>
                  </w:pPr>
                  <w:r>
                    <w:t>Australia</w:t>
                  </w:r>
                  <w:r w:rsidR="00FE23A3">
                    <w:noBreakHyphen/>
                  </w:r>
                  <w:r>
                    <w:t xml:space="preserve"> Korea (2014)</w:t>
                  </w:r>
                </w:p>
              </w:tc>
              <w:tc>
                <w:tcPr>
                  <w:tcW w:w="5081" w:type="dxa"/>
                </w:tcPr>
                <w:p w14:paraId="66889A01" w14:textId="6BD0095D" w:rsidR="00C45083" w:rsidRDefault="00C45083" w:rsidP="00C45083">
                  <w:pPr>
                    <w:pStyle w:val="TableBodyText"/>
                    <w:jc w:val="left"/>
                  </w:pPr>
                  <w:r>
                    <w:t xml:space="preserve">Importer to provide a Certificate of Origin completed by the exporter or </w:t>
                  </w:r>
                  <w:r w:rsidRPr="00AC036C">
                    <w:t>produce</w:t>
                  </w:r>
                  <w:r>
                    <w:t>r. If the exporter is not the producer, the producer is not compelled to provide any information. For Australia, a Certificate can be voluntarily obtained from an authorised body.</w:t>
                  </w:r>
                </w:p>
              </w:tc>
              <w:tc>
                <w:tcPr>
                  <w:tcW w:w="1666" w:type="dxa"/>
                </w:tcPr>
                <w:p w14:paraId="270428ED" w14:textId="77777777" w:rsidR="00C45083" w:rsidRDefault="00C45083" w:rsidP="00C45083">
                  <w:pPr>
                    <w:pStyle w:val="TableBodyText"/>
                    <w:ind w:right="28"/>
                  </w:pPr>
                  <w:r>
                    <w:t>Voluntary</w:t>
                  </w:r>
                </w:p>
                <w:p w14:paraId="65A2D48D" w14:textId="77777777" w:rsidR="00C45083" w:rsidRDefault="00C45083" w:rsidP="00C45083">
                  <w:pPr>
                    <w:pStyle w:val="TableBodyText"/>
                    <w:ind w:right="28"/>
                  </w:pPr>
                </w:p>
                <w:p w14:paraId="2188F43A" w14:textId="32C117DD" w:rsidR="00C45083" w:rsidRDefault="00C45083" w:rsidP="00C45083">
                  <w:pPr>
                    <w:pStyle w:val="TableBodyText"/>
                    <w:ind w:right="28"/>
                  </w:pPr>
                  <w:proofErr w:type="spellStart"/>
                  <w:r>
                    <w:t>ACCI</w:t>
                  </w:r>
                  <w:proofErr w:type="spellEnd"/>
                  <w:r>
                    <w:t xml:space="preserve">, </w:t>
                  </w:r>
                  <w:proofErr w:type="spellStart"/>
                  <w:r>
                    <w:t>AiGroup</w:t>
                  </w:r>
                  <w:proofErr w:type="spellEnd"/>
                </w:p>
              </w:tc>
            </w:tr>
          </w:tbl>
          <w:p w14:paraId="7A303B5E" w14:textId="77777777" w:rsidR="00E43798" w:rsidRDefault="00E43798" w:rsidP="0078515C">
            <w:pPr>
              <w:pStyle w:val="Box"/>
            </w:pPr>
          </w:p>
        </w:tc>
      </w:tr>
      <w:tr w:rsidR="00074475" w14:paraId="09A926FE" w14:textId="77777777" w:rsidTr="00073150">
        <w:tc>
          <w:tcPr>
            <w:tcW w:w="8771" w:type="dxa"/>
            <w:tcBorders>
              <w:top w:val="nil"/>
              <w:left w:val="nil"/>
              <w:bottom w:val="nil"/>
              <w:right w:val="nil"/>
            </w:tcBorders>
            <w:shd w:val="clear" w:color="auto" w:fill="auto"/>
          </w:tcPr>
          <w:p w14:paraId="3D79EDEB" w14:textId="1DB2C950" w:rsidR="00074475" w:rsidRDefault="00B23DD1" w:rsidP="00B23DD1">
            <w:pPr>
              <w:pStyle w:val="Continued"/>
            </w:pPr>
            <w:r>
              <w:t>(continued next page)</w:t>
            </w:r>
          </w:p>
        </w:tc>
      </w:tr>
      <w:tr w:rsidR="00074475" w14:paraId="682751EA" w14:textId="77777777" w:rsidTr="00073150">
        <w:tc>
          <w:tcPr>
            <w:tcW w:w="8771" w:type="dxa"/>
            <w:tcBorders>
              <w:top w:val="nil"/>
              <w:left w:val="nil"/>
              <w:bottom w:val="single" w:sz="6" w:space="0" w:color="78A22F"/>
              <w:right w:val="nil"/>
            </w:tcBorders>
            <w:shd w:val="clear" w:color="auto" w:fill="auto"/>
          </w:tcPr>
          <w:p w14:paraId="7425C5EF" w14:textId="77777777" w:rsidR="00074475" w:rsidRDefault="00074475" w:rsidP="00213E8B">
            <w:pPr>
              <w:pStyle w:val="Box"/>
              <w:spacing w:before="0" w:line="120" w:lineRule="exact"/>
            </w:pPr>
          </w:p>
        </w:tc>
      </w:tr>
      <w:tr w:rsidR="00074475" w:rsidRPr="000863A5" w14:paraId="5935C0E0" w14:textId="77777777" w:rsidTr="00073150">
        <w:tc>
          <w:tcPr>
            <w:tcW w:w="8771" w:type="dxa"/>
            <w:tcBorders>
              <w:top w:val="single" w:sz="6" w:space="0" w:color="78A22F"/>
              <w:left w:val="nil"/>
              <w:bottom w:val="nil"/>
              <w:right w:val="nil"/>
            </w:tcBorders>
          </w:tcPr>
          <w:p w14:paraId="477E7405" w14:textId="720798F6" w:rsidR="00074475" w:rsidRPr="00626D32" w:rsidRDefault="00074475" w:rsidP="00213E8B">
            <w:pPr>
              <w:pStyle w:val="BoxSpaceBelow"/>
            </w:pPr>
          </w:p>
        </w:tc>
      </w:tr>
    </w:tbl>
    <w:p w14:paraId="718073DD" w14:textId="062D50CD" w:rsidR="00B23DD1" w:rsidRDefault="00B23DD1" w:rsidP="00666BFE">
      <w:pPr>
        <w:pStyle w:val="BoxSpaceAbove"/>
      </w:pPr>
    </w:p>
    <w:tbl>
      <w:tblPr>
        <w:tblW w:w="4843" w:type="pct"/>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Description w:val="Table used for design: contains a nested table with data/information."/>
      </w:tblPr>
      <w:tblGrid>
        <w:gridCol w:w="8788"/>
      </w:tblGrid>
      <w:tr w:rsidR="00B23DD1" w14:paraId="090A5C4A" w14:textId="77777777" w:rsidTr="00073150">
        <w:tc>
          <w:tcPr>
            <w:tcW w:w="5000" w:type="pct"/>
            <w:tcBorders>
              <w:top w:val="single" w:sz="6" w:space="0" w:color="78A22F"/>
              <w:left w:val="nil"/>
              <w:bottom w:val="nil"/>
              <w:right w:val="nil"/>
            </w:tcBorders>
            <w:shd w:val="clear" w:color="auto" w:fill="auto"/>
          </w:tcPr>
          <w:p w14:paraId="135D9ADA" w14:textId="05DEFB9F" w:rsidR="00B23DD1" w:rsidRPr="00784A05" w:rsidRDefault="00B23DD1" w:rsidP="00B23DD1">
            <w:pPr>
              <w:pStyle w:val="TableTitle"/>
            </w:pPr>
            <w:r>
              <w:rPr>
                <w:b w:val="0"/>
              </w:rPr>
              <w:t>Table 6</w:t>
            </w:r>
            <w:r>
              <w:tab/>
            </w:r>
            <w:r w:rsidRPr="00CE0E2D">
              <w:rPr>
                <w:rStyle w:val="Continuedintitle"/>
              </w:rPr>
              <w:t>(continued)</w:t>
            </w:r>
          </w:p>
        </w:tc>
      </w:tr>
      <w:tr w:rsidR="00B23DD1" w14:paraId="137C601A" w14:textId="77777777" w:rsidTr="00073150">
        <w:tc>
          <w:tcPr>
            <w:tcW w:w="5000" w:type="pct"/>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1701"/>
              <w:gridCol w:w="5103"/>
              <w:gridCol w:w="159"/>
              <w:gridCol w:w="1474"/>
            </w:tblGrid>
            <w:tr w:rsidR="00A85DD5" w14:paraId="0DF01B86" w14:textId="77777777" w:rsidTr="00A85DD5">
              <w:tc>
                <w:tcPr>
                  <w:tcW w:w="1701" w:type="dxa"/>
                  <w:tcBorders>
                    <w:top w:val="single" w:sz="6" w:space="0" w:color="BFBFBF"/>
                  </w:tcBorders>
                  <w:shd w:val="clear" w:color="auto" w:fill="auto"/>
                  <w:tcMar>
                    <w:top w:w="28" w:type="dxa"/>
                  </w:tcMar>
                </w:tcPr>
                <w:p w14:paraId="251E250F" w14:textId="2EF8719F" w:rsidR="00A85DD5" w:rsidRPr="00F25EEC" w:rsidRDefault="00A85DD5" w:rsidP="00A85DD5">
                  <w:pPr>
                    <w:pStyle w:val="TableColumnHeading"/>
                    <w:jc w:val="left"/>
                    <w:rPr>
                      <w:b/>
                      <w:i w:val="0"/>
                    </w:rPr>
                  </w:pPr>
                  <w:r>
                    <w:t>Agreement (commencement)</w:t>
                  </w:r>
                </w:p>
              </w:tc>
              <w:tc>
                <w:tcPr>
                  <w:tcW w:w="5103" w:type="dxa"/>
                  <w:tcBorders>
                    <w:top w:val="single" w:sz="6" w:space="0" w:color="BFBFBF"/>
                  </w:tcBorders>
                  <w:vAlign w:val="center"/>
                </w:tcPr>
                <w:p w14:paraId="10806906" w14:textId="0C2B9EBB" w:rsidR="00A85DD5" w:rsidRDefault="00A85DD5" w:rsidP="00A85DD5">
                  <w:pPr>
                    <w:pStyle w:val="TableColumnHeading"/>
                    <w:jc w:val="left"/>
                  </w:pPr>
                  <w:r>
                    <w:br/>
                    <w:t xml:space="preserve">Imports to Australia and exports from Australia </w:t>
                  </w:r>
                </w:p>
              </w:tc>
              <w:tc>
                <w:tcPr>
                  <w:tcW w:w="1633" w:type="dxa"/>
                  <w:gridSpan w:val="2"/>
                  <w:tcBorders>
                    <w:top w:val="single" w:sz="6" w:space="0" w:color="BFBFBF"/>
                  </w:tcBorders>
                  <w:shd w:val="clear" w:color="auto" w:fill="auto"/>
                  <w:tcMar>
                    <w:top w:w="28" w:type="dxa"/>
                  </w:tcMar>
                </w:tcPr>
                <w:p w14:paraId="2949C3FA" w14:textId="007527BB" w:rsidR="00A85DD5" w:rsidRDefault="00A85DD5" w:rsidP="00A85DD5">
                  <w:pPr>
                    <w:pStyle w:val="TableBodyText"/>
                    <w:ind w:right="28"/>
                  </w:pPr>
                  <w:r>
                    <w:t xml:space="preserve">Accredited issuer of Certificate of Origin </w:t>
                  </w:r>
                </w:p>
              </w:tc>
            </w:tr>
            <w:tr w:rsidR="00A85DD5" w14:paraId="016A99AC" w14:textId="77777777" w:rsidTr="00A85DD5">
              <w:tc>
                <w:tcPr>
                  <w:tcW w:w="6804" w:type="dxa"/>
                  <w:gridSpan w:val="2"/>
                  <w:tcBorders>
                    <w:top w:val="single" w:sz="6" w:space="0" w:color="BFBFBF"/>
                  </w:tcBorders>
                  <w:shd w:val="clear" w:color="auto" w:fill="auto"/>
                  <w:tcMar>
                    <w:top w:w="28" w:type="dxa"/>
                  </w:tcMar>
                  <w:vAlign w:val="center"/>
                </w:tcPr>
                <w:p w14:paraId="2CFF71B0" w14:textId="292B4717" w:rsidR="00A85DD5" w:rsidRPr="00A85DD5" w:rsidRDefault="00A85DD5" w:rsidP="00A85DD5">
                  <w:pPr>
                    <w:pStyle w:val="TableUnitsRow"/>
                    <w:jc w:val="left"/>
                    <w:rPr>
                      <w:b/>
                    </w:rPr>
                  </w:pPr>
                  <w:r w:rsidRPr="00A85DD5">
                    <w:rPr>
                      <w:b/>
                    </w:rPr>
                    <w:t>Preferential agreements</w:t>
                  </w:r>
                </w:p>
              </w:tc>
              <w:tc>
                <w:tcPr>
                  <w:tcW w:w="1633" w:type="dxa"/>
                  <w:gridSpan w:val="2"/>
                  <w:tcBorders>
                    <w:top w:val="single" w:sz="6" w:space="0" w:color="BFBFBF"/>
                  </w:tcBorders>
                  <w:shd w:val="clear" w:color="auto" w:fill="auto"/>
                  <w:tcMar>
                    <w:top w:w="28" w:type="dxa"/>
                  </w:tcMar>
                </w:tcPr>
                <w:p w14:paraId="5EB92FC6" w14:textId="77777777" w:rsidR="00A85DD5" w:rsidRDefault="00A85DD5" w:rsidP="00A85DD5">
                  <w:pPr>
                    <w:pStyle w:val="TableBodyText"/>
                    <w:ind w:right="28"/>
                  </w:pPr>
                </w:p>
              </w:tc>
            </w:tr>
            <w:tr w:rsidR="00A85DD5" w14:paraId="3BFC5116" w14:textId="77777777" w:rsidTr="008815FC">
              <w:tc>
                <w:tcPr>
                  <w:tcW w:w="1701" w:type="dxa"/>
                  <w:shd w:val="clear" w:color="auto" w:fill="F2F2F2" w:themeFill="accent4"/>
                  <w:tcMar>
                    <w:top w:w="28" w:type="dxa"/>
                  </w:tcMar>
                </w:tcPr>
                <w:p w14:paraId="32764E63" w14:textId="5BAF1D60" w:rsidR="00A85DD5" w:rsidRDefault="00A85DD5" w:rsidP="00A85DD5">
                  <w:pPr>
                    <w:pStyle w:val="TableColumnHeading"/>
                    <w:jc w:val="left"/>
                  </w:pPr>
                  <w:r>
                    <w:t>Australia</w:t>
                  </w:r>
                  <w:r w:rsidR="00FE23A3">
                    <w:noBreakHyphen/>
                  </w:r>
                  <w:r>
                    <w:t>Japan (2015)</w:t>
                  </w:r>
                </w:p>
              </w:tc>
              <w:tc>
                <w:tcPr>
                  <w:tcW w:w="5262" w:type="dxa"/>
                  <w:gridSpan w:val="2"/>
                  <w:shd w:val="clear" w:color="auto" w:fill="F2F2F2" w:themeFill="accent4"/>
                </w:tcPr>
                <w:p w14:paraId="7FAA0D11" w14:textId="7316B6E8" w:rsidR="00A85DD5" w:rsidRDefault="00A85DD5" w:rsidP="00A85DD5">
                  <w:pPr>
                    <w:pStyle w:val="TableBodyText"/>
                    <w:jc w:val="left"/>
                  </w:pPr>
                  <w:r>
                    <w:t xml:space="preserve">Importer has choice of providing an authorised Third Party ‘Certificate of Origin’ or declaration or origin documents (from the importer, exporter, or producer </w:t>
                  </w:r>
                </w:p>
              </w:tc>
              <w:tc>
                <w:tcPr>
                  <w:tcW w:w="1474" w:type="dxa"/>
                  <w:shd w:val="clear" w:color="auto" w:fill="F2F2F2" w:themeFill="accent4"/>
                  <w:tcMar>
                    <w:top w:w="28" w:type="dxa"/>
                  </w:tcMar>
                </w:tcPr>
                <w:p w14:paraId="4973E901" w14:textId="77777777" w:rsidR="00A85DD5" w:rsidRDefault="00A85DD5" w:rsidP="00A85DD5">
                  <w:pPr>
                    <w:pStyle w:val="TableBodyText"/>
                    <w:ind w:right="28"/>
                  </w:pPr>
                  <w:r>
                    <w:t>Voluntary</w:t>
                  </w:r>
                </w:p>
                <w:p w14:paraId="7EBE959D" w14:textId="77777777" w:rsidR="00A85DD5" w:rsidRDefault="00A85DD5" w:rsidP="00A85DD5">
                  <w:pPr>
                    <w:pStyle w:val="TableBodyText"/>
                    <w:ind w:right="28"/>
                  </w:pPr>
                </w:p>
                <w:p w14:paraId="707EA876" w14:textId="77777777" w:rsidR="00A85DD5" w:rsidRDefault="00A85DD5" w:rsidP="00A85DD5">
                  <w:pPr>
                    <w:pStyle w:val="TableBodyText"/>
                    <w:ind w:right="28"/>
                  </w:pPr>
                  <w:proofErr w:type="spellStart"/>
                  <w:r>
                    <w:t>ACCI</w:t>
                  </w:r>
                  <w:proofErr w:type="spellEnd"/>
                  <w:r>
                    <w:t xml:space="preserve">, </w:t>
                  </w:r>
                  <w:proofErr w:type="spellStart"/>
                  <w:r>
                    <w:t>AiGroup</w:t>
                  </w:r>
                  <w:proofErr w:type="spellEnd"/>
                </w:p>
                <w:p w14:paraId="46119D98" w14:textId="77777777" w:rsidR="00A85DD5" w:rsidRDefault="00A85DD5" w:rsidP="00A85DD5">
                  <w:pPr>
                    <w:pStyle w:val="TableBodyText"/>
                    <w:ind w:right="28"/>
                  </w:pPr>
                </w:p>
                <w:p w14:paraId="39C454F7" w14:textId="2CD7AB42" w:rsidR="00A85DD5" w:rsidRDefault="00A85DD5" w:rsidP="00A85DD5">
                  <w:pPr>
                    <w:pStyle w:val="TableBodyText"/>
                    <w:ind w:right="28"/>
                  </w:pPr>
                  <w:r>
                    <w:t xml:space="preserve">Japan Government </w:t>
                  </w:r>
                </w:p>
              </w:tc>
            </w:tr>
            <w:tr w:rsidR="00A85DD5" w14:paraId="0BD13BB6" w14:textId="77777777" w:rsidTr="00255939">
              <w:tc>
                <w:tcPr>
                  <w:tcW w:w="1701" w:type="dxa"/>
                  <w:shd w:val="clear" w:color="auto" w:fill="auto"/>
                  <w:tcMar>
                    <w:top w:w="28" w:type="dxa"/>
                  </w:tcMar>
                </w:tcPr>
                <w:p w14:paraId="7E3C8049" w14:textId="3B394ADB" w:rsidR="00A85DD5" w:rsidRDefault="00A85DD5" w:rsidP="00A85DD5">
                  <w:pPr>
                    <w:pStyle w:val="TableColumnHeading"/>
                    <w:jc w:val="left"/>
                  </w:pPr>
                  <w:r>
                    <w:t>Australia</w:t>
                  </w:r>
                  <w:r w:rsidR="00FE23A3">
                    <w:noBreakHyphen/>
                  </w:r>
                  <w:r>
                    <w:t>China (2015)</w:t>
                  </w:r>
                </w:p>
              </w:tc>
              <w:tc>
                <w:tcPr>
                  <w:tcW w:w="5262" w:type="dxa"/>
                  <w:gridSpan w:val="2"/>
                  <w:shd w:val="clear" w:color="auto" w:fill="auto"/>
                </w:tcPr>
                <w:p w14:paraId="544DC3E7" w14:textId="77777777" w:rsidR="00A85DD5" w:rsidRDefault="00A85DD5" w:rsidP="00A85DD5">
                  <w:pPr>
                    <w:pStyle w:val="TableBodyText"/>
                    <w:jc w:val="left"/>
                  </w:pPr>
                  <w:r>
                    <w:t>Importer must have an Authorised Third Party Certificate of Origin, obtained by the exporter</w:t>
                  </w:r>
                </w:p>
                <w:p w14:paraId="72125BD0" w14:textId="46614923" w:rsidR="00A85DD5" w:rsidRDefault="00A85DD5" w:rsidP="00A85DD5">
                  <w:pPr>
                    <w:pStyle w:val="TableBodyText"/>
                    <w:jc w:val="left"/>
                  </w:pPr>
                  <w:r>
                    <w:t>A Declaration of origin can be used when an Advance Ruling is available.</w:t>
                  </w:r>
                </w:p>
              </w:tc>
              <w:tc>
                <w:tcPr>
                  <w:tcW w:w="1474" w:type="dxa"/>
                  <w:shd w:val="clear" w:color="auto" w:fill="auto"/>
                  <w:tcMar>
                    <w:top w:w="28" w:type="dxa"/>
                  </w:tcMar>
                </w:tcPr>
                <w:p w14:paraId="1D3FA3DA" w14:textId="77777777" w:rsidR="00A85DD5" w:rsidRDefault="00A85DD5" w:rsidP="00A85DD5">
                  <w:pPr>
                    <w:pStyle w:val="TableBodyText"/>
                    <w:ind w:right="28"/>
                  </w:pPr>
                  <w:r>
                    <w:t>Mandatory</w:t>
                  </w:r>
                </w:p>
                <w:p w14:paraId="2D7D9765" w14:textId="77777777" w:rsidR="00A85DD5" w:rsidRDefault="00A85DD5" w:rsidP="00A85DD5">
                  <w:pPr>
                    <w:pStyle w:val="TableBodyText"/>
                    <w:ind w:right="28"/>
                  </w:pPr>
                </w:p>
                <w:p w14:paraId="4625D62F" w14:textId="77777777" w:rsidR="00A85DD5" w:rsidRDefault="00A85DD5" w:rsidP="00A85DD5">
                  <w:pPr>
                    <w:pStyle w:val="TableBodyText"/>
                    <w:ind w:right="28"/>
                  </w:pPr>
                  <w:proofErr w:type="spellStart"/>
                  <w:r>
                    <w:t>ACCI</w:t>
                  </w:r>
                  <w:proofErr w:type="spellEnd"/>
                  <w:r>
                    <w:t xml:space="preserve">, </w:t>
                  </w:r>
                  <w:proofErr w:type="spellStart"/>
                  <w:r>
                    <w:t>AiGroup</w:t>
                  </w:r>
                  <w:proofErr w:type="spellEnd"/>
                  <w:r>
                    <w:t>; Wine Authority</w:t>
                  </w:r>
                </w:p>
                <w:p w14:paraId="34969068" w14:textId="77777777" w:rsidR="00A85DD5" w:rsidRDefault="00A85DD5" w:rsidP="00A85DD5">
                  <w:pPr>
                    <w:pStyle w:val="TableBodyText"/>
                    <w:ind w:right="28"/>
                  </w:pPr>
                </w:p>
                <w:p w14:paraId="45593EF6" w14:textId="0F2EBCA0" w:rsidR="00A85DD5" w:rsidRDefault="00A85DD5" w:rsidP="00A85DD5">
                  <w:pPr>
                    <w:pStyle w:val="TableBodyText"/>
                    <w:ind w:right="28"/>
                  </w:pPr>
                  <w:r>
                    <w:t>China Government.</w:t>
                  </w:r>
                </w:p>
              </w:tc>
            </w:tr>
            <w:tr w:rsidR="00A85DD5" w14:paraId="7F63C720" w14:textId="77777777" w:rsidTr="00A85DD5">
              <w:tc>
                <w:tcPr>
                  <w:tcW w:w="1701" w:type="dxa"/>
                  <w:tcMar>
                    <w:top w:w="28" w:type="dxa"/>
                  </w:tcMar>
                  <w:vAlign w:val="bottom"/>
                </w:tcPr>
                <w:p w14:paraId="5F975232" w14:textId="23F0CC77" w:rsidR="00A85DD5" w:rsidRDefault="00A85DD5" w:rsidP="00A85DD5">
                  <w:pPr>
                    <w:pStyle w:val="TableColumnHeading"/>
                    <w:jc w:val="left"/>
                  </w:pPr>
                  <w:r w:rsidRPr="00BE3170">
                    <w:rPr>
                      <w:b/>
                    </w:rPr>
                    <w:t>Non</w:t>
                  </w:r>
                  <w:r w:rsidR="00FE23A3">
                    <w:rPr>
                      <w:b/>
                    </w:rPr>
                    <w:noBreakHyphen/>
                  </w:r>
                  <w:r w:rsidRPr="00BE3170">
                    <w:rPr>
                      <w:b/>
                    </w:rPr>
                    <w:t>preferential agreements</w:t>
                  </w:r>
                </w:p>
              </w:tc>
              <w:tc>
                <w:tcPr>
                  <w:tcW w:w="5262" w:type="dxa"/>
                  <w:gridSpan w:val="2"/>
                  <w:vAlign w:val="bottom"/>
                </w:tcPr>
                <w:p w14:paraId="4B39230D" w14:textId="6747C2A5" w:rsidR="00A85DD5" w:rsidRDefault="00A85DD5" w:rsidP="00A85DD5">
                  <w:pPr>
                    <w:pStyle w:val="TableBodyText"/>
                    <w:jc w:val="left"/>
                  </w:pPr>
                  <w:r w:rsidRPr="00F25EEC">
                    <w:rPr>
                      <w:b/>
                    </w:rPr>
                    <w:t>Imports to Australia</w:t>
                  </w:r>
                </w:p>
              </w:tc>
              <w:tc>
                <w:tcPr>
                  <w:tcW w:w="1474" w:type="dxa"/>
                  <w:tcMar>
                    <w:top w:w="28" w:type="dxa"/>
                  </w:tcMar>
                  <w:vAlign w:val="bottom"/>
                </w:tcPr>
                <w:p w14:paraId="6A029039" w14:textId="21B10479" w:rsidR="00A85DD5" w:rsidRDefault="00A85DD5" w:rsidP="00A85DD5">
                  <w:pPr>
                    <w:pStyle w:val="TableBodyText"/>
                    <w:ind w:right="28"/>
                    <w:jc w:val="left"/>
                  </w:pPr>
                </w:p>
              </w:tc>
            </w:tr>
            <w:tr w:rsidR="00A85DD5" w14:paraId="24EB891B" w14:textId="77777777" w:rsidTr="008815FC">
              <w:tc>
                <w:tcPr>
                  <w:tcW w:w="1701" w:type="dxa"/>
                  <w:tcBorders>
                    <w:bottom w:val="single" w:sz="6" w:space="0" w:color="BFBFBF"/>
                  </w:tcBorders>
                  <w:shd w:val="clear" w:color="auto" w:fill="F2F2F2" w:themeFill="accent4"/>
                  <w:tcMar>
                    <w:top w:w="28" w:type="dxa"/>
                  </w:tcMar>
                </w:tcPr>
                <w:p w14:paraId="38DAFC43" w14:textId="07EBA999" w:rsidR="00A85DD5" w:rsidRDefault="00A85DD5" w:rsidP="00A85DD5">
                  <w:pPr>
                    <w:pStyle w:val="TableColumnHeading"/>
                    <w:jc w:val="left"/>
                  </w:pPr>
                  <w:r>
                    <w:t>Developing Country preferences</w:t>
                  </w:r>
                </w:p>
              </w:tc>
              <w:tc>
                <w:tcPr>
                  <w:tcW w:w="5262" w:type="dxa"/>
                  <w:gridSpan w:val="2"/>
                  <w:tcBorders>
                    <w:bottom w:val="single" w:sz="6" w:space="0" w:color="BFBFBF"/>
                  </w:tcBorders>
                  <w:shd w:val="clear" w:color="auto" w:fill="F2F2F2" w:themeFill="accent4"/>
                </w:tcPr>
                <w:p w14:paraId="440C58CD" w14:textId="76D611BE" w:rsidR="00A85DD5" w:rsidRDefault="00A85DD5" w:rsidP="00A85DD5">
                  <w:pPr>
                    <w:pStyle w:val="TableBodyText"/>
                    <w:jc w:val="left"/>
                  </w:pPr>
                  <w:r>
                    <w:t>Declaration of origin on the invoice of the normal commercial invoice; or using normal commercial invoice plus a completed Form A (Combined Declaration and Certificate of Origin).</w:t>
                  </w:r>
                </w:p>
              </w:tc>
              <w:tc>
                <w:tcPr>
                  <w:tcW w:w="1474" w:type="dxa"/>
                  <w:tcBorders>
                    <w:bottom w:val="single" w:sz="6" w:space="0" w:color="BFBFBF"/>
                  </w:tcBorders>
                  <w:shd w:val="clear" w:color="auto" w:fill="F2F2F2" w:themeFill="accent4"/>
                  <w:tcMar>
                    <w:top w:w="28" w:type="dxa"/>
                  </w:tcMar>
                </w:tcPr>
                <w:p w14:paraId="28B78EBC" w14:textId="141C6496" w:rsidR="00A85DD5" w:rsidRDefault="00A85DD5" w:rsidP="00A85DD5">
                  <w:pPr>
                    <w:pStyle w:val="TableBodyText"/>
                    <w:ind w:right="28"/>
                  </w:pPr>
                </w:p>
              </w:tc>
            </w:tr>
          </w:tbl>
          <w:p w14:paraId="0FA3A1A1" w14:textId="77777777" w:rsidR="00B23DD1" w:rsidRDefault="00B23DD1" w:rsidP="00666BFE">
            <w:pPr>
              <w:pStyle w:val="Box"/>
            </w:pPr>
          </w:p>
        </w:tc>
      </w:tr>
      <w:tr w:rsidR="00B23DD1" w14:paraId="290F07B9" w14:textId="77777777" w:rsidTr="00073150">
        <w:tc>
          <w:tcPr>
            <w:tcW w:w="5000" w:type="pct"/>
            <w:tcBorders>
              <w:top w:val="nil"/>
              <w:left w:val="nil"/>
              <w:bottom w:val="nil"/>
              <w:right w:val="nil"/>
            </w:tcBorders>
            <w:shd w:val="clear" w:color="auto" w:fill="auto"/>
          </w:tcPr>
          <w:p w14:paraId="257F8B48" w14:textId="3BE0B788" w:rsidR="00B23DD1" w:rsidRDefault="00B23DD1" w:rsidP="00B23DD1">
            <w:pPr>
              <w:pStyle w:val="Note"/>
              <w:rPr>
                <w:i/>
              </w:rPr>
            </w:pPr>
            <w:r w:rsidRPr="008E77FE">
              <w:rPr>
                <w:rStyle w:val="NoteLabel"/>
              </w:rPr>
              <w:t>a</w:t>
            </w:r>
            <w:r>
              <w:t xml:space="preserve"> Only ‘exporter’ appears in the text of the Agreement (</w:t>
            </w:r>
            <w:r w:rsidR="00FE23A3">
              <w:t>c</w:t>
            </w:r>
            <w:r>
              <w:t>hapter 4). Agent was included in the Agreement via exchange of side letters of understanding at the time of signing the Agreement (Annex).</w:t>
            </w:r>
          </w:p>
        </w:tc>
      </w:tr>
      <w:tr w:rsidR="00B23DD1" w14:paraId="0AAFB9E4" w14:textId="77777777" w:rsidTr="00073150">
        <w:tc>
          <w:tcPr>
            <w:tcW w:w="5000" w:type="pct"/>
            <w:tcBorders>
              <w:top w:val="nil"/>
              <w:left w:val="nil"/>
              <w:bottom w:val="nil"/>
              <w:right w:val="nil"/>
            </w:tcBorders>
            <w:shd w:val="clear" w:color="auto" w:fill="auto"/>
          </w:tcPr>
          <w:p w14:paraId="40A81162" w14:textId="1E88D42A" w:rsidR="00B23DD1" w:rsidRDefault="00B23DD1" w:rsidP="00666BFE">
            <w:pPr>
              <w:pStyle w:val="Source"/>
            </w:pPr>
            <w:r>
              <w:rPr>
                <w:i/>
              </w:rPr>
              <w:t>Source</w:t>
            </w:r>
            <w:r w:rsidRPr="00167F06">
              <w:t xml:space="preserve">: </w:t>
            </w:r>
            <w:r>
              <w:t>Commission assembly from trade agreements.</w:t>
            </w:r>
          </w:p>
        </w:tc>
      </w:tr>
      <w:tr w:rsidR="00B23DD1" w14:paraId="17723F92" w14:textId="77777777" w:rsidTr="00073150">
        <w:tc>
          <w:tcPr>
            <w:tcW w:w="5000" w:type="pct"/>
            <w:tcBorders>
              <w:top w:val="nil"/>
              <w:left w:val="nil"/>
              <w:bottom w:val="single" w:sz="6" w:space="0" w:color="78A22F"/>
              <w:right w:val="nil"/>
            </w:tcBorders>
            <w:shd w:val="clear" w:color="auto" w:fill="auto"/>
          </w:tcPr>
          <w:p w14:paraId="127B18C7" w14:textId="77777777" w:rsidR="00B23DD1" w:rsidRDefault="00B23DD1" w:rsidP="00666BFE">
            <w:pPr>
              <w:pStyle w:val="Box"/>
              <w:spacing w:before="0" w:line="120" w:lineRule="exact"/>
            </w:pPr>
          </w:p>
        </w:tc>
      </w:tr>
    </w:tbl>
    <w:p w14:paraId="72020FD2" w14:textId="77777777" w:rsidR="00921A1A" w:rsidRDefault="00921A1A" w:rsidP="00921A1A">
      <w:pPr>
        <w:pStyle w:val="BoxSpaceBelow"/>
      </w:pPr>
    </w:p>
    <w:p w14:paraId="303C0D00" w14:textId="77777777" w:rsidR="00213E6A" w:rsidRDefault="00213E6A" w:rsidP="00213E6A">
      <w:pPr>
        <w:pStyle w:val="Heading5"/>
      </w:pPr>
      <w:r>
        <w:t>Australia’s authorised Certificates of Origin for exports</w:t>
      </w:r>
    </w:p>
    <w:p w14:paraId="0ACB72EC" w14:textId="77777777" w:rsidR="00213E6A" w:rsidRDefault="00213E6A" w:rsidP="00213E6A">
      <w:pPr>
        <w:pStyle w:val="BodyText"/>
      </w:pPr>
      <w:r>
        <w:t xml:space="preserve">In 2010 Australia established an accreditation system for authorising bodies to issue Certificates of Origin. To date, the authorised bodies are </w:t>
      </w:r>
      <w:proofErr w:type="spellStart"/>
      <w:r>
        <w:t>ACCI</w:t>
      </w:r>
      <w:proofErr w:type="spellEnd"/>
      <w:r>
        <w:t xml:space="preserve"> and </w:t>
      </w:r>
      <w:proofErr w:type="spellStart"/>
      <w:r>
        <w:t>AiGroup</w:t>
      </w:r>
      <w:proofErr w:type="spellEnd"/>
      <w:r>
        <w:t xml:space="preserve"> for all agreements where an authorised body is involved. In the case of the China agreement, the Wine Authority is an additional authorised body.</w:t>
      </w:r>
    </w:p>
    <w:p w14:paraId="3A048ADF" w14:textId="40906AF5" w:rsidR="00213E6A" w:rsidRDefault="00213E6A" w:rsidP="00213E6A">
      <w:pPr>
        <w:pStyle w:val="BodyText"/>
      </w:pPr>
      <w:r>
        <w:t xml:space="preserve">The costs of certificates issued by </w:t>
      </w:r>
      <w:proofErr w:type="spellStart"/>
      <w:r>
        <w:t>AiGroup</w:t>
      </w:r>
      <w:proofErr w:type="spellEnd"/>
      <w:r>
        <w:t xml:space="preserve"> range from $16</w:t>
      </w:r>
      <w:r w:rsidR="00FE23A3">
        <w:noBreakHyphen/>
      </w:r>
      <w:r>
        <w:t>$47 depending on member status and paper format. In addition, there is a $60 exporter registration fee (for non</w:t>
      </w:r>
      <w:r w:rsidR="00FE23A3">
        <w:noBreakHyphen/>
      </w:r>
      <w:r>
        <w:t>members). Internationally, reported issuance costs of a Certificate are up to USD $9 when issued by Customs or other government agencies, and range from USD $1.50 to $50 (average USD $34) when issued by a Chamber of Commerce (</w:t>
      </w:r>
      <w:proofErr w:type="spellStart"/>
      <w:r>
        <w:t>WCO</w:t>
      </w:r>
      <w:proofErr w:type="spellEnd"/>
      <w:r>
        <w:t> 2015). These costs do not include the time and other costs for the firm in making the application.</w:t>
      </w:r>
    </w:p>
    <w:p w14:paraId="417EBA05" w14:textId="77777777" w:rsidR="00213E6A" w:rsidRDefault="00213E6A" w:rsidP="00921A1A">
      <w:pPr>
        <w:pStyle w:val="BoxSpaceBelow"/>
      </w:pPr>
    </w:p>
    <w:p w14:paraId="1299B14B" w14:textId="77777777" w:rsidR="00921A1A" w:rsidRPr="00921A1A" w:rsidRDefault="00921A1A" w:rsidP="00074475">
      <w:pPr>
        <w:pStyle w:val="BoxSpaceAbove"/>
        <w:rPr>
          <w:sz w:val="14"/>
          <w:szCs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74475" w14:paraId="4FAEA89A" w14:textId="77777777" w:rsidTr="00213E8B">
        <w:tc>
          <w:tcPr>
            <w:tcW w:w="8771" w:type="dxa"/>
            <w:tcBorders>
              <w:top w:val="single" w:sz="6" w:space="0" w:color="78A22F"/>
              <w:left w:val="nil"/>
              <w:bottom w:val="nil"/>
              <w:right w:val="nil"/>
            </w:tcBorders>
            <w:shd w:val="clear" w:color="auto" w:fill="F2F2F2"/>
          </w:tcPr>
          <w:p w14:paraId="5C374714" w14:textId="3C3105C8" w:rsidR="00074475" w:rsidRDefault="00074475" w:rsidP="008D37FA">
            <w:pPr>
              <w:pStyle w:val="BoxTitle"/>
            </w:pPr>
            <w:r>
              <w:rPr>
                <w:b w:val="0"/>
              </w:rPr>
              <w:t xml:space="preserve">Box </w:t>
            </w:r>
            <w:r w:rsidR="008D37FA">
              <w:rPr>
                <w:b w:val="0"/>
              </w:rPr>
              <w:t>7</w:t>
            </w:r>
            <w:r>
              <w:tab/>
              <w:t>Choice of documentary evidence (Japan</w:t>
            </w:r>
            <w:r w:rsidR="00FE23A3">
              <w:noBreakHyphen/>
            </w:r>
            <w:r>
              <w:t>Australian agreement)</w:t>
            </w:r>
          </w:p>
        </w:tc>
      </w:tr>
      <w:tr w:rsidR="00074475" w14:paraId="4FD8DA34" w14:textId="77777777" w:rsidTr="00213E8B">
        <w:tc>
          <w:tcPr>
            <w:tcW w:w="8771" w:type="dxa"/>
            <w:tcBorders>
              <w:top w:val="nil"/>
              <w:left w:val="nil"/>
              <w:bottom w:val="nil"/>
              <w:right w:val="nil"/>
            </w:tcBorders>
            <w:shd w:val="clear" w:color="auto" w:fill="F2F2F2"/>
          </w:tcPr>
          <w:p w14:paraId="7A86E9B8" w14:textId="77777777" w:rsidR="00074475" w:rsidRDefault="00074475" w:rsidP="00213E8B">
            <w:pPr>
              <w:pStyle w:val="BoxHeading1"/>
            </w:pPr>
            <w:r>
              <w:t>Documentary Evidence of Origin (Article 3.14)</w:t>
            </w:r>
          </w:p>
          <w:p w14:paraId="24C12684" w14:textId="2FA58734" w:rsidR="00074475" w:rsidRDefault="00074475" w:rsidP="00213E8B">
            <w:pPr>
              <w:pStyle w:val="Box"/>
            </w:pPr>
            <w:r>
              <w:t xml:space="preserve">For the purposes of this </w:t>
            </w:r>
            <w:r w:rsidR="00FE23A3">
              <w:t>c</w:t>
            </w:r>
            <w:r>
              <w:t>hapter, the following documents shall be considered to be Documentary Evidence of Origin:</w:t>
            </w:r>
          </w:p>
          <w:p w14:paraId="20EF545F" w14:textId="3785768B" w:rsidR="00074475" w:rsidRDefault="00074475" w:rsidP="00C45083">
            <w:pPr>
              <w:pStyle w:val="BoxListNumber2"/>
              <w:tabs>
                <w:tab w:val="clear" w:pos="680"/>
              </w:tabs>
              <w:ind w:left="545" w:hanging="539"/>
            </w:pPr>
            <w:r>
              <w:t>a Certificate of Origin referred to in Article 3.15; or</w:t>
            </w:r>
          </w:p>
          <w:p w14:paraId="18847FC1" w14:textId="2B2D7F1B" w:rsidR="00074475" w:rsidRDefault="00074475" w:rsidP="00C45083">
            <w:pPr>
              <w:pStyle w:val="BoxListNumber2"/>
              <w:tabs>
                <w:tab w:val="clear" w:pos="680"/>
              </w:tabs>
              <w:ind w:left="545" w:hanging="539"/>
            </w:pPr>
            <w:r>
              <w:t>an origin certification document referred to in Article 3.16.</w:t>
            </w:r>
          </w:p>
          <w:p w14:paraId="2E25CE47" w14:textId="77777777" w:rsidR="00074475" w:rsidRDefault="00074475" w:rsidP="00213E8B">
            <w:pPr>
              <w:pStyle w:val="BoxHeading1"/>
            </w:pPr>
            <w:r>
              <w:t>Certificate of Origin (Article 3.15)</w:t>
            </w:r>
          </w:p>
          <w:p w14:paraId="7B675859" w14:textId="77777777" w:rsidR="00074475" w:rsidRDefault="00074475" w:rsidP="00F33EF1">
            <w:pPr>
              <w:pStyle w:val="BoxListNumber"/>
            </w:pPr>
            <w:r>
              <w:t xml:space="preserve">A Certificate of Origin shall be issued by an authorised body or other certification bodies of the exporting Party, following a written application submitted by an exporter, by a producer or, under the exporter’s or producer’s responsibility, by their authorised representative located in the exporting Party. </w:t>
            </w:r>
          </w:p>
          <w:p w14:paraId="46B55760" w14:textId="77777777" w:rsidR="00074475" w:rsidRDefault="00074475" w:rsidP="00F33EF1">
            <w:pPr>
              <w:pStyle w:val="BoxListNumber"/>
            </w:pPr>
            <w:r>
              <w:t xml:space="preserve">Where an exporter in a Party is not the producer of the good, the exporter may apply for a Certificate of Origin on the basis of: </w:t>
            </w:r>
          </w:p>
          <w:p w14:paraId="35E5E042" w14:textId="77777777" w:rsidR="00074475" w:rsidRDefault="00074475" w:rsidP="00F33EF1">
            <w:pPr>
              <w:pStyle w:val="BoxListNumber2"/>
            </w:pPr>
            <w:r>
              <w:t xml:space="preserve">its knowledge that the good qualifies as an originating good based on the information provided by the producer; </w:t>
            </w:r>
          </w:p>
          <w:p w14:paraId="4ED90A69" w14:textId="77777777" w:rsidR="00074475" w:rsidRDefault="00074475" w:rsidP="00F33EF1">
            <w:pPr>
              <w:pStyle w:val="BoxListNumber2"/>
            </w:pPr>
            <w:r>
              <w:t>a written or electronic declaration or statement that the good qualifies as an originating good, provided by the producer; or</w:t>
            </w:r>
          </w:p>
          <w:p w14:paraId="77712E17" w14:textId="77777777" w:rsidR="00074475" w:rsidRDefault="00074475" w:rsidP="00F33EF1">
            <w:pPr>
              <w:pStyle w:val="BoxListNumber2"/>
            </w:pPr>
            <w:r>
              <w:t>a written or electronic declaration or statement that the good qualifies as an originating good, voluntarily provided by the producer of the good directly to the authorised body or other certification bodies of the exporting Party on request of the exporter.</w:t>
            </w:r>
          </w:p>
          <w:p w14:paraId="4C02214A" w14:textId="77777777" w:rsidR="00074475" w:rsidRDefault="00074475" w:rsidP="00213E8B">
            <w:pPr>
              <w:pStyle w:val="BoxHeading1"/>
            </w:pPr>
            <w:r>
              <w:t>Origin Certification Document (Article 3.16)</w:t>
            </w:r>
          </w:p>
          <w:p w14:paraId="08C3F452" w14:textId="77777777" w:rsidR="00074475" w:rsidRDefault="00074475" w:rsidP="00F33EF1">
            <w:pPr>
              <w:pStyle w:val="BoxListNumber"/>
              <w:numPr>
                <w:ilvl w:val="0"/>
                <w:numId w:val="28"/>
              </w:numPr>
            </w:pPr>
            <w:r>
              <w:t>An origin certification document referred to in subparagraph (b) of Article 3.14 may be completed, in accordance with this Article, by an importer, by an exporter, or by a producer of the good on the basis of:</w:t>
            </w:r>
          </w:p>
          <w:p w14:paraId="6080987F" w14:textId="77777777" w:rsidR="00074475" w:rsidRDefault="00074475" w:rsidP="00F33EF1">
            <w:pPr>
              <w:pStyle w:val="BoxListNumber2"/>
            </w:pPr>
            <w:r>
              <w:t>the importer’s, exporter’s or producer’s information demonstrating that the good is an originating good;</w:t>
            </w:r>
          </w:p>
          <w:p w14:paraId="40672E82" w14:textId="77777777" w:rsidR="00074475" w:rsidRDefault="00074475" w:rsidP="00F33EF1">
            <w:pPr>
              <w:pStyle w:val="BoxListNumber2"/>
            </w:pPr>
            <w:r>
              <w:t>in the case of an origin certification document completed by an importer, reasonable reliance on the exporter’s or, if the exporter is not a producer of the good, producer’s written or electronic declaration or statement that the good is an originating good; or</w:t>
            </w:r>
          </w:p>
          <w:p w14:paraId="516FFA0E" w14:textId="77777777" w:rsidR="00074475" w:rsidRDefault="00074475" w:rsidP="00F33EF1">
            <w:pPr>
              <w:pStyle w:val="BoxListNumber2"/>
            </w:pPr>
            <w:r>
              <w:t>in the case of an origin certification document completed by an exporter, reasonable reliance on, if the exporter is not the producer of the good, the producer’s written or electronic declaration or statement that the good is an originating good.</w:t>
            </w:r>
          </w:p>
        </w:tc>
      </w:tr>
      <w:tr w:rsidR="00074475" w14:paraId="745A9CE7" w14:textId="77777777" w:rsidTr="00213E8B">
        <w:tc>
          <w:tcPr>
            <w:tcW w:w="8771" w:type="dxa"/>
            <w:tcBorders>
              <w:top w:val="nil"/>
              <w:left w:val="nil"/>
              <w:bottom w:val="nil"/>
              <w:right w:val="nil"/>
            </w:tcBorders>
            <w:shd w:val="clear" w:color="auto" w:fill="F2F2F2"/>
          </w:tcPr>
          <w:p w14:paraId="4D37E50A" w14:textId="567D634E" w:rsidR="00074475" w:rsidRDefault="00F33EF1" w:rsidP="009B7070">
            <w:pPr>
              <w:pStyle w:val="BoxSource"/>
            </w:pPr>
            <w:r>
              <w:rPr>
                <w:i/>
              </w:rPr>
              <w:t>Source</w:t>
            </w:r>
            <w:r w:rsidR="00074475" w:rsidRPr="00167F06">
              <w:t xml:space="preserve">: </w:t>
            </w:r>
            <w:proofErr w:type="spellStart"/>
            <w:r w:rsidR="009B7070">
              <w:t>JAEPA</w:t>
            </w:r>
            <w:proofErr w:type="spellEnd"/>
            <w:r w:rsidR="00074475">
              <w:t xml:space="preserve">, </w:t>
            </w:r>
            <w:r w:rsidR="00FE23A3">
              <w:t>c</w:t>
            </w:r>
            <w:r w:rsidR="00074475">
              <w:t>hapter 3.</w:t>
            </w:r>
          </w:p>
        </w:tc>
      </w:tr>
      <w:tr w:rsidR="00074475" w14:paraId="2E175BFB" w14:textId="77777777" w:rsidTr="00213E8B">
        <w:tc>
          <w:tcPr>
            <w:tcW w:w="8771" w:type="dxa"/>
            <w:tcBorders>
              <w:top w:val="nil"/>
              <w:left w:val="nil"/>
              <w:bottom w:val="single" w:sz="6" w:space="0" w:color="78A22F"/>
              <w:right w:val="nil"/>
            </w:tcBorders>
            <w:shd w:val="clear" w:color="auto" w:fill="F2F2F2"/>
          </w:tcPr>
          <w:p w14:paraId="534235D0" w14:textId="77777777" w:rsidR="00074475" w:rsidRDefault="00074475" w:rsidP="00213E8B">
            <w:pPr>
              <w:pStyle w:val="Box"/>
              <w:spacing w:before="0" w:line="120" w:lineRule="exact"/>
            </w:pPr>
          </w:p>
        </w:tc>
      </w:tr>
      <w:tr w:rsidR="00074475" w:rsidRPr="000863A5" w14:paraId="4E24FF41" w14:textId="77777777" w:rsidTr="00213E8B">
        <w:tc>
          <w:tcPr>
            <w:tcW w:w="8771" w:type="dxa"/>
            <w:tcBorders>
              <w:top w:val="single" w:sz="6" w:space="0" w:color="78A22F"/>
              <w:left w:val="nil"/>
              <w:bottom w:val="nil"/>
              <w:right w:val="nil"/>
            </w:tcBorders>
          </w:tcPr>
          <w:p w14:paraId="513089D8" w14:textId="6C340B44" w:rsidR="00074475" w:rsidRPr="00626D32" w:rsidRDefault="00074475" w:rsidP="00213E8B">
            <w:pPr>
              <w:pStyle w:val="BoxSpaceBelow"/>
            </w:pPr>
          </w:p>
        </w:tc>
      </w:tr>
    </w:tbl>
    <w:p w14:paraId="342AA4A9" w14:textId="77777777" w:rsidR="00074475" w:rsidRDefault="00D418C1" w:rsidP="00AA797E">
      <w:pPr>
        <w:pStyle w:val="Heading3"/>
      </w:pPr>
      <w:r>
        <w:lastRenderedPageBreak/>
        <w:t>H</w:t>
      </w:r>
      <w:r w:rsidR="00E43798">
        <w:t>ow C</w:t>
      </w:r>
      <w:r>
        <w:t xml:space="preserve">ustoms handles </w:t>
      </w:r>
      <w:proofErr w:type="spellStart"/>
      <w:r>
        <w:t>RoO</w:t>
      </w:r>
      <w:proofErr w:type="spellEnd"/>
      <w:r>
        <w:t xml:space="preserve"> makes a major difference to cost</w:t>
      </w:r>
    </w:p>
    <w:p w14:paraId="62FBB099" w14:textId="7DB48164" w:rsidR="008D37FA" w:rsidRDefault="00D418C1" w:rsidP="00D418C1">
      <w:pPr>
        <w:pStyle w:val="BodyText"/>
      </w:pPr>
      <w:r>
        <w:t>The Customs approach (regardless of the proof model) may affect the usage of agreements.</w:t>
      </w:r>
      <w:r>
        <w:rPr>
          <w:rStyle w:val="FootnoteReference"/>
        </w:rPr>
        <w:footnoteReference w:id="9"/>
      </w:r>
      <w:r>
        <w:t xml:space="preserve"> </w:t>
      </w:r>
      <w:r w:rsidR="008D37FA">
        <w:t xml:space="preserve">Some </w:t>
      </w:r>
      <w:r w:rsidR="00D373B6">
        <w:t xml:space="preserve">jurisdictions </w:t>
      </w:r>
      <w:r w:rsidR="008D37FA">
        <w:t xml:space="preserve">examine all preference claims and others use a risk sampling approach. </w:t>
      </w:r>
      <w:r w:rsidR="00E44C17">
        <w:t xml:space="preserve">Some verify documents after imports have cleared Customs, but may require bonds. </w:t>
      </w:r>
      <w:r w:rsidR="008D37FA">
        <w:t xml:space="preserve">Some administrations </w:t>
      </w:r>
      <w:r>
        <w:t>carry out verification of origin documentation only before release (</w:t>
      </w:r>
      <w:proofErr w:type="spellStart"/>
      <w:r>
        <w:t>ACCI</w:t>
      </w:r>
      <w:proofErr w:type="spellEnd"/>
      <w:r>
        <w:t xml:space="preserve"> 2012, p. 7). Since prompt clearance of cargo is vitally important in commercial trade, </w:t>
      </w:r>
      <w:r w:rsidR="0085559B">
        <w:t xml:space="preserve">the approach that Customs take to </w:t>
      </w:r>
      <w:r w:rsidR="000B36F8">
        <w:t xml:space="preserve">verifying </w:t>
      </w:r>
      <w:proofErr w:type="spellStart"/>
      <w:r w:rsidR="0085559B">
        <w:t>RoO</w:t>
      </w:r>
      <w:proofErr w:type="spellEnd"/>
      <w:r w:rsidR="0085559B">
        <w:t xml:space="preserve"> affect the costs of importing</w:t>
      </w:r>
      <w:r>
        <w:t xml:space="preserve">. </w:t>
      </w:r>
      <w:r w:rsidR="0085559B">
        <w:t xml:space="preserve">Indeed, they can form a new type of </w:t>
      </w:r>
      <w:r w:rsidR="00433FB1">
        <w:t xml:space="preserve">barrier </w:t>
      </w:r>
      <w:r w:rsidR="0085559B">
        <w:t xml:space="preserve">at or behind the border. </w:t>
      </w:r>
      <w:r w:rsidR="00B81B1E">
        <w:t>Moreover, as tariff revenue remains an important source of government funds in some countries, Customs may approach proof</w:t>
      </w:r>
      <w:r w:rsidR="00FE23A3">
        <w:noBreakHyphen/>
      </w:r>
      <w:r w:rsidR="00B81B1E">
        <w:t>of</w:t>
      </w:r>
      <w:r w:rsidR="00FE23A3">
        <w:noBreakHyphen/>
      </w:r>
      <w:r w:rsidR="00B81B1E">
        <w:t>origin verification with revenue protection as a guiding influence.</w:t>
      </w:r>
    </w:p>
    <w:p w14:paraId="6CB2C92D" w14:textId="512CD24E" w:rsidR="00E53B27" w:rsidRDefault="008D37FA" w:rsidP="00D418C1">
      <w:pPr>
        <w:pStyle w:val="BodyText"/>
      </w:pPr>
      <w:r>
        <w:t>D</w:t>
      </w:r>
      <w:r w:rsidR="002F2433">
        <w:t>isputes about</w:t>
      </w:r>
      <w:r w:rsidR="00E53B27">
        <w:t xml:space="preserve"> tariff classification for PTA </w:t>
      </w:r>
      <w:proofErr w:type="spellStart"/>
      <w:r w:rsidR="00E53B27">
        <w:t>RoO</w:t>
      </w:r>
      <w:proofErr w:type="spellEnd"/>
      <w:r w:rsidR="00E53B27">
        <w:t xml:space="preserve"> purposes </w:t>
      </w:r>
      <w:r w:rsidR="002F2433">
        <w:t xml:space="preserve">can </w:t>
      </w:r>
      <w:r>
        <w:t xml:space="preserve">also </w:t>
      </w:r>
      <w:r w:rsidR="002F2433">
        <w:t>see preferences not granted, or tie importers up in a costly process</w:t>
      </w:r>
      <w:r w:rsidR="00B81B1E">
        <w:t xml:space="preserve"> (box 8)</w:t>
      </w:r>
      <w:r w:rsidR="002F2433">
        <w:t xml:space="preserve">. So getting the tariff classification right </w:t>
      </w:r>
      <w:r w:rsidR="00E53B27">
        <w:t>is increasingly important in light of the significant increases in ex</w:t>
      </w:r>
      <w:r w:rsidR="00FE23A3">
        <w:noBreakHyphen/>
      </w:r>
      <w:r w:rsidR="00E53B27">
        <w:t>post origin verification audits by many jurisdictions (</w:t>
      </w:r>
      <w:proofErr w:type="spellStart"/>
      <w:r w:rsidR="00E53B27">
        <w:t>WCO</w:t>
      </w:r>
      <w:proofErr w:type="spellEnd"/>
      <w:r w:rsidR="00E53B27">
        <w:t xml:space="preserve"> 2014). </w:t>
      </w:r>
    </w:p>
    <w:p w14:paraId="21DCBD42" w14:textId="1AD99B52" w:rsidR="00E43798" w:rsidRDefault="008D37FA" w:rsidP="00E43798">
      <w:pPr>
        <w:pStyle w:val="BodyText"/>
      </w:pPr>
      <w:r>
        <w:t xml:space="preserve">Increases in the </w:t>
      </w:r>
      <w:r w:rsidR="00E43798">
        <w:t xml:space="preserve">administrative costs of verifications may be passed on to importers. For instance, </w:t>
      </w:r>
      <w:proofErr w:type="spellStart"/>
      <w:r w:rsidR="00E43798">
        <w:t>ACCI</w:t>
      </w:r>
      <w:proofErr w:type="spellEnd"/>
      <w:r w:rsidR="00E43798">
        <w:t xml:space="preserve"> (</w:t>
      </w:r>
      <w:proofErr w:type="spellStart"/>
      <w:r w:rsidR="00E43798">
        <w:t>2016a</w:t>
      </w:r>
      <w:proofErr w:type="spellEnd"/>
      <w:r w:rsidR="00E43798">
        <w:t xml:space="preserve">) reported discussions with the US Department of Finance about the </w:t>
      </w:r>
      <w:proofErr w:type="spellStart"/>
      <w:r w:rsidR="00E43798">
        <w:t>TPP</w:t>
      </w:r>
      <w:proofErr w:type="spellEnd"/>
      <w:r w:rsidR="00E43798">
        <w:t xml:space="preserve"> self</w:t>
      </w:r>
      <w:r w:rsidR="00FE23A3">
        <w:noBreakHyphen/>
      </w:r>
      <w:r w:rsidR="00E43798">
        <w:t xml:space="preserve">declaration model that indicated there may be an attempt to shift the costs of compliance investigation from the </w:t>
      </w:r>
      <w:r w:rsidR="00775172">
        <w:t>C</w:t>
      </w:r>
      <w:r w:rsidR="00E43798">
        <w:t xml:space="preserve">ustoms agency to the importer, with requirements for higher bonds, increases in insurance against investigation, and increased company costs of supply chain due diligence. </w:t>
      </w:r>
    </w:p>
    <w:p w14:paraId="2C5554D6" w14:textId="1D9BA46C" w:rsidR="00D418C1" w:rsidRDefault="00D418C1" w:rsidP="00D418C1">
      <w:pPr>
        <w:pStyle w:val="BodyText"/>
      </w:pPr>
      <w:r>
        <w:t xml:space="preserve">The very complexity of </w:t>
      </w:r>
      <w:proofErr w:type="spellStart"/>
      <w:r>
        <w:t>RoO</w:t>
      </w:r>
      <w:proofErr w:type="spellEnd"/>
      <w:r>
        <w:t xml:space="preserve"> make</w:t>
      </w:r>
      <w:r w:rsidR="002C0A23">
        <w:t>s</w:t>
      </w:r>
      <w:r>
        <w:t xml:space="preserve"> som</w:t>
      </w:r>
      <w:r w:rsidR="00A9670B">
        <w:t xml:space="preserve">e disagreements inevitable. </w:t>
      </w:r>
      <w:proofErr w:type="spellStart"/>
      <w:r w:rsidR="00A9670B">
        <w:t>RoO</w:t>
      </w:r>
      <w:proofErr w:type="spellEnd"/>
      <w:r>
        <w:t xml:space="preserve"> are product specific, generally </w:t>
      </w:r>
      <w:r w:rsidR="00B81B1E">
        <w:t xml:space="preserve">with </w:t>
      </w:r>
      <w:r>
        <w:t>around 2000 to 3000 per agreement</w:t>
      </w:r>
      <w:r w:rsidR="00B81B1E">
        <w:t>. A</w:t>
      </w:r>
      <w:r>
        <w:t xml:space="preserve">lthough most traders would only need to focus on a small subset, </w:t>
      </w:r>
      <w:r w:rsidR="00B81B1E">
        <w:t xml:space="preserve">the </w:t>
      </w:r>
      <w:r w:rsidR="00FE5D4E">
        <w:t>importer</w:t>
      </w:r>
      <w:r w:rsidR="00B81B1E">
        <w:t xml:space="preserve"> needs to </w:t>
      </w:r>
      <w:r w:rsidR="00FE5D4E">
        <w:t>correctly identify</w:t>
      </w:r>
      <w:r>
        <w:t xml:space="preserve"> the applicable tariff classification code </w:t>
      </w:r>
      <w:r w:rsidR="00B81B1E">
        <w:t>(</w:t>
      </w:r>
      <w:r>
        <w:t>a known challenge and source of dispute</w:t>
      </w:r>
      <w:r w:rsidR="00B81B1E">
        <w:t xml:space="preserve">) </w:t>
      </w:r>
      <w:r w:rsidR="00FE5D4E">
        <w:t>as well as</w:t>
      </w:r>
      <w:r w:rsidR="00B81B1E">
        <w:t xml:space="preserve"> interpret the wording of the </w:t>
      </w:r>
      <w:proofErr w:type="spellStart"/>
      <w:r w:rsidR="00B81B1E">
        <w:t>RoO</w:t>
      </w:r>
      <w:proofErr w:type="spellEnd"/>
      <w:r>
        <w:t xml:space="preserve">. Internationally, </w:t>
      </w:r>
      <w:proofErr w:type="spellStart"/>
      <w:r>
        <w:t>RoO</w:t>
      </w:r>
      <w:proofErr w:type="spellEnd"/>
      <w:r>
        <w:t xml:space="preserve"> for textiles and clothing are renown</w:t>
      </w:r>
      <w:r w:rsidR="000B36F8">
        <w:t>ed</w:t>
      </w:r>
      <w:r>
        <w:t xml:space="preserve"> for impenetrability and practical restrictiveness. Other product </w:t>
      </w:r>
      <w:proofErr w:type="spellStart"/>
      <w:r>
        <w:t>RoO</w:t>
      </w:r>
      <w:proofErr w:type="spellEnd"/>
      <w:r>
        <w:t xml:space="preserve"> may be comparatively clearer but leave lingering doubt about qualification. Even if the producer thinks they satisfy the transformation rules, </w:t>
      </w:r>
      <w:r w:rsidR="00E6747A">
        <w:t xml:space="preserve">there is no guarantee that </w:t>
      </w:r>
      <w:r>
        <w:t xml:space="preserve">the importing country Customs </w:t>
      </w:r>
      <w:r w:rsidR="00E6747A">
        <w:t xml:space="preserve">will </w:t>
      </w:r>
      <w:r>
        <w:t>agree</w:t>
      </w:r>
      <w:r w:rsidR="00E6747A">
        <w:t xml:space="preserve">. </w:t>
      </w:r>
    </w:p>
    <w:p w14:paraId="1C80643A" w14:textId="466F59CB" w:rsidR="00213E6A" w:rsidRDefault="00213E6A" w:rsidP="00213E6A">
      <w:pPr>
        <w:pStyle w:val="BodyText"/>
      </w:pPr>
      <w:r>
        <w:t xml:space="preserve">To the extent that compliance costs rather than stringency of the </w:t>
      </w:r>
      <w:proofErr w:type="spellStart"/>
      <w:r>
        <w:t>RoO</w:t>
      </w:r>
      <w:proofErr w:type="spellEnd"/>
      <w:r>
        <w:t xml:space="preserve"> limits the use of preferences there is a case for reducing these costs. The Business Council of Australia promoted the option of self</w:t>
      </w:r>
      <w:r w:rsidR="00FE23A3">
        <w:noBreakHyphen/>
      </w:r>
      <w:r>
        <w:t xml:space="preserve">certification, noting that 350 companies account for 85 per cent of Australian exports, involving many transactions per company per year (BCA 2015). The National Interest Analysis for the </w:t>
      </w:r>
      <w:proofErr w:type="spellStart"/>
      <w:r>
        <w:t>TPP</w:t>
      </w:r>
      <w:proofErr w:type="spellEnd"/>
      <w:r>
        <w:t xml:space="preserve"> reported an estimated savings to Australian exporters of around $150 000 per year by adopting self</w:t>
      </w:r>
      <w:r w:rsidR="00FE23A3">
        <w:noBreakHyphen/>
      </w:r>
      <w:r>
        <w:t>declaration (Australian Government 2016, p.</w:t>
      </w:r>
      <w:r w:rsidR="00FE23A3">
        <w:t> </w:t>
      </w:r>
      <w:r>
        <w:t>38).</w:t>
      </w:r>
    </w:p>
    <w:p w14:paraId="29C4BF52" w14:textId="77777777" w:rsidR="00B81B1E" w:rsidRDefault="00B81B1E" w:rsidP="00213E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B677B" w14:paraId="1AB64E37" w14:textId="77777777" w:rsidTr="0078515C">
        <w:tc>
          <w:tcPr>
            <w:tcW w:w="8771" w:type="dxa"/>
            <w:tcBorders>
              <w:top w:val="single" w:sz="6" w:space="0" w:color="78A22F"/>
              <w:left w:val="nil"/>
              <w:bottom w:val="nil"/>
              <w:right w:val="nil"/>
            </w:tcBorders>
            <w:shd w:val="clear" w:color="auto" w:fill="F2F2F2"/>
          </w:tcPr>
          <w:p w14:paraId="60A450A2" w14:textId="77777777" w:rsidR="000B677B" w:rsidRDefault="000B677B" w:rsidP="00775172">
            <w:pPr>
              <w:pStyle w:val="BoxTitle"/>
            </w:pPr>
            <w:r>
              <w:rPr>
                <w:b w:val="0"/>
              </w:rPr>
              <w:t xml:space="preserve">Box </w:t>
            </w:r>
            <w:r w:rsidR="00775172">
              <w:rPr>
                <w:b w:val="0"/>
              </w:rPr>
              <w:t>8</w:t>
            </w:r>
            <w:r>
              <w:tab/>
              <w:t xml:space="preserve">The challenge of identifying the correct tariff classification and applicable </w:t>
            </w:r>
            <w:proofErr w:type="spellStart"/>
            <w:r>
              <w:t>RoO</w:t>
            </w:r>
            <w:proofErr w:type="spellEnd"/>
          </w:p>
        </w:tc>
      </w:tr>
      <w:tr w:rsidR="000B677B" w14:paraId="4F376816" w14:textId="77777777" w:rsidTr="0078515C">
        <w:tc>
          <w:tcPr>
            <w:tcW w:w="8771" w:type="dxa"/>
            <w:tcBorders>
              <w:top w:val="nil"/>
              <w:left w:val="nil"/>
              <w:bottom w:val="nil"/>
              <w:right w:val="nil"/>
            </w:tcBorders>
            <w:shd w:val="clear" w:color="auto" w:fill="F2F2F2"/>
          </w:tcPr>
          <w:p w14:paraId="5EE35504" w14:textId="7411BEBB" w:rsidR="000B677B" w:rsidRDefault="000B677B" w:rsidP="0078515C">
            <w:pPr>
              <w:pStyle w:val="Box"/>
            </w:pPr>
            <w:r w:rsidRPr="0063614D">
              <w:t>Tariff classification is arguably the most important feature of every import and export transaction. Not only does it determine applicable import or export tax rates or eligibility for trade agreement benefits or duty exemptions, it also triggers a range of possible non</w:t>
            </w:r>
            <w:r w:rsidR="00FE23A3">
              <w:noBreakHyphen/>
            </w:r>
            <w:r w:rsidRPr="0063614D">
              <w:t xml:space="preserve">tariff barriers, such as inspections, license requirements, quota restrictions, trade embargoes, </w:t>
            </w:r>
            <w:r>
              <w:t xml:space="preserve">and </w:t>
            </w:r>
            <w:r w:rsidRPr="0063614D">
              <w:t>permane</w:t>
            </w:r>
            <w:r>
              <w:t>nt establishment conditions,</w:t>
            </w:r>
            <w:r w:rsidR="00FE23A3">
              <w:t>.</w:t>
            </w:r>
            <w:r>
              <w:t xml:space="preserve"> </w:t>
            </w:r>
          </w:p>
          <w:p w14:paraId="52416DC4" w14:textId="5CD585A7" w:rsidR="000B677B" w:rsidRDefault="000B677B" w:rsidP="0078515C">
            <w:pPr>
              <w:pStyle w:val="Box"/>
            </w:pPr>
            <w:r>
              <w:t>Traded goods are classified according to the interna</w:t>
            </w:r>
            <w:r w:rsidR="00775172">
              <w:t>tionally</w:t>
            </w:r>
            <w:r>
              <w:t xml:space="preserve"> agreed Harmonized Commodity Description and Coding System (HS system). There are around 5000 tariff codes at the HS</w:t>
            </w:r>
            <w:r w:rsidR="00FE23A3">
              <w:noBreakHyphen/>
            </w:r>
            <w:r>
              <w:t>6 digit level.</w:t>
            </w:r>
          </w:p>
          <w:p w14:paraId="331CE6F3" w14:textId="77777777" w:rsidR="000B677B" w:rsidRDefault="00775172" w:rsidP="0078515C">
            <w:pPr>
              <w:pStyle w:val="Box"/>
            </w:pPr>
            <w:r>
              <w:t>T</w:t>
            </w:r>
            <w:r w:rsidR="000B677B">
              <w:t xml:space="preserve">ariff classification disputes (between customs and traders) are </w:t>
            </w:r>
            <w:r w:rsidR="00B66018">
              <w:t>not uncommon</w:t>
            </w:r>
            <w:r w:rsidR="000B677B">
              <w:t>. Disputes may not only be in respect of individual shipments, but may involve all trade in a product. For example, the USA lodged a complaint under the WTO Dispute Resolution provisions against the EU over the tariff treatment of certain information</w:t>
            </w:r>
            <w:r w:rsidR="00B66018">
              <w:t xml:space="preserve"> technology products</w:t>
            </w:r>
            <w:r w:rsidR="000B677B">
              <w:t>.</w:t>
            </w:r>
          </w:p>
          <w:p w14:paraId="76D4BD95" w14:textId="77777777" w:rsidR="000B677B" w:rsidRPr="00A46D3D" w:rsidRDefault="000B677B" w:rsidP="0078515C">
            <w:pPr>
              <w:pStyle w:val="Box"/>
            </w:pPr>
            <w:r>
              <w:t xml:space="preserve">As </w:t>
            </w:r>
            <w:proofErr w:type="spellStart"/>
            <w:r>
              <w:t>RoO</w:t>
            </w:r>
            <w:proofErr w:type="spellEnd"/>
            <w:r>
              <w:t xml:space="preserve"> differ between products and/or across agreements, identifying the correct tariff classification is important to facilitating trade under trade agreements. </w:t>
            </w:r>
            <w:r w:rsidRPr="00A46D3D">
              <w:t xml:space="preserve">HS code discrepancies between export countries and import countries cause confusion among </w:t>
            </w:r>
            <w:r>
              <w:t xml:space="preserve">preferential trade agreement </w:t>
            </w:r>
            <w:r w:rsidRPr="00A46D3D">
              <w:t>users</w:t>
            </w:r>
            <w:r w:rsidR="00B66018">
              <w:t xml:space="preserve">. As noted by </w:t>
            </w:r>
            <w:r>
              <w:t xml:space="preserve">Panasonic </w:t>
            </w:r>
            <w:r w:rsidR="00B66018">
              <w:t>(2014):</w:t>
            </w:r>
          </w:p>
          <w:p w14:paraId="5A79FE01" w14:textId="77777777" w:rsidR="000B677B" w:rsidRDefault="000B677B" w:rsidP="0078515C">
            <w:pPr>
              <w:pStyle w:val="BoxListBullet"/>
            </w:pPr>
            <w:r w:rsidRPr="00A46D3D">
              <w:t>Manufacturers have difficulty finding out HS codes of import countries</w:t>
            </w:r>
            <w:r>
              <w:t>. For example, glasses for 3D television could be TV accessories (</w:t>
            </w:r>
            <w:proofErr w:type="spellStart"/>
            <w:r>
              <w:t>HS8529</w:t>
            </w:r>
            <w:proofErr w:type="spellEnd"/>
            <w:r>
              <w:t>), glasses (</w:t>
            </w:r>
            <w:proofErr w:type="spellStart"/>
            <w:r>
              <w:t>HS9004</w:t>
            </w:r>
            <w:proofErr w:type="spellEnd"/>
            <w:r>
              <w:t>) or new products (</w:t>
            </w:r>
            <w:proofErr w:type="spellStart"/>
            <w:r>
              <w:t>HS8543</w:t>
            </w:r>
            <w:proofErr w:type="spellEnd"/>
            <w:r>
              <w:t>).</w:t>
            </w:r>
          </w:p>
          <w:p w14:paraId="15125664" w14:textId="77777777" w:rsidR="000B677B" w:rsidRPr="00A46D3D" w:rsidRDefault="000B677B" w:rsidP="0078515C">
            <w:pPr>
              <w:pStyle w:val="BoxListBullet"/>
            </w:pPr>
            <w:r w:rsidRPr="00A46D3D">
              <w:t>Some import customs make sudden changes in HS code inte</w:t>
            </w:r>
            <w:r>
              <w:t>r</w:t>
            </w:r>
            <w:r w:rsidRPr="00A46D3D">
              <w:t>preta</w:t>
            </w:r>
            <w:r>
              <w:t>t</w:t>
            </w:r>
            <w:r w:rsidRPr="00A46D3D">
              <w:t>ion and ask importers to pay tax retrospectively</w:t>
            </w:r>
            <w:r>
              <w:t>.</w:t>
            </w:r>
          </w:p>
          <w:p w14:paraId="7B88EEA0" w14:textId="42201F90" w:rsidR="000B677B" w:rsidRDefault="000B677B" w:rsidP="0078515C">
            <w:pPr>
              <w:pStyle w:val="BoxListBullet"/>
            </w:pPr>
            <w:r>
              <w:t>P</w:t>
            </w:r>
            <w:r w:rsidRPr="00A46D3D">
              <w:t xml:space="preserve">TA rules do not keep up with </w:t>
            </w:r>
            <w:r>
              <w:t>th</w:t>
            </w:r>
            <w:r w:rsidRPr="00A46D3D">
              <w:t>e 5</w:t>
            </w:r>
            <w:r w:rsidR="00FE23A3">
              <w:noBreakHyphen/>
            </w:r>
            <w:r w:rsidRPr="00A46D3D">
              <w:t>year changes in HS codes</w:t>
            </w:r>
            <w:r>
              <w:t xml:space="preserve">. </w:t>
            </w:r>
            <w:proofErr w:type="spellStart"/>
            <w:r>
              <w:t>RoO</w:t>
            </w:r>
            <w:proofErr w:type="spellEnd"/>
            <w:r>
              <w:t xml:space="preserve"> tariff codes are locked</w:t>
            </w:r>
            <w:r w:rsidR="00FE23A3">
              <w:noBreakHyphen/>
            </w:r>
            <w:r>
              <w:t xml:space="preserve">in at the time of agreement under the existing HS system. Contemporary trade uses the current HS system and even slight variations in the updated codes may invoke different </w:t>
            </w:r>
            <w:proofErr w:type="spellStart"/>
            <w:r>
              <w:t>RoO</w:t>
            </w:r>
            <w:proofErr w:type="spellEnd"/>
            <w:r>
              <w:t xml:space="preserve">. </w:t>
            </w:r>
          </w:p>
        </w:tc>
      </w:tr>
      <w:tr w:rsidR="000B677B" w14:paraId="06B722BA" w14:textId="77777777" w:rsidTr="0078515C">
        <w:tc>
          <w:tcPr>
            <w:tcW w:w="8771" w:type="dxa"/>
            <w:tcBorders>
              <w:top w:val="nil"/>
              <w:left w:val="nil"/>
              <w:bottom w:val="single" w:sz="6" w:space="0" w:color="78A22F"/>
              <w:right w:val="nil"/>
            </w:tcBorders>
            <w:shd w:val="clear" w:color="auto" w:fill="F2F2F2"/>
          </w:tcPr>
          <w:p w14:paraId="1BA0E67E" w14:textId="77777777" w:rsidR="000B677B" w:rsidRDefault="000B677B" w:rsidP="0078515C">
            <w:pPr>
              <w:pStyle w:val="Box"/>
              <w:spacing w:before="0" w:line="120" w:lineRule="exact"/>
            </w:pPr>
          </w:p>
        </w:tc>
      </w:tr>
    </w:tbl>
    <w:p w14:paraId="597894E3" w14:textId="579C2479" w:rsidR="00074475" w:rsidRDefault="00074475" w:rsidP="00074475">
      <w:pPr>
        <w:pStyle w:val="BodyText"/>
      </w:pPr>
      <w:r>
        <w:t xml:space="preserve">However, the cost of </w:t>
      </w:r>
      <w:r w:rsidR="0092429F">
        <w:t xml:space="preserve">meeting the </w:t>
      </w:r>
      <w:proofErr w:type="spellStart"/>
      <w:r w:rsidR="0092429F">
        <w:t>RoO</w:t>
      </w:r>
      <w:proofErr w:type="spellEnd"/>
      <w:r w:rsidR="0092429F">
        <w:t xml:space="preserve"> is more than getting the certificate of origin. </w:t>
      </w:r>
      <w:r>
        <w:t>The response by Customs to the preference claim and ‘evidence’ is fundamental.</w:t>
      </w:r>
      <w:r w:rsidR="0092429F">
        <w:t xml:space="preserve"> If self</w:t>
      </w:r>
      <w:r w:rsidR="00FE23A3">
        <w:noBreakHyphen/>
      </w:r>
      <w:r w:rsidR="0092429F">
        <w:t>declaration certificates are more likely to be challenged, the cost savings may be quickly eroded.</w:t>
      </w:r>
    </w:p>
    <w:p w14:paraId="01F4BA6F" w14:textId="56683F98" w:rsidR="00074475" w:rsidRDefault="00074475" w:rsidP="00074475">
      <w:pPr>
        <w:pStyle w:val="BodyText"/>
      </w:pPr>
      <w:r>
        <w:t>Many countries have significantly increased their ‘at border’ and ex</w:t>
      </w:r>
      <w:r w:rsidR="00FE23A3">
        <w:noBreakHyphen/>
      </w:r>
      <w:r>
        <w:t>post origin verification activities in recent years (</w:t>
      </w:r>
      <w:proofErr w:type="spellStart"/>
      <w:r>
        <w:t>WCO</w:t>
      </w:r>
      <w:proofErr w:type="spellEnd"/>
      <w:r>
        <w:t xml:space="preserve"> </w:t>
      </w:r>
      <w:r w:rsidR="00E43798">
        <w:t>2014</w:t>
      </w:r>
      <w:r>
        <w:t xml:space="preserve">). </w:t>
      </w:r>
      <w:r w:rsidR="008D37FA">
        <w:t>For instance, Korean Customs ex</w:t>
      </w:r>
      <w:r w:rsidR="00FE23A3">
        <w:noBreakHyphen/>
      </w:r>
      <w:r w:rsidR="008D37FA">
        <w:t>post origin verification audits increased four</w:t>
      </w:r>
      <w:r w:rsidR="00FE23A3">
        <w:noBreakHyphen/>
      </w:r>
      <w:r w:rsidR="008D37FA">
        <w:t xml:space="preserve">fold between 2011 and 2013, and assessed 46 per cent as failing the </w:t>
      </w:r>
      <w:proofErr w:type="spellStart"/>
      <w:r w:rsidR="008D37FA">
        <w:t>RoO</w:t>
      </w:r>
      <w:proofErr w:type="spellEnd"/>
      <w:r w:rsidR="008D37FA">
        <w:t>, 37 per cent as non</w:t>
      </w:r>
      <w:r w:rsidR="00FE23A3">
        <w:noBreakHyphen/>
      </w:r>
      <w:r w:rsidR="008D37FA">
        <w:t>conforming Certificate of Origin and 9 per cent as using the wrong tariff classification.</w:t>
      </w:r>
      <w:r w:rsidR="008C7198">
        <w:t xml:space="preserve"> </w:t>
      </w:r>
      <w:r w:rsidR="008D37FA">
        <w:t xml:space="preserve">Increased international verification has been </w:t>
      </w:r>
      <w:r>
        <w:t xml:space="preserve">driven by the increase in trade agreements and the volume of claims for preference. However, the increase in the intensity of verification has also been driven by evidence of failure to meet the </w:t>
      </w:r>
      <w:proofErr w:type="spellStart"/>
      <w:r>
        <w:t>RoO</w:t>
      </w:r>
      <w:proofErr w:type="spellEnd"/>
      <w:r>
        <w:t xml:space="preserve"> test, fraudulent claims and inadvertent errors. Many </w:t>
      </w:r>
      <w:r w:rsidR="008D37FA">
        <w:t>C</w:t>
      </w:r>
      <w:r>
        <w:t>ustoms administrations, while attempting to meet increased volume of claims and apply greater scrutiny,</w:t>
      </w:r>
      <w:r w:rsidR="00D86D26">
        <w:t xml:space="preserve"> </w:t>
      </w:r>
      <w:r>
        <w:t>lack sufficient trained staff to deal with language and format differences in paperwork.</w:t>
      </w:r>
    </w:p>
    <w:p w14:paraId="24A0F25E" w14:textId="13A43E32" w:rsidR="00074475" w:rsidRDefault="00074475" w:rsidP="00074475">
      <w:pPr>
        <w:pStyle w:val="BodyText"/>
      </w:pPr>
      <w:r>
        <w:lastRenderedPageBreak/>
        <w:t>Against this backdrop, standardised Certificates of Origin issued by government accredited bodies may engender trust by Customs administrations, expedite cargo clearance and facilitate the use of trade preferences. Notwithstanding, there have been minor problems in practice where inadvertent changes to format have delayed trade.</w:t>
      </w:r>
      <w:r>
        <w:rPr>
          <w:rStyle w:val="FootnoteReference"/>
        </w:rPr>
        <w:footnoteReference w:id="10"/>
      </w:r>
      <w:r>
        <w:t xml:space="preserve"> </w:t>
      </w:r>
      <w:proofErr w:type="spellStart"/>
      <w:r>
        <w:t>ACCI</w:t>
      </w:r>
      <w:proofErr w:type="spellEnd"/>
      <w:r>
        <w:t xml:space="preserve"> (</w:t>
      </w:r>
      <w:proofErr w:type="spellStart"/>
      <w:r>
        <w:t>2016a</w:t>
      </w:r>
      <w:proofErr w:type="spellEnd"/>
      <w:r>
        <w:t>) also observed that the certificate template for the China and Korea agreements does not comply with the non</w:t>
      </w:r>
      <w:r w:rsidR="00FE23A3">
        <w:noBreakHyphen/>
      </w:r>
      <w:r>
        <w:t>preferential Certificates needed to support international trade finance. Consequently exporters seeking trade finance have to seek two certificates.</w:t>
      </w:r>
    </w:p>
    <w:p w14:paraId="4D7EC2E9" w14:textId="70B835EE" w:rsidR="00074475" w:rsidRDefault="00074475" w:rsidP="00074475">
      <w:pPr>
        <w:pStyle w:val="BodyText"/>
      </w:pPr>
      <w:r>
        <w:t>Self</w:t>
      </w:r>
      <w:r w:rsidR="00FE23A3">
        <w:noBreakHyphen/>
      </w:r>
      <w:r>
        <w:t xml:space="preserve">declaration systems potentially expose the importer (where it is not the producer or exporter) to verification costs if challenged and without the assistance of a Certificate Issuer to defend the case. </w:t>
      </w:r>
      <w:proofErr w:type="spellStart"/>
      <w:r>
        <w:t>ACCI</w:t>
      </w:r>
      <w:proofErr w:type="spellEnd"/>
      <w:r>
        <w:t xml:space="preserve"> (</w:t>
      </w:r>
      <w:proofErr w:type="spellStart"/>
      <w:r>
        <w:t>2016</w:t>
      </w:r>
      <w:r w:rsidR="00EA471B">
        <w:t>c</w:t>
      </w:r>
      <w:proofErr w:type="spellEnd"/>
      <w:r>
        <w:t xml:space="preserve">) claimed that the </w:t>
      </w:r>
      <w:proofErr w:type="spellStart"/>
      <w:r>
        <w:t>TPP</w:t>
      </w:r>
      <w:proofErr w:type="spellEnd"/>
      <w:r>
        <w:t xml:space="preserve"> self</w:t>
      </w:r>
      <w:r w:rsidR="00FE23A3">
        <w:noBreakHyphen/>
      </w:r>
      <w:r>
        <w:t xml:space="preserve">declaration regime was unclear about acceptable ‘safe harbours’ of documentary evidence to support the claim of PTA compliance. </w:t>
      </w:r>
    </w:p>
    <w:p w14:paraId="13084F6C" w14:textId="77777777" w:rsidR="00074475" w:rsidRDefault="00074475" w:rsidP="00074475">
      <w:pPr>
        <w:pStyle w:val="Quote"/>
      </w:pPr>
      <w:r>
        <w:t>To date we have not been able to establish what will be legally defensible set of documents that can be exchanged between exporters and importers in order to satisfy the Customs agency (or legal appeal) in making a claim for preference.</w:t>
      </w:r>
      <w:r w:rsidR="00286CC2">
        <w:t xml:space="preserve"> (</w:t>
      </w:r>
      <w:r w:rsidR="00EA471B">
        <w:t>p. 13</w:t>
      </w:r>
      <w:r w:rsidR="00286CC2">
        <w:t>)</w:t>
      </w:r>
    </w:p>
    <w:p w14:paraId="40DB8F7E" w14:textId="77777777" w:rsidR="00074475" w:rsidRDefault="00074475" w:rsidP="00074475">
      <w:pPr>
        <w:pStyle w:val="BodyText"/>
      </w:pPr>
      <w:proofErr w:type="spellStart"/>
      <w:r>
        <w:t>ACCI</w:t>
      </w:r>
      <w:proofErr w:type="spellEnd"/>
      <w:r>
        <w:t xml:space="preserve"> (</w:t>
      </w:r>
      <w:proofErr w:type="spellStart"/>
      <w:r>
        <w:t>2016</w:t>
      </w:r>
      <w:r w:rsidR="00201115">
        <w:t>c</w:t>
      </w:r>
      <w:proofErr w:type="spellEnd"/>
      <w:r>
        <w:t>) recommended generally</w:t>
      </w:r>
    </w:p>
    <w:p w14:paraId="421CA386" w14:textId="319C50EB" w:rsidR="00074475" w:rsidRDefault="00074475" w:rsidP="00074475">
      <w:pPr>
        <w:pStyle w:val="Quote"/>
      </w:pPr>
      <w:r>
        <w:t>In the absence of a legally defensible third party certified system to support claims for preference, product origin claims should be abandoned all together.</w:t>
      </w:r>
      <w:r w:rsidR="00F76972">
        <w:t xml:space="preserve"> (p.</w:t>
      </w:r>
      <w:r w:rsidR="00FE23A3">
        <w:t> </w:t>
      </w:r>
      <w:r w:rsidR="00F76972">
        <w:t>13)</w:t>
      </w:r>
    </w:p>
    <w:p w14:paraId="4D42107A" w14:textId="535E39E9" w:rsidR="001C17D4" w:rsidRDefault="001C17D4" w:rsidP="00074475">
      <w:pPr>
        <w:pStyle w:val="BodyText"/>
      </w:pPr>
      <w:r>
        <w:t>On the other hand, importer self</w:t>
      </w:r>
      <w:r w:rsidR="00FE23A3">
        <w:noBreakHyphen/>
      </w:r>
      <w:r>
        <w:t xml:space="preserve">certification (and on the spot correction) may </w:t>
      </w:r>
      <w:r w:rsidR="007E622B">
        <w:t>expedite</w:t>
      </w:r>
      <w:r>
        <w:t xml:space="preserve"> the clearing</w:t>
      </w:r>
      <w:r w:rsidR="00FE23A3">
        <w:noBreakHyphen/>
      </w:r>
      <w:r>
        <w:t>up of paperwork queries.</w:t>
      </w:r>
    </w:p>
    <w:p w14:paraId="5FBA21D8" w14:textId="70A2BFBD" w:rsidR="00074475" w:rsidRDefault="00074475" w:rsidP="00074475">
      <w:pPr>
        <w:pStyle w:val="BodyText"/>
      </w:pPr>
      <w:r>
        <w:t xml:space="preserve">The ‘optimal’ proof of origin regime is </w:t>
      </w:r>
      <w:r w:rsidR="001C17D4">
        <w:t xml:space="preserve">thus </w:t>
      </w:r>
      <w:r>
        <w:t xml:space="preserve">far from clear. The key note speech of the </w:t>
      </w:r>
      <w:proofErr w:type="spellStart"/>
      <w:r>
        <w:t>WCO</w:t>
      </w:r>
      <w:proofErr w:type="spellEnd"/>
      <w:r>
        <w:t xml:space="preserve"> Origin Conference (</w:t>
      </w:r>
      <w:proofErr w:type="spellStart"/>
      <w:r>
        <w:t>Eastevadeordal</w:t>
      </w:r>
      <w:proofErr w:type="spellEnd"/>
      <w:r>
        <w:t xml:space="preserve"> 2014) summed </w:t>
      </w:r>
      <w:r w:rsidR="00733282">
        <w:t xml:space="preserve">the issue </w:t>
      </w:r>
      <w:r>
        <w:t>as follows:</w:t>
      </w:r>
    </w:p>
    <w:p w14:paraId="02B15754" w14:textId="0E86D903" w:rsidR="00074475" w:rsidRDefault="00074475" w:rsidP="00074475">
      <w:pPr>
        <w:pStyle w:val="Quote"/>
      </w:pPr>
      <w:r>
        <w:t xml:space="preserve">There is practically no research on questions related to administration of </w:t>
      </w:r>
      <w:proofErr w:type="spellStart"/>
      <w:r>
        <w:t>RoO</w:t>
      </w:r>
      <w:proofErr w:type="spellEnd"/>
      <w:r>
        <w:t>, which are essential to the functioning of trade agreements, from transparency, to border controls, to ex</w:t>
      </w:r>
      <w:r w:rsidR="00FE23A3">
        <w:noBreakHyphen/>
      </w:r>
      <w:r>
        <w:t>post verification. Does 3</w:t>
      </w:r>
      <w:r w:rsidRPr="00AD0EB4">
        <w:rPr>
          <w:vertAlign w:val="superscript"/>
        </w:rPr>
        <w:t>rd</w:t>
      </w:r>
      <w:r>
        <w:t xml:space="preserve"> party certification help or hinder trade? Is self</w:t>
      </w:r>
      <w:r w:rsidR="00FE23A3">
        <w:noBreakHyphen/>
      </w:r>
      <w:r>
        <w:t>certification more prone to fraud? Does fear of origin liability depress utilization? Does more frequent ex</w:t>
      </w:r>
      <w:r w:rsidR="00FE23A3">
        <w:noBreakHyphen/>
      </w:r>
      <w:r>
        <w:t>post verification improve compliance or supress utilization?</w:t>
      </w:r>
    </w:p>
    <w:p w14:paraId="686FEEA8" w14:textId="69482C9E" w:rsidR="00074475" w:rsidRPr="00732ACB" w:rsidRDefault="00074475" w:rsidP="00074475">
      <w:pPr>
        <w:pStyle w:val="BodyText"/>
      </w:pPr>
      <w:r>
        <w:t xml:space="preserve">The </w:t>
      </w:r>
      <w:proofErr w:type="spellStart"/>
      <w:r>
        <w:t>WCO</w:t>
      </w:r>
      <w:proofErr w:type="spellEnd"/>
      <w:r>
        <w:t xml:space="preserve"> (non</w:t>
      </w:r>
      <w:r w:rsidR="00FE23A3">
        <w:noBreakHyphen/>
      </w:r>
      <w:r>
        <w:t>binding) Guidelines on certification of origin encourages, in the first instance, the use of self</w:t>
      </w:r>
      <w:r w:rsidR="00FE23A3">
        <w:noBreakHyphen/>
      </w:r>
      <w:r>
        <w:t>certification</w:t>
      </w:r>
      <w:r w:rsidR="00775172">
        <w:t>:</w:t>
      </w:r>
      <w:r>
        <w:t xml:space="preserve"> </w:t>
      </w:r>
    </w:p>
    <w:p w14:paraId="29238544" w14:textId="5112DB9B" w:rsidR="00074475" w:rsidRPr="00E96530" w:rsidRDefault="00074475" w:rsidP="00074475">
      <w:pPr>
        <w:pStyle w:val="Quote"/>
      </w:pPr>
      <w:r w:rsidRPr="00732ACB">
        <w:t>Considering the increasing volume of preferential trade and recognizing the need for the facilitation of origin</w:t>
      </w:r>
      <w:r w:rsidR="00FE23A3">
        <w:noBreakHyphen/>
      </w:r>
      <w:r w:rsidRPr="00732ACB">
        <w:t>related procedures, self</w:t>
      </w:r>
      <w:r w:rsidR="00FE23A3">
        <w:noBreakHyphen/>
      </w:r>
      <w:r w:rsidRPr="00732ACB">
        <w:t>certification of origin by a producer, manufacturer, exporter and/or importer shall be utilized to the maximum extent possible while recognizing the specifics of domestic business environment.</w:t>
      </w:r>
      <w:r>
        <w:t xml:space="preserve"> (</w:t>
      </w:r>
      <w:proofErr w:type="spellStart"/>
      <w:r w:rsidR="00EA471B">
        <w:t>Azzam</w:t>
      </w:r>
      <w:proofErr w:type="spellEnd"/>
      <w:r w:rsidR="00EA471B">
        <w:t> 2015</w:t>
      </w:r>
      <w:r>
        <w:t>)</w:t>
      </w:r>
    </w:p>
    <w:p w14:paraId="52BC5134" w14:textId="44089D0A" w:rsidR="00074475" w:rsidRDefault="00074475" w:rsidP="00074475">
      <w:pPr>
        <w:pStyle w:val="BodyText"/>
      </w:pPr>
      <w:r>
        <w:lastRenderedPageBreak/>
        <w:t>ASEAN and EU have piloted self</w:t>
      </w:r>
      <w:r w:rsidR="00FE23A3">
        <w:noBreakHyphen/>
      </w:r>
      <w:r>
        <w:t>declaration systems involving accredited and registered exporters (</w:t>
      </w:r>
      <w:proofErr w:type="spellStart"/>
      <w:r>
        <w:t>WCO</w:t>
      </w:r>
      <w:proofErr w:type="spellEnd"/>
      <w:r w:rsidR="00EA471B">
        <w:t> 2014</w:t>
      </w:r>
      <w:r>
        <w:t xml:space="preserve">), while </w:t>
      </w:r>
      <w:proofErr w:type="spellStart"/>
      <w:r>
        <w:t>Medalla</w:t>
      </w:r>
      <w:proofErr w:type="spellEnd"/>
      <w:r>
        <w:t xml:space="preserve"> (2015) has suggested a hybrid system for the </w:t>
      </w:r>
      <w:proofErr w:type="spellStart"/>
      <w:r>
        <w:t>RCEP</w:t>
      </w:r>
      <w:proofErr w:type="spellEnd"/>
      <w:r>
        <w:t xml:space="preserve"> involving large firms that have a known reputation being able to engage in self</w:t>
      </w:r>
      <w:r w:rsidR="00FE23A3">
        <w:noBreakHyphen/>
      </w:r>
      <w:r>
        <w:t xml:space="preserve">certification, while smaller firms benefit from third party certification. </w:t>
      </w:r>
    </w:p>
    <w:p w14:paraId="1D840704" w14:textId="679824AE" w:rsidR="00074475" w:rsidRDefault="007E622B" w:rsidP="00074475">
      <w:pPr>
        <w:pStyle w:val="BodyText"/>
      </w:pPr>
      <w:r>
        <w:t>The relative advantages and disadvantages of the different approaches should become clearer</w:t>
      </w:r>
      <w:r w:rsidR="00291D05">
        <w:t xml:space="preserve"> </w:t>
      </w:r>
      <w:r>
        <w:t xml:space="preserve">with growing </w:t>
      </w:r>
      <w:r w:rsidR="00291D05">
        <w:t>experience with different proof</w:t>
      </w:r>
      <w:r w:rsidR="00FE23A3">
        <w:noBreakHyphen/>
      </w:r>
      <w:r w:rsidR="00291D05">
        <w:t>of</w:t>
      </w:r>
      <w:r w:rsidR="00FE23A3">
        <w:noBreakHyphen/>
      </w:r>
      <w:r w:rsidR="00291D05">
        <w:t xml:space="preserve">origin approaches in Australia’s PTAs. </w:t>
      </w:r>
      <w:r>
        <w:t>It is important</w:t>
      </w:r>
      <w:r w:rsidR="00291D05">
        <w:t xml:space="preserve"> that import</w:t>
      </w:r>
      <w:r w:rsidR="00AF1625">
        <w:t>er</w:t>
      </w:r>
      <w:r w:rsidR="00291D05">
        <w:t xml:space="preserve">s/exporters are cognisant of the verification environment they face and </w:t>
      </w:r>
      <w:r>
        <w:t xml:space="preserve">be provided with information that allows them to </w:t>
      </w:r>
      <w:r w:rsidR="00291D05">
        <w:t xml:space="preserve">approach </w:t>
      </w:r>
      <w:proofErr w:type="spellStart"/>
      <w:r w:rsidR="00291D05">
        <w:t>RoO</w:t>
      </w:r>
      <w:proofErr w:type="spellEnd"/>
      <w:r w:rsidR="00291D05">
        <w:t xml:space="preserve"> proof in the manner </w:t>
      </w:r>
      <w:r>
        <w:t>of their choice</w:t>
      </w:r>
      <w:r w:rsidR="00291D05">
        <w:t xml:space="preserve">. </w:t>
      </w:r>
      <w:r w:rsidR="00074475">
        <w:t xml:space="preserve">In sum, the compliance costs of </w:t>
      </w:r>
      <w:proofErr w:type="spellStart"/>
      <w:r w:rsidR="00074475">
        <w:t>RoO</w:t>
      </w:r>
      <w:proofErr w:type="spellEnd"/>
      <w:r w:rsidR="00074475">
        <w:t xml:space="preserve"> may be far more significant than previously assessed, and preference usage lower, once proof of origin complications, and jurisdictional differences, are taken into account. </w:t>
      </w:r>
    </w:p>
    <w:p w14:paraId="6D0DF719" w14:textId="77777777" w:rsidR="000374E6" w:rsidRDefault="00BB012D" w:rsidP="007F195E">
      <w:pPr>
        <w:pStyle w:val="Heading2"/>
      </w:pPr>
      <w:r>
        <w:t>5</w:t>
      </w:r>
      <w:r w:rsidR="007F195E">
        <w:tab/>
      </w:r>
      <w:r w:rsidR="000374E6">
        <w:t xml:space="preserve">What can be done to improve </w:t>
      </w:r>
      <w:proofErr w:type="spellStart"/>
      <w:r w:rsidR="000374E6">
        <w:t>RoO</w:t>
      </w:r>
      <w:proofErr w:type="spellEnd"/>
      <w:r w:rsidR="000374E6">
        <w:t xml:space="preserve"> to make PTAs work better?</w:t>
      </w:r>
    </w:p>
    <w:p w14:paraId="4BCD6155" w14:textId="03F4327F" w:rsidR="000374E6" w:rsidRPr="008F4873" w:rsidRDefault="000374E6" w:rsidP="000374E6">
      <w:pPr>
        <w:pStyle w:val="BodyText"/>
      </w:pPr>
      <w:r>
        <w:t>This paper has explained how the complex</w:t>
      </w:r>
      <w:r w:rsidR="00A9670B">
        <w:t xml:space="preserve"> system of </w:t>
      </w:r>
      <w:proofErr w:type="spellStart"/>
      <w:r w:rsidR="00A9670B">
        <w:t>RoO</w:t>
      </w:r>
      <w:proofErr w:type="spellEnd"/>
      <w:r>
        <w:t xml:space="preserve"> can limit, and appears to be limiting, the success of Australia’s PTAs in delivering net benefits to Australians. It has illustrated that the differences between </w:t>
      </w:r>
      <w:proofErr w:type="spellStart"/>
      <w:r>
        <w:t>RoO</w:t>
      </w:r>
      <w:proofErr w:type="spellEnd"/>
      <w:r>
        <w:t xml:space="preserve"> across the PTAs and the overlapping nature of </w:t>
      </w:r>
      <w:proofErr w:type="spellStart"/>
      <w:r w:rsidRPr="008F4873">
        <w:t>RoO</w:t>
      </w:r>
      <w:proofErr w:type="spellEnd"/>
      <w:r w:rsidRPr="008F4873">
        <w:t xml:space="preserve"> can restrict trade and </w:t>
      </w:r>
      <w:r>
        <w:t>that</w:t>
      </w:r>
      <w:r w:rsidR="00A9670B">
        <w:t xml:space="preserve"> less stringent </w:t>
      </w:r>
      <w:proofErr w:type="spellStart"/>
      <w:r w:rsidR="00A9670B">
        <w:t>RoO</w:t>
      </w:r>
      <w:proofErr w:type="spellEnd"/>
      <w:r w:rsidRPr="008F4873">
        <w:t xml:space="preserve"> are to be preferred. </w:t>
      </w:r>
      <w:r>
        <w:t>The complexi</w:t>
      </w:r>
      <w:r w:rsidR="00A9670B">
        <w:t xml:space="preserve">ty of the different sets of </w:t>
      </w:r>
      <w:proofErr w:type="spellStart"/>
      <w:r w:rsidR="00A9670B">
        <w:t>RoO</w:t>
      </w:r>
      <w:proofErr w:type="spellEnd"/>
      <w:r>
        <w:t xml:space="preserve"> and the way that they are administered adds to</w:t>
      </w:r>
      <w:r w:rsidRPr="008F4873">
        <w:t xml:space="preserve"> compliance costs</w:t>
      </w:r>
      <w:r>
        <w:t xml:space="preserve">. </w:t>
      </w:r>
      <w:proofErr w:type="spellStart"/>
      <w:r w:rsidR="00E32139">
        <w:t>RoO</w:t>
      </w:r>
      <w:proofErr w:type="spellEnd"/>
      <w:r>
        <w:t xml:space="preserve"> also opens up avenues for ‘at’ and ‘behind the border’ type actions that can increase costs and uncertainty about access to the preferences offered in PTAs. The extent to which such activities occur is difficult to assess, but in an increasingly protectionist world, the risk is that their use will expand. </w:t>
      </w:r>
    </w:p>
    <w:p w14:paraId="211BDF69" w14:textId="77777777" w:rsidR="000374E6" w:rsidRDefault="000374E6" w:rsidP="000374E6">
      <w:pPr>
        <w:pStyle w:val="Heading3"/>
      </w:pPr>
      <w:r>
        <w:t>The first best solution is unilateral liberalisation</w:t>
      </w:r>
      <w:r w:rsidR="00E43798">
        <w:t xml:space="preserve"> of Australia’s MFN tariffs</w:t>
      </w:r>
    </w:p>
    <w:p w14:paraId="45567757" w14:textId="7CE066B2" w:rsidR="000374E6" w:rsidRDefault="000374E6" w:rsidP="000374E6">
      <w:pPr>
        <w:pStyle w:val="BodyText"/>
      </w:pPr>
      <w:r>
        <w:t>The Commission has long argued that unilateral liberalisation of trade is in the best interests of the economy (</w:t>
      </w:r>
      <w:r w:rsidR="00775172">
        <w:t>PC 2010)</w:t>
      </w:r>
      <w:r>
        <w:t xml:space="preserve">. Unilateral action delivers benefits on the import side, in reduced costs for consumers, and for firms, including exporters, that use imported inputs. It can drive competition, which over time improves the performance of import competing firms. </w:t>
      </w:r>
      <w:r w:rsidR="00F73C6C">
        <w:t>F</w:t>
      </w:r>
      <w:r>
        <w:t xml:space="preserve">or Australia, with half of the product lines with an MFN tariff of zero, and other tariffs 5 per cent or less, </w:t>
      </w:r>
      <w:r w:rsidR="00FA1523">
        <w:t xml:space="preserve">phasing out the remaining </w:t>
      </w:r>
      <w:r w:rsidR="007D07FC">
        <w:t>low</w:t>
      </w:r>
      <w:r w:rsidR="00FA1523">
        <w:t xml:space="preserve"> tariffs would </w:t>
      </w:r>
      <w:r w:rsidR="00DF1808">
        <w:t xml:space="preserve">remove all the costs related to </w:t>
      </w:r>
      <w:proofErr w:type="spellStart"/>
      <w:r w:rsidR="00DF1808">
        <w:t>RoO</w:t>
      </w:r>
      <w:proofErr w:type="spellEnd"/>
      <w:r w:rsidR="00DF1808">
        <w:t xml:space="preserve">. The direct </w:t>
      </w:r>
      <w:r>
        <w:t xml:space="preserve">further gains from tariff reductions </w:t>
      </w:r>
      <w:r w:rsidR="00DF1808">
        <w:t xml:space="preserve">will be </w:t>
      </w:r>
      <w:r>
        <w:t>small</w:t>
      </w:r>
      <w:r w:rsidR="00DF1808">
        <w:t xml:space="preserve"> but </w:t>
      </w:r>
      <w:r w:rsidR="00B165BE">
        <w:t xml:space="preserve">the protection they offer to industries is </w:t>
      </w:r>
      <w:r w:rsidR="00001155">
        <w:t xml:space="preserve">also </w:t>
      </w:r>
      <w:r w:rsidR="00B165BE">
        <w:t xml:space="preserve">negligible and </w:t>
      </w:r>
      <w:r w:rsidR="00D835FD">
        <w:t>there are no economic reasons or strong political reasons for keeping them</w:t>
      </w:r>
      <w:r>
        <w:t>.</w:t>
      </w:r>
      <w:r>
        <w:rPr>
          <w:rStyle w:val="FootnoteReference"/>
        </w:rPr>
        <w:footnoteReference w:id="11"/>
      </w:r>
      <w:r>
        <w:t xml:space="preserve"> </w:t>
      </w:r>
      <w:r w:rsidR="000D0F91">
        <w:t>I</w:t>
      </w:r>
      <w:r>
        <w:t xml:space="preserve">f importers are not required to demonstrate </w:t>
      </w:r>
      <w:r>
        <w:lastRenderedPageBreak/>
        <w:t xml:space="preserve">that they meet the </w:t>
      </w:r>
      <w:proofErr w:type="spellStart"/>
      <w:r>
        <w:t>RoO</w:t>
      </w:r>
      <w:proofErr w:type="spellEnd"/>
      <w:r>
        <w:t xml:space="preserve"> to get a preference</w:t>
      </w:r>
      <w:r w:rsidR="00B0417B">
        <w:t>,</w:t>
      </w:r>
      <w:r>
        <w:t xml:space="preserve"> their costs can only be lower. Such gains, while likely to be small, will flow through to the Australian economy, and in today’s environment every little bit helps.</w:t>
      </w:r>
    </w:p>
    <w:p w14:paraId="212D274A" w14:textId="5B4F9C01" w:rsidR="000374E6" w:rsidRDefault="000374E6" w:rsidP="000374E6">
      <w:pPr>
        <w:pStyle w:val="BodyText"/>
      </w:pPr>
      <w:r>
        <w:t xml:space="preserve">Unilateral action does not resolve the problem of </w:t>
      </w:r>
      <w:proofErr w:type="spellStart"/>
      <w:r>
        <w:t>RoO</w:t>
      </w:r>
      <w:proofErr w:type="spellEnd"/>
      <w:r>
        <w:t xml:space="preserve"> facing Australian exporters. And some may argue that it gives away negotiating coin to leverage preferences for exporters in future agreement partner markets.</w:t>
      </w:r>
      <w:r w:rsidR="0078515C">
        <w:t xml:space="preserve"> But the negotiating coin argument has been comprehensively debunked (PC</w:t>
      </w:r>
      <w:r w:rsidR="00775172">
        <w:t> </w:t>
      </w:r>
      <w:r w:rsidR="0078515C">
        <w:t>2010)</w:t>
      </w:r>
      <w:r w:rsidR="00775172">
        <w:t xml:space="preserve">, and </w:t>
      </w:r>
      <w:r w:rsidR="00D373B6">
        <w:t>reciprocity is not a sustainable argument for welfare</w:t>
      </w:r>
      <w:r w:rsidR="00FE23A3">
        <w:noBreakHyphen/>
      </w:r>
      <w:r w:rsidR="00D373B6">
        <w:t xml:space="preserve">reducing policies. Moreover, </w:t>
      </w:r>
      <w:r w:rsidR="00775172">
        <w:t xml:space="preserve">the dynamic effects of </w:t>
      </w:r>
      <w:r w:rsidR="007D1B97">
        <w:t xml:space="preserve">open markets </w:t>
      </w:r>
      <w:r w:rsidR="00775172">
        <w:t>offer long</w:t>
      </w:r>
      <w:r w:rsidR="00FE23A3">
        <w:noBreakHyphen/>
      </w:r>
      <w:r w:rsidR="00775172">
        <w:t>run benefits</w:t>
      </w:r>
      <w:r w:rsidR="007D1B97">
        <w:t xml:space="preserve"> through greater competition and improved access to ideas and capital</w:t>
      </w:r>
      <w:r w:rsidR="0078515C">
        <w:t>.</w:t>
      </w:r>
    </w:p>
    <w:p w14:paraId="5C48FDD3" w14:textId="1CC895DF" w:rsidR="000374E6" w:rsidRDefault="000374E6" w:rsidP="000374E6">
      <w:pPr>
        <w:pStyle w:val="BodyText"/>
      </w:pPr>
      <w:r>
        <w:t>Given there is some doubt over the size of the trade and economy</w:t>
      </w:r>
      <w:r w:rsidR="00FE23A3">
        <w:noBreakHyphen/>
      </w:r>
      <w:r>
        <w:t>wide benefits of PTAs, more PTAs may not be an improvement (PC 2010; Armstrong 20</w:t>
      </w:r>
      <w:r w:rsidR="00775172">
        <w:t>15</w:t>
      </w:r>
      <w:r>
        <w:t xml:space="preserve">). </w:t>
      </w:r>
      <w:r w:rsidR="00A46825">
        <w:t xml:space="preserve">They are even less likely to be so if they add to the </w:t>
      </w:r>
      <w:r w:rsidR="00E10CE0">
        <w:t xml:space="preserve">tangles in the </w:t>
      </w:r>
      <w:r w:rsidR="00A46825">
        <w:t>noodle</w:t>
      </w:r>
      <w:r w:rsidR="00FE23A3">
        <w:noBreakHyphen/>
      </w:r>
      <w:r w:rsidR="00A46825">
        <w:t xml:space="preserve">bowl. </w:t>
      </w:r>
      <w:r>
        <w:t xml:space="preserve">Moreover, the focus on the remaining tariffs and the </w:t>
      </w:r>
      <w:proofErr w:type="spellStart"/>
      <w:r>
        <w:t>RoO</w:t>
      </w:r>
      <w:proofErr w:type="spellEnd"/>
      <w:r>
        <w:t xml:space="preserve"> required for preference access </w:t>
      </w:r>
      <w:r w:rsidR="00A46825">
        <w:t xml:space="preserve">must be </w:t>
      </w:r>
      <w:r>
        <w:t>absorb</w:t>
      </w:r>
      <w:r w:rsidR="00A46825">
        <w:t>ing</w:t>
      </w:r>
      <w:r>
        <w:t xml:space="preserve"> </w:t>
      </w:r>
      <w:proofErr w:type="spellStart"/>
      <w:r>
        <w:t>DFAT</w:t>
      </w:r>
      <w:proofErr w:type="spellEnd"/>
      <w:r>
        <w:t xml:space="preserve"> resources</w:t>
      </w:r>
      <w:r w:rsidR="002C0A23">
        <w:t>,</w:t>
      </w:r>
      <w:r>
        <w:t xml:space="preserve"> which may be better used in developing the trade facilitation actions in PTAs than designing </w:t>
      </w:r>
      <w:proofErr w:type="spellStart"/>
      <w:r>
        <w:t>RoO</w:t>
      </w:r>
      <w:proofErr w:type="spellEnd"/>
      <w:r>
        <w:t xml:space="preserve">. </w:t>
      </w:r>
      <w:proofErr w:type="spellStart"/>
      <w:r>
        <w:t>RoO</w:t>
      </w:r>
      <w:proofErr w:type="spellEnd"/>
      <w:r>
        <w:t xml:space="preserve"> are about </w:t>
      </w:r>
      <w:r w:rsidR="008B37DD">
        <w:t xml:space="preserve">restricting </w:t>
      </w:r>
      <w:r>
        <w:t>trade while trade facilitation is about smoothing the path for exporters (and importers) through reducing red tape, improving mutual recognition of certification and standards, and addressing at and behind the border barriers to trade. Where PTAs achieve these kinds of results they have positive impacts on trade.</w:t>
      </w:r>
    </w:p>
    <w:p w14:paraId="773E6D7A" w14:textId="47647B29" w:rsidR="000374E6" w:rsidRDefault="000374E6" w:rsidP="000374E6">
      <w:pPr>
        <w:pStyle w:val="Heading3"/>
      </w:pPr>
      <w:r>
        <w:t xml:space="preserve">Port of origin </w:t>
      </w:r>
      <w:r w:rsidR="00E32139">
        <w:t xml:space="preserve">identification </w:t>
      </w:r>
      <w:r>
        <w:t xml:space="preserve">should be sufficient to demonstrate </w:t>
      </w:r>
      <w:proofErr w:type="spellStart"/>
      <w:r w:rsidR="0078515C">
        <w:t>RoO</w:t>
      </w:r>
      <w:proofErr w:type="spellEnd"/>
      <w:r w:rsidR="0078515C">
        <w:t xml:space="preserve"> </w:t>
      </w:r>
      <w:r>
        <w:t>compliance</w:t>
      </w:r>
    </w:p>
    <w:p w14:paraId="30FADBC1" w14:textId="24EAC357" w:rsidR="000374E6" w:rsidRDefault="000374E6" w:rsidP="000374E6">
      <w:pPr>
        <w:pStyle w:val="BodyText"/>
      </w:pPr>
      <w:r>
        <w:t xml:space="preserve">The scope for transhipment </w:t>
      </w:r>
      <w:r w:rsidRPr="007E622B">
        <w:t xml:space="preserve">through </w:t>
      </w:r>
      <w:r>
        <w:t xml:space="preserve">Australia is very limited. Given </w:t>
      </w:r>
      <w:r w:rsidR="00E32139">
        <w:t xml:space="preserve">Australia’s </w:t>
      </w:r>
      <w:r>
        <w:t>geographic location</w:t>
      </w:r>
      <w:r w:rsidR="00E32139">
        <w:t xml:space="preserve"> and international shipping routes</w:t>
      </w:r>
      <w:r>
        <w:t>, the likelihood that a non</w:t>
      </w:r>
      <w:r w:rsidR="00FE23A3">
        <w:noBreakHyphen/>
      </w:r>
      <w:r>
        <w:t xml:space="preserve">party country exporter would take this route to access a preference in a country with which Australia has a PTA must be close to zero. This means the current </w:t>
      </w:r>
      <w:r w:rsidR="00F31027">
        <w:t>proof</w:t>
      </w:r>
      <w:r w:rsidR="00FE23A3">
        <w:noBreakHyphen/>
      </w:r>
      <w:r w:rsidR="00F31027">
        <w:t>o</w:t>
      </w:r>
      <w:r w:rsidR="007E622B">
        <w:t>f</w:t>
      </w:r>
      <w:r w:rsidR="00FE23A3">
        <w:noBreakHyphen/>
      </w:r>
      <w:r w:rsidR="00F31027">
        <w:t xml:space="preserve">origin </w:t>
      </w:r>
      <w:r>
        <w:t>system</w:t>
      </w:r>
      <w:r w:rsidR="00F31027">
        <w:t>s</w:t>
      </w:r>
      <w:r>
        <w:t>, whether self</w:t>
      </w:r>
      <w:r w:rsidR="00FE23A3">
        <w:noBreakHyphen/>
      </w:r>
      <w:r w:rsidR="00F31027">
        <w:t xml:space="preserve">declaration </w:t>
      </w:r>
      <w:r>
        <w:t xml:space="preserve">or the </w:t>
      </w:r>
      <w:proofErr w:type="spellStart"/>
      <w:r>
        <w:t>ACCI</w:t>
      </w:r>
      <w:proofErr w:type="spellEnd"/>
      <w:r>
        <w:t xml:space="preserve"> and </w:t>
      </w:r>
      <w:proofErr w:type="spellStart"/>
      <w:r>
        <w:t>AiG</w:t>
      </w:r>
      <w:proofErr w:type="spellEnd"/>
      <w:r>
        <w:t xml:space="preserve"> </w:t>
      </w:r>
      <w:r w:rsidR="00F31027">
        <w:t xml:space="preserve">Certificate of Origin </w:t>
      </w:r>
      <w:r w:rsidR="007E622B">
        <w:t>system</w:t>
      </w:r>
      <w:r>
        <w:t xml:space="preserve">, is unnecessary red tape. PTA partner countries should be willing to accept the </w:t>
      </w:r>
      <w:r w:rsidR="0078515C">
        <w:t xml:space="preserve">Australian </w:t>
      </w:r>
      <w:r>
        <w:t xml:space="preserve">port of origin as sufficient to demonstrate origin and meet the </w:t>
      </w:r>
      <w:proofErr w:type="spellStart"/>
      <w:r>
        <w:t>RoO</w:t>
      </w:r>
      <w:proofErr w:type="spellEnd"/>
      <w:r>
        <w:t xml:space="preserve">. </w:t>
      </w:r>
      <w:r w:rsidR="00F31027">
        <w:t xml:space="preserve">Some of Australia’s PTA partners point to </w:t>
      </w:r>
      <w:r w:rsidR="00681A56">
        <w:t xml:space="preserve">opportunities for transhipment, such as </w:t>
      </w:r>
      <w:r w:rsidR="00F31027">
        <w:t>New Zealand dairy products</w:t>
      </w:r>
      <w:r w:rsidR="00681A56">
        <w:t xml:space="preserve"> and Brazilian meat claiming Australian preferences under agreements such as </w:t>
      </w:r>
      <w:proofErr w:type="spellStart"/>
      <w:r w:rsidR="00681A56">
        <w:t>ChAFTA</w:t>
      </w:r>
      <w:proofErr w:type="spellEnd"/>
      <w:r w:rsidR="00F31027">
        <w:t xml:space="preserve">. </w:t>
      </w:r>
      <w:r w:rsidR="007D1B97">
        <w:t>At worst, i</w:t>
      </w:r>
      <w:r w:rsidR="00F31027">
        <w:t xml:space="preserve">f Australia’s PTA partners have strong views on </w:t>
      </w:r>
      <w:r w:rsidR="007D1B97">
        <w:t>a possible transhipment opportunity</w:t>
      </w:r>
      <w:r w:rsidR="00F31027">
        <w:t xml:space="preserve">, then </w:t>
      </w:r>
      <w:proofErr w:type="spellStart"/>
      <w:r w:rsidR="00F31027">
        <w:t>RoO</w:t>
      </w:r>
      <w:proofErr w:type="spellEnd"/>
      <w:r w:rsidR="00F31027">
        <w:t xml:space="preserve"> could be negotiated just for th</w:t>
      </w:r>
      <w:r w:rsidR="007D1B97">
        <w:t>is</w:t>
      </w:r>
      <w:r w:rsidR="00F31027">
        <w:t xml:space="preserve"> small</w:t>
      </w:r>
      <w:r w:rsidR="00587813">
        <w:t>,</w:t>
      </w:r>
      <w:r w:rsidR="00F31027">
        <w:t xml:space="preserve"> </w:t>
      </w:r>
      <w:r w:rsidR="007D1B97">
        <w:t xml:space="preserve">select, </w:t>
      </w:r>
      <w:r w:rsidR="00F31027">
        <w:t xml:space="preserve">subset of </w:t>
      </w:r>
      <w:r w:rsidR="007D1B97">
        <w:t>products</w:t>
      </w:r>
      <w:r w:rsidR="00F31027">
        <w:t>, with Australia</w:t>
      </w:r>
      <w:r w:rsidR="00A00BEB">
        <w:t>n</w:t>
      </w:r>
      <w:r w:rsidR="00F31027">
        <w:t xml:space="preserve"> port</w:t>
      </w:r>
      <w:r w:rsidR="00FE23A3">
        <w:noBreakHyphen/>
      </w:r>
      <w:r w:rsidR="00F31027">
        <w:t>of</w:t>
      </w:r>
      <w:r w:rsidR="00FE23A3">
        <w:noBreakHyphen/>
      </w:r>
      <w:r w:rsidR="00F31027">
        <w:t>origin being the arrangement for the bulk of PTA trade.</w:t>
      </w:r>
    </w:p>
    <w:p w14:paraId="5168C863" w14:textId="4713F7D3" w:rsidR="000C117D" w:rsidRDefault="000374E6" w:rsidP="000374E6">
      <w:pPr>
        <w:pStyle w:val="BodyText"/>
      </w:pPr>
      <w:r>
        <w:t>For imports</w:t>
      </w:r>
      <w:r w:rsidR="00587813">
        <w:t xml:space="preserve"> </w:t>
      </w:r>
      <w:r w:rsidR="00E32139" w:rsidRPr="007E622B">
        <w:t>in</w:t>
      </w:r>
      <w:r w:rsidRPr="007E622B">
        <w:t>to</w:t>
      </w:r>
      <w:r>
        <w:t xml:space="preserve"> Australia under PTAs, </w:t>
      </w:r>
      <w:proofErr w:type="spellStart"/>
      <w:r w:rsidR="00587813">
        <w:t>RoO</w:t>
      </w:r>
      <w:proofErr w:type="spellEnd"/>
      <w:r w:rsidR="00587813">
        <w:t xml:space="preserve"> a</w:t>
      </w:r>
      <w:r w:rsidR="00A00BEB">
        <w:t xml:space="preserve">ct as </w:t>
      </w:r>
      <w:r w:rsidR="00587813">
        <w:t>an import barrier</w:t>
      </w:r>
      <w:r w:rsidR="00A00BEB">
        <w:t xml:space="preserve"> as they reduce the use of preferences</w:t>
      </w:r>
      <w:r w:rsidR="00587813">
        <w:t>, and a port</w:t>
      </w:r>
      <w:r w:rsidR="00FE23A3">
        <w:noBreakHyphen/>
      </w:r>
      <w:r w:rsidR="00587813">
        <w:t>of</w:t>
      </w:r>
      <w:r w:rsidR="00FE23A3">
        <w:noBreakHyphen/>
      </w:r>
      <w:r w:rsidR="00587813">
        <w:t>origin approach would help liberalise trade.</w:t>
      </w:r>
      <w:r w:rsidR="00563D1D">
        <w:rPr>
          <w:rStyle w:val="FootnoteReference"/>
        </w:rPr>
        <w:footnoteReference w:id="12"/>
      </w:r>
    </w:p>
    <w:p w14:paraId="22CD4D76" w14:textId="3A871BE5" w:rsidR="000374E6" w:rsidRDefault="000C117D" w:rsidP="000374E6">
      <w:pPr>
        <w:pStyle w:val="BodyText"/>
      </w:pPr>
      <w:r>
        <w:lastRenderedPageBreak/>
        <w:t>T</w:t>
      </w:r>
      <w:r w:rsidR="000374E6">
        <w:t xml:space="preserve">he Commission’s 2004 and 2010 recommendation that </w:t>
      </w:r>
      <w:proofErr w:type="spellStart"/>
      <w:r w:rsidR="000374E6">
        <w:t>RoO</w:t>
      </w:r>
      <w:proofErr w:type="spellEnd"/>
      <w:r w:rsidR="000374E6">
        <w:t xml:space="preserve"> be waved whenever the </w:t>
      </w:r>
      <w:r w:rsidR="00587813">
        <w:t xml:space="preserve">difference in tariffs </w:t>
      </w:r>
      <w:r w:rsidR="000374E6">
        <w:t xml:space="preserve">was less than 5 percentage points would effectively provide the same deal — a port of origin certification would suffice. </w:t>
      </w:r>
      <w:proofErr w:type="spellStart"/>
      <w:r w:rsidR="000374E6">
        <w:t>Medalla</w:t>
      </w:r>
      <w:proofErr w:type="spellEnd"/>
      <w:r w:rsidR="000374E6">
        <w:t xml:space="preserve"> (2015) has identified such a waiver for consideration for the </w:t>
      </w:r>
      <w:proofErr w:type="spellStart"/>
      <w:r w:rsidR="000374E6">
        <w:t>RCEP</w:t>
      </w:r>
      <w:proofErr w:type="spellEnd"/>
      <w:r w:rsidR="00981E85">
        <w:t>.</w:t>
      </w:r>
      <w:r w:rsidR="000374E6">
        <w:t xml:space="preserve"> </w:t>
      </w:r>
    </w:p>
    <w:p w14:paraId="3921733F" w14:textId="77777777" w:rsidR="000374E6" w:rsidRDefault="000374E6" w:rsidP="000374E6">
      <w:pPr>
        <w:pStyle w:val="BodyText"/>
      </w:pPr>
      <w:r>
        <w:t xml:space="preserve">A shift to port of origin as sufficient certification by all PTA partners should effectively eliminate the opportunity to use </w:t>
      </w:r>
      <w:proofErr w:type="spellStart"/>
      <w:r>
        <w:t>RoO</w:t>
      </w:r>
      <w:proofErr w:type="spellEnd"/>
      <w:r>
        <w:t xml:space="preserve"> compliance tests as an at the border barrier. </w:t>
      </w:r>
    </w:p>
    <w:p w14:paraId="534F0763" w14:textId="77777777" w:rsidR="000374E6" w:rsidRDefault="000374E6" w:rsidP="000374E6">
      <w:pPr>
        <w:pStyle w:val="Heading3"/>
      </w:pPr>
      <w:r>
        <w:t xml:space="preserve">Regional agreements offer an opportunity to </w:t>
      </w:r>
      <w:r w:rsidR="0078515C">
        <w:t xml:space="preserve">reduce </w:t>
      </w:r>
      <w:proofErr w:type="spellStart"/>
      <w:r w:rsidR="0078515C">
        <w:t>RoO</w:t>
      </w:r>
      <w:proofErr w:type="spellEnd"/>
    </w:p>
    <w:p w14:paraId="19DB3017" w14:textId="74A6A677" w:rsidR="000374E6" w:rsidRDefault="000374E6" w:rsidP="000374E6">
      <w:pPr>
        <w:pStyle w:val="BodyText"/>
      </w:pPr>
      <w:r>
        <w:t xml:space="preserve">Harmonising </w:t>
      </w:r>
      <w:proofErr w:type="spellStart"/>
      <w:r>
        <w:t>RoO</w:t>
      </w:r>
      <w:proofErr w:type="spellEnd"/>
      <w:r>
        <w:t xml:space="preserve"> across agreements </w:t>
      </w:r>
      <w:r w:rsidR="009D1F46">
        <w:t xml:space="preserve">for each product </w:t>
      </w:r>
      <w:r>
        <w:t xml:space="preserve">could substantially reduce the complexity for Australian firms. </w:t>
      </w:r>
      <w:r w:rsidR="00981E85">
        <w:t xml:space="preserve">Harmonisation would be needed on the transformation test and the proof of origin, but need not be on the preferential tariff schedule offered. </w:t>
      </w:r>
      <w:r>
        <w:t xml:space="preserve">However, harmonisation risks a rise in the restrictiveness for some products under some PTAs, so agreement to move to the least stringent of the set is needed. </w:t>
      </w:r>
    </w:p>
    <w:p w14:paraId="08D0B501" w14:textId="77777777" w:rsidR="000374E6" w:rsidRDefault="0078515C" w:rsidP="000374E6">
      <w:pPr>
        <w:pStyle w:val="BodyText"/>
      </w:pPr>
      <w:r>
        <w:t>Trade would be facilitated by consistent and clear</w:t>
      </w:r>
      <w:r w:rsidR="000374E6">
        <w:t xml:space="preserve"> proof verification, at the border and after cargo clearance</w:t>
      </w:r>
      <w:r>
        <w:t>. C</w:t>
      </w:r>
      <w:r w:rsidR="000374E6">
        <w:t xml:space="preserve">onsistency of the standardised Certificate with existing origin certificates used in the normal course of trade (such as for trade finance) </w:t>
      </w:r>
      <w:r>
        <w:t>would also reduce costs</w:t>
      </w:r>
      <w:r w:rsidR="000374E6">
        <w:t xml:space="preserve">. </w:t>
      </w:r>
    </w:p>
    <w:p w14:paraId="49BCA840" w14:textId="61D97E34" w:rsidR="000374E6" w:rsidRDefault="000374E6" w:rsidP="000374E6">
      <w:pPr>
        <w:pStyle w:val="BodyText"/>
      </w:pPr>
      <w:r>
        <w:t>Clearly, negotiating common approaches will require all or at least many PTA partner countries to be involved. Regional agreements should consider ‘wiping’ the preceding building</w:t>
      </w:r>
      <w:r w:rsidR="00FE23A3">
        <w:noBreakHyphen/>
      </w:r>
      <w:r>
        <w:t>block agreements/</w:t>
      </w:r>
      <w:proofErr w:type="spellStart"/>
      <w:r>
        <w:t>RoO</w:t>
      </w:r>
      <w:proofErr w:type="spellEnd"/>
      <w:r>
        <w:t xml:space="preserve">. The </w:t>
      </w:r>
      <w:proofErr w:type="spellStart"/>
      <w:r>
        <w:t>TPP</w:t>
      </w:r>
      <w:proofErr w:type="spellEnd"/>
      <w:r>
        <w:t xml:space="preserve"> did not </w:t>
      </w:r>
      <w:r w:rsidR="002C0A23">
        <w:t xml:space="preserve">take this approach. However, </w:t>
      </w:r>
      <w:r w:rsidR="000A3835">
        <w:t xml:space="preserve">the Regional Comprehensive </w:t>
      </w:r>
      <w:r w:rsidR="00B0417B">
        <w:t xml:space="preserve">Economic </w:t>
      </w:r>
      <w:r w:rsidR="000A3835">
        <w:t>Partnership (</w:t>
      </w:r>
      <w:proofErr w:type="spellStart"/>
      <w:r>
        <w:t>R</w:t>
      </w:r>
      <w:r w:rsidR="00B0417B">
        <w:t>CE</w:t>
      </w:r>
      <w:r>
        <w:t>P</w:t>
      </w:r>
      <w:proofErr w:type="spellEnd"/>
      <w:r w:rsidR="000A3835">
        <w:t xml:space="preserve">) has been cited as </w:t>
      </w:r>
      <w:r>
        <w:t>an opportunity to lead the way towards a more harmonised multi</w:t>
      </w:r>
      <w:r w:rsidR="00FE23A3">
        <w:noBreakHyphen/>
      </w:r>
      <w:r>
        <w:t>lateral trade liberalisation platform</w:t>
      </w:r>
      <w:r w:rsidR="000A3835">
        <w:t xml:space="preserve"> (</w:t>
      </w:r>
      <w:r w:rsidR="00981E85">
        <w:t>Armstrong 2017</w:t>
      </w:r>
      <w:r w:rsidR="00FF491B">
        <w:t>)</w:t>
      </w:r>
      <w:r>
        <w:t xml:space="preserve">. </w:t>
      </w:r>
      <w:proofErr w:type="spellStart"/>
      <w:r w:rsidR="009D1F46">
        <w:t>DFAT</w:t>
      </w:r>
      <w:proofErr w:type="spellEnd"/>
      <w:r w:rsidR="009D1F46">
        <w:t xml:space="preserve"> have indicated a desire to pursue </w:t>
      </w:r>
      <w:r w:rsidR="00B0417B">
        <w:t xml:space="preserve">trade facilitative </w:t>
      </w:r>
      <w:proofErr w:type="spellStart"/>
      <w:r w:rsidR="009D1F46">
        <w:t>RoO</w:t>
      </w:r>
      <w:proofErr w:type="spellEnd"/>
      <w:r w:rsidR="009D1F46">
        <w:t xml:space="preserve"> in </w:t>
      </w:r>
      <w:proofErr w:type="spellStart"/>
      <w:r w:rsidR="009D1F46">
        <w:t>R</w:t>
      </w:r>
      <w:r w:rsidR="00B0417B">
        <w:t>CE</w:t>
      </w:r>
      <w:r w:rsidR="009D1F46">
        <w:t>P</w:t>
      </w:r>
      <w:proofErr w:type="spellEnd"/>
      <w:r w:rsidR="009D1F46">
        <w:t xml:space="preserve">. This, </w:t>
      </w:r>
      <w:r w:rsidR="007977F7">
        <w:t xml:space="preserve">along with the </w:t>
      </w:r>
      <w:proofErr w:type="spellStart"/>
      <w:r w:rsidR="007977F7">
        <w:t>plurilateral</w:t>
      </w:r>
      <w:proofErr w:type="spellEnd"/>
      <w:r w:rsidR="007977F7">
        <w:t xml:space="preserve"> </w:t>
      </w:r>
      <w:proofErr w:type="spellStart"/>
      <w:r w:rsidR="007977F7">
        <w:t>cum</w:t>
      </w:r>
      <w:r w:rsidR="009D1F46">
        <w:t>ulation</w:t>
      </w:r>
      <w:proofErr w:type="spellEnd"/>
      <w:r w:rsidR="009D1F46">
        <w:t xml:space="preserve"> (recognising inputs from any of the partner countries as local content) and scope for countries to join over time, could make </w:t>
      </w:r>
      <w:proofErr w:type="spellStart"/>
      <w:r w:rsidR="009D1F46">
        <w:t>R</w:t>
      </w:r>
      <w:r w:rsidR="00B0417B">
        <w:t>CE</w:t>
      </w:r>
      <w:r w:rsidR="009D1F46">
        <w:t>P</w:t>
      </w:r>
      <w:proofErr w:type="spellEnd"/>
      <w:r w:rsidR="009D1F46">
        <w:t xml:space="preserve"> useful stepping stone to a more multilateral agreement.</w:t>
      </w:r>
    </w:p>
    <w:p w14:paraId="658F84A0" w14:textId="3FC0D0D5" w:rsidR="000374E6" w:rsidRDefault="000374E6" w:rsidP="000374E6">
      <w:pPr>
        <w:pStyle w:val="Heading3"/>
      </w:pPr>
      <w:r>
        <w:t xml:space="preserve">PTAs without </w:t>
      </w:r>
      <w:proofErr w:type="spellStart"/>
      <w:r>
        <w:t>RoO</w:t>
      </w:r>
      <w:proofErr w:type="spellEnd"/>
      <w:r>
        <w:t xml:space="preserve"> </w:t>
      </w:r>
      <w:r w:rsidR="00DD7045">
        <w:t>would help untangle the noodle bowl</w:t>
      </w:r>
    </w:p>
    <w:p w14:paraId="7BA14841" w14:textId="00A581B8" w:rsidR="001A08CF" w:rsidRDefault="000374E6" w:rsidP="008815FC">
      <w:pPr>
        <w:pStyle w:val="BodyText"/>
      </w:pPr>
      <w:r>
        <w:t xml:space="preserve">Most </w:t>
      </w:r>
      <w:proofErr w:type="spellStart"/>
      <w:r>
        <w:t>RoO</w:t>
      </w:r>
      <w:proofErr w:type="spellEnd"/>
      <w:r>
        <w:t xml:space="preserve"> are negotiated behind closed doors, and the reasons why they are as they are remain a mystery to many. Their impact can range from a minor inconvenience to a </w:t>
      </w:r>
      <w:r w:rsidR="00A959C9">
        <w:t xml:space="preserve">costly barrier that distorts </w:t>
      </w:r>
      <w:r>
        <w:t xml:space="preserve">trade. The types of reforms set out above could make a difference to the contribution PTAs make to improving multilateral liberalisation. In negotiating future PTAs, including regional agreements, those seeking to include </w:t>
      </w:r>
      <w:proofErr w:type="spellStart"/>
      <w:r>
        <w:t>RoO</w:t>
      </w:r>
      <w:proofErr w:type="spellEnd"/>
      <w:r>
        <w:t xml:space="preserve"> beyond port of origin </w:t>
      </w:r>
      <w:r w:rsidR="00563D1D">
        <w:t>identification</w:t>
      </w:r>
      <w:r>
        <w:t xml:space="preserve"> should have to demonstrate why this is </w:t>
      </w:r>
      <w:r w:rsidR="005D2285">
        <w:t xml:space="preserve">in </w:t>
      </w:r>
      <w:r>
        <w:t xml:space="preserve">the national interest, and this case be tested publicly. With this test only </w:t>
      </w:r>
      <w:proofErr w:type="spellStart"/>
      <w:r>
        <w:t>RoO</w:t>
      </w:r>
      <w:proofErr w:type="spellEnd"/>
      <w:r>
        <w:t xml:space="preserve"> that deliver net gains should be included in PTAs, and less stringent and more harmonised </w:t>
      </w:r>
      <w:proofErr w:type="spellStart"/>
      <w:r>
        <w:t>RoO</w:t>
      </w:r>
      <w:proofErr w:type="spellEnd"/>
      <w:r>
        <w:t xml:space="preserve"> should result. </w:t>
      </w:r>
      <w:r w:rsidR="001A08CF">
        <w:br w:type="page"/>
      </w:r>
    </w:p>
    <w:p w14:paraId="21654E19" w14:textId="34ECCDD6" w:rsidR="000374E6" w:rsidRDefault="00463F6D" w:rsidP="000374E6">
      <w:pPr>
        <w:pStyle w:val="BodyText"/>
      </w:pPr>
      <w:r>
        <w:lastRenderedPageBreak/>
        <w:t xml:space="preserve">The forward to </w:t>
      </w:r>
      <w:proofErr w:type="spellStart"/>
      <w:r>
        <w:t>Baghwati</w:t>
      </w:r>
      <w:proofErr w:type="spellEnd"/>
      <w:r>
        <w:t xml:space="preserve"> (20</w:t>
      </w:r>
      <w:r w:rsidR="000374E6">
        <w:t xml:space="preserve">08) </w:t>
      </w:r>
      <w:r w:rsidR="00C837CF">
        <w:t>q</w:t>
      </w:r>
      <w:r w:rsidR="000374E6">
        <w:t xml:space="preserve">uotes the former president of Mexico: </w:t>
      </w:r>
    </w:p>
    <w:p w14:paraId="4671D046" w14:textId="6D3CD1E6" w:rsidR="000374E6" w:rsidRDefault="000374E6" w:rsidP="000374E6">
      <w:pPr>
        <w:pStyle w:val="Quote"/>
      </w:pPr>
      <w:r>
        <w:t>Every additional PTA will become one more obstacle to the universal and non</w:t>
      </w:r>
      <w:r w:rsidR="00FE23A3">
        <w:noBreakHyphen/>
      </w:r>
      <w:r>
        <w:t xml:space="preserve">discriminatory trade liberalization that the world needs. PTAs have been more easily hijacked by the special interest groups and are not resulting in really good instruments. The present deals are little monsters that will be much regretted in the future. (Ernesto Zedillo, </w:t>
      </w:r>
      <w:proofErr w:type="spellStart"/>
      <w:r>
        <w:t>n.d</w:t>
      </w:r>
      <w:proofErr w:type="spellEnd"/>
      <w:r>
        <w:t>)</w:t>
      </w:r>
    </w:p>
    <w:p w14:paraId="174FFA4E" w14:textId="77777777" w:rsidR="000374E6" w:rsidRDefault="000374E6" w:rsidP="000374E6">
      <w:pPr>
        <w:pStyle w:val="BodyText"/>
      </w:pPr>
      <w:r>
        <w:t xml:space="preserve">Removing </w:t>
      </w:r>
      <w:proofErr w:type="spellStart"/>
      <w:r>
        <w:t>RoO</w:t>
      </w:r>
      <w:proofErr w:type="spellEnd"/>
      <w:r>
        <w:t xml:space="preserve">, </w:t>
      </w:r>
      <w:r w:rsidR="007C51FF">
        <w:t>accepting</w:t>
      </w:r>
      <w:r>
        <w:t xml:space="preserve"> the port of origin </w:t>
      </w:r>
      <w:r w:rsidR="007C51FF">
        <w:t xml:space="preserve">certification </w:t>
      </w:r>
      <w:r>
        <w:t>as sufficient evidence for compliance, or at least harmonising at the least stringent level in any new regional agreements or revisions of current PTAs, would go some way to making PTA</w:t>
      </w:r>
      <w:r w:rsidR="007C51FF">
        <w:t xml:space="preserve">s more stepping stones than </w:t>
      </w:r>
      <w:r>
        <w:t xml:space="preserve">stumbling blocks. </w:t>
      </w:r>
    </w:p>
    <w:p w14:paraId="7AD414AA" w14:textId="77777777" w:rsidR="001C146A" w:rsidRDefault="001C146A" w:rsidP="000374E6">
      <w:pPr>
        <w:pStyle w:val="BodyText"/>
      </w:pPr>
    </w:p>
    <w:p w14:paraId="34193BBF" w14:textId="77777777" w:rsidR="001C146A" w:rsidRDefault="001C146A" w:rsidP="004526B6">
      <w:pPr>
        <w:pStyle w:val="BodyText"/>
        <w:sectPr w:rsidR="001C146A" w:rsidSect="00F35C0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start="3" w:chapSep="period"/>
          <w:cols w:space="720"/>
        </w:sectPr>
      </w:pPr>
    </w:p>
    <w:p w14:paraId="7B021DEB" w14:textId="1F210CDF" w:rsidR="00003AA9" w:rsidRDefault="004526B6" w:rsidP="004526B6">
      <w:pPr>
        <w:pStyle w:val="Heading1"/>
      </w:pPr>
      <w:bookmarkStart w:id="1" w:name="_References"/>
      <w:bookmarkEnd w:id="1"/>
      <w:r>
        <w:lastRenderedPageBreak/>
        <w:t>References</w:t>
      </w:r>
    </w:p>
    <w:p w14:paraId="1B42AFB8" w14:textId="1553329A" w:rsidR="00003AA9" w:rsidRDefault="00003AA9" w:rsidP="00003AA9">
      <w:pPr>
        <w:pStyle w:val="Reference"/>
      </w:pPr>
      <w:r>
        <w:t xml:space="preserve">Abreu, M. D. 2013, Preferential Rules of origin in Regional Trade Agreements, Staff Working Paper </w:t>
      </w:r>
      <w:proofErr w:type="spellStart"/>
      <w:r>
        <w:t>ERSD</w:t>
      </w:r>
      <w:proofErr w:type="spellEnd"/>
      <w:r>
        <w:t xml:space="preserve"> 2013</w:t>
      </w:r>
      <w:r w:rsidR="00FE23A3">
        <w:t>–</w:t>
      </w:r>
      <w:r>
        <w:t>05, World Trade Organization, 22 March.</w:t>
      </w:r>
    </w:p>
    <w:p w14:paraId="685BD652" w14:textId="05096BCE" w:rsidR="00003AA9" w:rsidRPr="002A0911" w:rsidRDefault="00003AA9" w:rsidP="00003AA9">
      <w:pPr>
        <w:pStyle w:val="Reference"/>
      </w:pPr>
      <w:r w:rsidRPr="002A0911">
        <w:t>Australian Bureau of Statistics (ABS) 2016, ABS Cat. No. 5439.0, International Merchandise Imports, Australia</w:t>
      </w:r>
      <w:r>
        <w:t xml:space="preserve"> </w:t>
      </w:r>
      <w:r w:rsidRPr="0007566B">
        <w:t>http://</w:t>
      </w:r>
      <w:proofErr w:type="spellStart"/>
      <w:r w:rsidRPr="0007566B">
        <w:t>www.abs.gov.au</w:t>
      </w:r>
      <w:proofErr w:type="spellEnd"/>
      <w:r w:rsidRPr="0007566B">
        <w:t>/</w:t>
      </w:r>
      <w:proofErr w:type="spellStart"/>
      <w:r w:rsidRPr="0007566B">
        <w:t>AUSSTATS</w:t>
      </w:r>
      <w:proofErr w:type="spellEnd"/>
      <w:r w:rsidRPr="0007566B">
        <w:t>/abs@.</w:t>
      </w:r>
      <w:proofErr w:type="spellStart"/>
      <w:r w:rsidRPr="0007566B">
        <w:t>nsf</w:t>
      </w:r>
      <w:proofErr w:type="spellEnd"/>
      <w:r w:rsidRPr="0007566B">
        <w:t>/Lookup</w:t>
      </w:r>
      <w:r w:rsidRPr="0007566B">
        <w:br/>
        <w:t>/</w:t>
      </w:r>
      <w:proofErr w:type="spellStart"/>
      <w:r w:rsidRPr="0007566B">
        <w:t>5439.0Main+Features1Dec%202015?OpenDocument</w:t>
      </w:r>
      <w:proofErr w:type="spellEnd"/>
    </w:p>
    <w:p w14:paraId="2639F5A3" w14:textId="77777777" w:rsidR="00003AA9" w:rsidRDefault="00003AA9" w:rsidP="00003AA9">
      <w:pPr>
        <w:pStyle w:val="Reference"/>
      </w:pPr>
      <w:r>
        <w:t>Australian Competition and Consumer Commission (</w:t>
      </w:r>
      <w:proofErr w:type="spellStart"/>
      <w:r>
        <w:t>ACCI</w:t>
      </w:r>
      <w:proofErr w:type="spellEnd"/>
      <w:r>
        <w:t>) 2014, Country of origin claims and the Australian Consumer law, April.</w:t>
      </w:r>
    </w:p>
    <w:p w14:paraId="18912CA2" w14:textId="77777777" w:rsidR="00003AA9" w:rsidRDefault="00003AA9" w:rsidP="00003AA9">
      <w:pPr>
        <w:pStyle w:val="Reference"/>
      </w:pPr>
      <w:proofErr w:type="spellStart"/>
      <w:r>
        <w:t>ACCI</w:t>
      </w:r>
      <w:proofErr w:type="spellEnd"/>
      <w:r>
        <w:t xml:space="preserve"> (Australian Chamber of Commerce and Industry) 2012, Trade facilitating Administrative Procedures to support Rules of Origin, </w:t>
      </w:r>
      <w:proofErr w:type="spellStart"/>
      <w:r>
        <w:t>ACCI</w:t>
      </w:r>
      <w:proofErr w:type="spellEnd"/>
      <w:r>
        <w:t xml:space="preserve"> Background Paper, 27 November.</w:t>
      </w:r>
    </w:p>
    <w:p w14:paraId="146A0218" w14:textId="77777777" w:rsidR="00003AA9" w:rsidRDefault="00003AA9" w:rsidP="00003AA9">
      <w:pPr>
        <w:pStyle w:val="Reference"/>
      </w:pPr>
      <w:r>
        <w:t>—— </w:t>
      </w:r>
      <w:proofErr w:type="spellStart"/>
      <w:r>
        <w:t>2016a</w:t>
      </w:r>
      <w:proofErr w:type="spellEnd"/>
      <w:r>
        <w:t xml:space="preserve">, Submission to Senate Foreign Affairs, Defence and Trade References Committee, </w:t>
      </w:r>
      <w:proofErr w:type="spellStart"/>
      <w:r>
        <w:t>TPP</w:t>
      </w:r>
      <w:proofErr w:type="spellEnd"/>
      <w:r>
        <w:t xml:space="preserve"> Inquiry, October 16.</w:t>
      </w:r>
    </w:p>
    <w:p w14:paraId="41DF11E2" w14:textId="39889952" w:rsidR="00003AA9" w:rsidRPr="002F0099" w:rsidRDefault="00003AA9" w:rsidP="00003AA9">
      <w:pPr>
        <w:pStyle w:val="Reference"/>
      </w:pPr>
      <w:r>
        <w:t>—— </w:t>
      </w:r>
      <w:proofErr w:type="spellStart"/>
      <w:r w:rsidRPr="002F0099">
        <w:t>2016</w:t>
      </w:r>
      <w:r>
        <w:t>b</w:t>
      </w:r>
      <w:proofErr w:type="spellEnd"/>
      <w:r w:rsidRPr="002F0099">
        <w:t xml:space="preserve">, National Trade </w:t>
      </w:r>
      <w:r>
        <w:t>S</w:t>
      </w:r>
      <w:r w:rsidRPr="002F0099">
        <w:t>urvey 2016</w:t>
      </w:r>
      <w:r>
        <w:t>,</w:t>
      </w:r>
      <w:r w:rsidRPr="002F0099">
        <w:t xml:space="preserve"> Report</w:t>
      </w:r>
      <w:r>
        <w:t xml:space="preserve"> Summary,</w:t>
      </w:r>
      <w:r w:rsidRPr="002F0099">
        <w:t xml:space="preserve"> </w:t>
      </w:r>
      <w:r w:rsidRPr="0007566B">
        <w:t>https://</w:t>
      </w:r>
      <w:proofErr w:type="spellStart"/>
      <w:r w:rsidRPr="0007566B">
        <w:t>www.acci.asn.au</w:t>
      </w:r>
      <w:proofErr w:type="spellEnd"/>
      <w:r w:rsidRPr="0007566B">
        <w:t>/</w:t>
      </w:r>
      <w:r w:rsidRPr="0007566B">
        <w:br/>
        <w:t>resources/national</w:t>
      </w:r>
      <w:r w:rsidR="00FE23A3">
        <w:noBreakHyphen/>
      </w:r>
      <w:r w:rsidRPr="0007566B">
        <w:t>trade</w:t>
      </w:r>
      <w:r w:rsidR="00FE23A3">
        <w:noBreakHyphen/>
      </w:r>
      <w:r w:rsidRPr="0007566B">
        <w:t>survey</w:t>
      </w:r>
      <w:r w:rsidR="00FE23A3">
        <w:noBreakHyphen/>
      </w:r>
      <w:r w:rsidRPr="0007566B">
        <w:t>2016</w:t>
      </w:r>
      <w:r w:rsidR="00FE23A3">
        <w:noBreakHyphen/>
      </w:r>
      <w:r w:rsidRPr="0007566B">
        <w:t>report</w:t>
      </w:r>
      <w:r w:rsidR="00FE23A3">
        <w:noBreakHyphen/>
      </w:r>
      <w:r w:rsidRPr="0007566B">
        <w:t>summary</w:t>
      </w:r>
    </w:p>
    <w:p w14:paraId="25BDE9AA" w14:textId="77777777" w:rsidR="00003AA9" w:rsidRDefault="00003AA9" w:rsidP="00003AA9">
      <w:pPr>
        <w:pStyle w:val="Reference"/>
      </w:pPr>
      <w:r>
        <w:t>—— </w:t>
      </w:r>
      <w:proofErr w:type="spellStart"/>
      <w:r>
        <w:t>2016c</w:t>
      </w:r>
      <w:proofErr w:type="spellEnd"/>
      <w:r>
        <w:t xml:space="preserve">, Statement on </w:t>
      </w:r>
      <w:proofErr w:type="spellStart"/>
      <w:r>
        <w:t>RCEP</w:t>
      </w:r>
      <w:proofErr w:type="spellEnd"/>
      <w:r>
        <w:t xml:space="preserve"> Rules Of Origin, March.</w:t>
      </w:r>
    </w:p>
    <w:p w14:paraId="01B9DB14" w14:textId="3B3DE2CD" w:rsidR="00003AA9" w:rsidRPr="002F0099" w:rsidRDefault="00003AA9" w:rsidP="00003AA9">
      <w:pPr>
        <w:pStyle w:val="Reference"/>
      </w:pPr>
      <w:r>
        <w:t>A</w:t>
      </w:r>
      <w:r w:rsidRPr="002F0099">
        <w:t xml:space="preserve">nson, J., </w:t>
      </w:r>
      <w:proofErr w:type="spellStart"/>
      <w:r w:rsidRPr="002F0099">
        <w:t>Cadot</w:t>
      </w:r>
      <w:proofErr w:type="spellEnd"/>
      <w:r w:rsidRPr="002F0099">
        <w:t xml:space="preserve">, O., </w:t>
      </w:r>
      <w:proofErr w:type="spellStart"/>
      <w:r w:rsidRPr="002F0099">
        <w:t>Estevadeordal</w:t>
      </w:r>
      <w:proofErr w:type="spellEnd"/>
      <w:r w:rsidRPr="002F0099">
        <w:t xml:space="preserve">, A., de </w:t>
      </w:r>
      <w:proofErr w:type="spellStart"/>
      <w:r w:rsidRPr="002F0099">
        <w:t>Melo</w:t>
      </w:r>
      <w:proofErr w:type="spellEnd"/>
      <w:r w:rsidRPr="002F0099">
        <w:t xml:space="preserve">, J., </w:t>
      </w:r>
      <w:proofErr w:type="spellStart"/>
      <w:r w:rsidRPr="002F0099">
        <w:t>Suwa</w:t>
      </w:r>
      <w:r w:rsidR="00FE23A3">
        <w:noBreakHyphen/>
      </w:r>
      <w:r w:rsidRPr="002F0099">
        <w:t>Eisenmann</w:t>
      </w:r>
      <w:proofErr w:type="spellEnd"/>
      <w:r w:rsidRPr="002F0099">
        <w:t xml:space="preserve">, A., and </w:t>
      </w:r>
      <w:proofErr w:type="spellStart"/>
      <w:r w:rsidRPr="002F0099">
        <w:t>Tumurchudur</w:t>
      </w:r>
      <w:proofErr w:type="spellEnd"/>
      <w:r w:rsidRPr="002F0099">
        <w:t>, B. 2004, Rules of Origin in North</w:t>
      </w:r>
      <w:r w:rsidR="00FE23A3">
        <w:noBreakHyphen/>
      </w:r>
      <w:r w:rsidRPr="002F0099">
        <w:t xml:space="preserve">South Preferential Trading Arrangements with an Application to NAFTA, Forthcoming, Review of International Economics. </w:t>
      </w:r>
      <w:r w:rsidRPr="0007566B">
        <w:t>http://</w:t>
      </w:r>
      <w:proofErr w:type="spellStart"/>
      <w:r w:rsidRPr="0007566B">
        <w:t>citeseerx.ist.psu.edu</w:t>
      </w:r>
      <w:proofErr w:type="spellEnd"/>
      <w:r w:rsidRPr="0007566B">
        <w:t>/</w:t>
      </w:r>
      <w:proofErr w:type="spellStart"/>
      <w:r w:rsidRPr="0007566B">
        <w:t>viewdoc</w:t>
      </w:r>
      <w:proofErr w:type="spellEnd"/>
      <w:r w:rsidRPr="0007566B">
        <w:t>/</w:t>
      </w:r>
      <w:proofErr w:type="spellStart"/>
      <w:r w:rsidRPr="0007566B">
        <w:t>summary?doi</w:t>
      </w:r>
      <w:proofErr w:type="spellEnd"/>
      <w:r w:rsidRPr="0007566B">
        <w:t>=10.1.1.515.3657</w:t>
      </w:r>
    </w:p>
    <w:p w14:paraId="52164A35" w14:textId="41DE582F" w:rsidR="00003AA9" w:rsidRPr="002F0099" w:rsidRDefault="00003AA9" w:rsidP="00003AA9">
      <w:pPr>
        <w:pStyle w:val="Reference"/>
      </w:pPr>
      <w:r w:rsidRPr="002F0099">
        <w:t xml:space="preserve">Armstrong, S. </w:t>
      </w:r>
      <w:r>
        <w:t xml:space="preserve">2015, </w:t>
      </w:r>
      <w:r w:rsidR="000D76D7" w:rsidRPr="000D76D7">
        <w:t>The economic impact of the Australia</w:t>
      </w:r>
      <w:r w:rsidR="00FE23A3">
        <w:noBreakHyphen/>
      </w:r>
      <w:r w:rsidR="000D76D7" w:rsidRPr="000D76D7">
        <w:t>Uni</w:t>
      </w:r>
      <w:r w:rsidR="000D76D7">
        <w:t>ted States free trade agreement</w:t>
      </w:r>
      <w:r w:rsidR="000D76D7" w:rsidRPr="000D76D7">
        <w:t>, Australian Journal of International Affairs</w:t>
      </w:r>
      <w:r w:rsidR="000D76D7">
        <w:t>, Volume 69, Issue 5, pp.</w:t>
      </w:r>
      <w:r w:rsidR="00FE23A3">
        <w:t> </w:t>
      </w:r>
      <w:r w:rsidR="000D76D7" w:rsidRPr="000D76D7">
        <w:t>513</w:t>
      </w:r>
      <w:r w:rsidR="00FE23A3">
        <w:t>–</w:t>
      </w:r>
      <w:r w:rsidR="000D76D7" w:rsidRPr="000D76D7">
        <w:t>537.</w:t>
      </w:r>
    </w:p>
    <w:p w14:paraId="3C29B916" w14:textId="793009B9" w:rsidR="00003AA9" w:rsidRPr="002C48BE" w:rsidRDefault="00003AA9" w:rsidP="00003AA9">
      <w:pPr>
        <w:pStyle w:val="Reference"/>
      </w:pPr>
      <w:r>
        <w:t>—— </w:t>
      </w:r>
      <w:r w:rsidRPr="002C48BE">
        <w:t xml:space="preserve">2017, Can </w:t>
      </w:r>
      <w:proofErr w:type="spellStart"/>
      <w:r w:rsidRPr="002C48BE">
        <w:t>RCEP</w:t>
      </w:r>
      <w:proofErr w:type="spellEnd"/>
      <w:r w:rsidRPr="002C48BE">
        <w:t xml:space="preserve"> Pick Up Where the </w:t>
      </w:r>
      <w:proofErr w:type="spellStart"/>
      <w:r w:rsidRPr="002C48BE">
        <w:t>TPP</w:t>
      </w:r>
      <w:proofErr w:type="spellEnd"/>
      <w:r w:rsidRPr="002C48BE">
        <w:t xml:space="preserve"> Left Off?, Snapshot, March 17, Asia Trade, </w:t>
      </w:r>
      <w:r w:rsidRPr="0007566B">
        <w:t>https://www.foreignaffairs.com/articles/asia/2017</w:t>
      </w:r>
      <w:r w:rsidR="00FE23A3">
        <w:t>–</w:t>
      </w:r>
      <w:r w:rsidRPr="0007566B">
        <w:t>03</w:t>
      </w:r>
      <w:r w:rsidR="00FE23A3">
        <w:noBreakHyphen/>
      </w:r>
      <w:r w:rsidRPr="0007566B">
        <w:t>17/new</w:t>
      </w:r>
      <w:r w:rsidR="00FE23A3">
        <w:noBreakHyphen/>
      </w:r>
      <w:r w:rsidRPr="0007566B">
        <w:t>deal</w:t>
      </w:r>
      <w:r w:rsidR="00FE23A3">
        <w:noBreakHyphen/>
      </w:r>
      <w:r w:rsidRPr="0007566B">
        <w:t>asia</w:t>
      </w:r>
      <w:r>
        <w:t>.</w:t>
      </w:r>
    </w:p>
    <w:p w14:paraId="27AE45B4" w14:textId="5943CDAF" w:rsidR="00003AA9" w:rsidRPr="002F0099" w:rsidRDefault="00003AA9" w:rsidP="00003AA9">
      <w:pPr>
        <w:pStyle w:val="Reference"/>
      </w:pPr>
      <w:r w:rsidRPr="002F0099">
        <w:t xml:space="preserve">Augier, P., </w:t>
      </w:r>
      <w:proofErr w:type="spellStart"/>
      <w:r w:rsidRPr="002F0099">
        <w:t>Gasiorek</w:t>
      </w:r>
      <w:proofErr w:type="spellEnd"/>
      <w:r w:rsidRPr="002F0099">
        <w:t>, M. and Lai</w:t>
      </w:r>
      <w:r w:rsidR="00FE23A3">
        <w:noBreakHyphen/>
      </w:r>
      <w:r w:rsidRPr="002F0099">
        <w:t xml:space="preserve">Tong, C. 2005, The Impact of Rules of Origin on Trade Flows, </w:t>
      </w:r>
      <w:r>
        <w:t>Economic Policy, vol. 20, No. 43, pp. 567</w:t>
      </w:r>
      <w:r w:rsidR="00FE23A3">
        <w:t>–</w:t>
      </w:r>
      <w:r>
        <w:t>624</w:t>
      </w:r>
    </w:p>
    <w:p w14:paraId="63B4D385" w14:textId="5CC9AF46" w:rsidR="00003AA9" w:rsidRPr="002F0099" w:rsidRDefault="00003AA9" w:rsidP="00003AA9">
      <w:pPr>
        <w:pStyle w:val="Reference"/>
      </w:pPr>
      <w:r w:rsidRPr="002F0099">
        <w:t xml:space="preserve">Australian Government </w:t>
      </w:r>
      <w:proofErr w:type="spellStart"/>
      <w:r w:rsidRPr="002F0099">
        <w:t>2016</w:t>
      </w:r>
      <w:r>
        <w:t>a</w:t>
      </w:r>
      <w:proofErr w:type="spellEnd"/>
      <w:r w:rsidRPr="002F0099">
        <w:t>, National Interest Analysis, Trans</w:t>
      </w:r>
      <w:r w:rsidR="00FE23A3">
        <w:noBreakHyphen/>
      </w:r>
      <w:r w:rsidRPr="002F0099">
        <w:t xml:space="preserve">Pacific Partnership Agreement, 9 February. </w:t>
      </w:r>
      <w:r w:rsidRPr="0007566B">
        <w:t>http://</w:t>
      </w:r>
      <w:proofErr w:type="spellStart"/>
      <w:r w:rsidRPr="0007566B">
        <w:t>www.aph.gov.au</w:t>
      </w:r>
      <w:proofErr w:type="spellEnd"/>
      <w:r w:rsidRPr="0007566B">
        <w:t>/</w:t>
      </w:r>
      <w:proofErr w:type="spellStart"/>
      <w:r w:rsidRPr="0007566B">
        <w:t>Parliamentary_Business</w:t>
      </w:r>
      <w:proofErr w:type="spellEnd"/>
      <w:r w:rsidRPr="0007566B">
        <w:t>/Committees</w:t>
      </w:r>
      <w:r>
        <w:br/>
      </w:r>
      <w:r w:rsidRPr="002F0099">
        <w:t>/Joint/Treaties/</w:t>
      </w:r>
      <w:proofErr w:type="spellStart"/>
      <w:r w:rsidRPr="002F0099">
        <w:t>9_February_2016</w:t>
      </w:r>
      <w:proofErr w:type="spellEnd"/>
      <w:r w:rsidRPr="002F0099">
        <w:t>/</w:t>
      </w:r>
      <w:proofErr w:type="spellStart"/>
      <w:r w:rsidRPr="002F0099">
        <w:t>Treaty_under_consideration#nia</w:t>
      </w:r>
      <w:proofErr w:type="spellEnd"/>
    </w:p>
    <w:p w14:paraId="2B2379F2" w14:textId="77777777" w:rsidR="00003AA9" w:rsidRDefault="00003AA9" w:rsidP="00003AA9">
      <w:pPr>
        <w:pStyle w:val="Reference"/>
      </w:pPr>
      <w:r>
        <w:t>—— </w:t>
      </w:r>
      <w:proofErr w:type="spellStart"/>
      <w:r>
        <w:t>2016b</w:t>
      </w:r>
      <w:proofErr w:type="spellEnd"/>
      <w:r>
        <w:t>, Review of the Australian System of Tariff Preferences (</w:t>
      </w:r>
      <w:proofErr w:type="spellStart"/>
      <w:r>
        <w:t>ASTP</w:t>
      </w:r>
      <w:proofErr w:type="spellEnd"/>
      <w:r>
        <w:t>), Discussion Paper, Department of Foreign Affairs and Trade, May.</w:t>
      </w:r>
    </w:p>
    <w:p w14:paraId="0B0A1095" w14:textId="77777777" w:rsidR="00003AA9" w:rsidRDefault="00003AA9" w:rsidP="00003AA9">
      <w:pPr>
        <w:pStyle w:val="Reference"/>
      </w:pPr>
      <w:r>
        <w:lastRenderedPageBreak/>
        <w:t>—— 2011, Gillard Government Trade Policy Statement: Trading our way to more jobs and prosperity, Department of Foreign Affairs and Trade, April.</w:t>
      </w:r>
    </w:p>
    <w:p w14:paraId="1C2AEB8A" w14:textId="18D19F7C" w:rsidR="00003AA9" w:rsidRPr="00412739" w:rsidRDefault="00003AA9" w:rsidP="00003AA9">
      <w:pPr>
        <w:pStyle w:val="Reference"/>
      </w:pPr>
      <w:proofErr w:type="spellStart"/>
      <w:r w:rsidRPr="00412739">
        <w:t>Azzam</w:t>
      </w:r>
      <w:proofErr w:type="spellEnd"/>
      <w:r w:rsidRPr="00412739">
        <w:t xml:space="preserve">, </w:t>
      </w:r>
      <w:proofErr w:type="spellStart"/>
      <w:r w:rsidRPr="00412739">
        <w:t>M.W</w:t>
      </w:r>
      <w:proofErr w:type="spellEnd"/>
      <w:r w:rsidRPr="00412739">
        <w:t xml:space="preserve">. 2015, Certification of Origin, </w:t>
      </w:r>
      <w:proofErr w:type="spellStart"/>
      <w:r w:rsidRPr="00412739">
        <w:t>UNCTAD</w:t>
      </w:r>
      <w:proofErr w:type="spellEnd"/>
      <w:r w:rsidRPr="00412739">
        <w:t xml:space="preserve"> Executive Training, Florence, Italy, 7</w:t>
      </w:r>
      <w:r w:rsidR="00FE23A3">
        <w:noBreakHyphen/>
      </w:r>
      <w:r w:rsidRPr="00412739">
        <w:t xml:space="preserve">9 October., </w:t>
      </w:r>
      <w:r w:rsidRPr="0007566B">
        <w:t>http://unctad.org/meetings/en/Presentation/aldc2015_08</w:t>
      </w:r>
      <w:r w:rsidR="00FE23A3">
        <w:noBreakHyphen/>
      </w:r>
      <w:r w:rsidRPr="0007566B">
        <w:t>coo_wco_en.pdf</w:t>
      </w:r>
      <w:r w:rsidRPr="00412739">
        <w:t>. accessed 14 March 2017.</w:t>
      </w:r>
    </w:p>
    <w:p w14:paraId="359AC495" w14:textId="77777777" w:rsidR="00003AA9" w:rsidRDefault="00003AA9" w:rsidP="00003AA9">
      <w:pPr>
        <w:pStyle w:val="Reference"/>
      </w:pPr>
      <w:proofErr w:type="spellStart"/>
      <w:r>
        <w:t>Bhagwati</w:t>
      </w:r>
      <w:proofErr w:type="spellEnd"/>
      <w:r>
        <w:t>, J. 2008, Termites in the Trading System: How preferential agreements undermine free trade, Oxford University Press.</w:t>
      </w:r>
    </w:p>
    <w:p w14:paraId="0D744B7E" w14:textId="77777777" w:rsidR="00003AA9" w:rsidRDefault="00003AA9" w:rsidP="00003AA9">
      <w:pPr>
        <w:pStyle w:val="Reference"/>
      </w:pPr>
      <w:r w:rsidRPr="00EB0E7B">
        <w:t xml:space="preserve">BCA (Business Council of Australia) </w:t>
      </w:r>
      <w:proofErr w:type="spellStart"/>
      <w:r w:rsidRPr="00EB0E7B">
        <w:t>2015</w:t>
      </w:r>
      <w:r>
        <w:t>a</w:t>
      </w:r>
      <w:proofErr w:type="spellEnd"/>
      <w:r w:rsidRPr="002A0911">
        <w:rPr>
          <w:i/>
        </w:rPr>
        <w:t>, Submission to the Joint Select Committee on</w:t>
      </w:r>
      <w:r>
        <w:t xml:space="preserve"> Trade and Investment Growth: Inquiry into the Business Experience in Utilising Australia’s Free Trade Agreements, July.</w:t>
      </w:r>
    </w:p>
    <w:p w14:paraId="4180DF90" w14:textId="7D2C228F" w:rsidR="00003AA9" w:rsidRDefault="00003AA9" w:rsidP="00003AA9">
      <w:pPr>
        <w:pStyle w:val="Reference"/>
      </w:pPr>
      <w:r>
        <w:t>—— </w:t>
      </w:r>
      <w:proofErr w:type="spellStart"/>
      <w:r>
        <w:t>2015b</w:t>
      </w:r>
      <w:proofErr w:type="spellEnd"/>
      <w:r>
        <w:t>, Submission to the Senate Foreign Affairs, Defence and Trade References Committee’s Inquiry into the Trans</w:t>
      </w:r>
      <w:r w:rsidR="00FE23A3">
        <w:noBreakHyphen/>
      </w:r>
      <w:r>
        <w:t>Pacific Partnership, September.</w:t>
      </w:r>
    </w:p>
    <w:p w14:paraId="080D7966" w14:textId="4E306BE9" w:rsidR="00003AA9" w:rsidRPr="00EA22E9" w:rsidRDefault="00003AA9" w:rsidP="00003AA9">
      <w:pPr>
        <w:pStyle w:val="Reference"/>
      </w:pPr>
      <w:proofErr w:type="spellStart"/>
      <w:r w:rsidRPr="00EA22E9">
        <w:t>Cadot</w:t>
      </w:r>
      <w:proofErr w:type="spellEnd"/>
      <w:r w:rsidRPr="00EA22E9">
        <w:t xml:space="preserve">, O., de </w:t>
      </w:r>
      <w:proofErr w:type="spellStart"/>
      <w:r w:rsidRPr="00EA22E9">
        <w:t>Melo</w:t>
      </w:r>
      <w:proofErr w:type="spellEnd"/>
      <w:r w:rsidRPr="00EA22E9">
        <w:t xml:space="preserve">, J., </w:t>
      </w:r>
      <w:proofErr w:type="spellStart"/>
      <w:r w:rsidRPr="00EA22E9">
        <w:t>Estevadeordal</w:t>
      </w:r>
      <w:proofErr w:type="spellEnd"/>
      <w:r w:rsidRPr="00EA22E9">
        <w:t xml:space="preserve">, A., </w:t>
      </w:r>
      <w:proofErr w:type="spellStart"/>
      <w:r w:rsidRPr="00EA22E9">
        <w:t>Suwa</w:t>
      </w:r>
      <w:r w:rsidR="00FE23A3">
        <w:noBreakHyphen/>
      </w:r>
      <w:r w:rsidRPr="00EA22E9">
        <w:t>Eisenmann</w:t>
      </w:r>
      <w:proofErr w:type="spellEnd"/>
      <w:r w:rsidRPr="00EA22E9">
        <w:t xml:space="preserve">, A., and </w:t>
      </w:r>
      <w:proofErr w:type="spellStart"/>
      <w:r w:rsidRPr="00EA22E9">
        <w:t>Tumurchudur</w:t>
      </w:r>
      <w:proofErr w:type="spellEnd"/>
      <w:r w:rsidRPr="00EA22E9">
        <w:t xml:space="preserve">, B. 2002, Assessing the Effect of </w:t>
      </w:r>
      <w:proofErr w:type="spellStart"/>
      <w:r w:rsidRPr="00EA22E9">
        <w:t>NAFTAs</w:t>
      </w:r>
      <w:proofErr w:type="spellEnd"/>
      <w:r w:rsidRPr="00EA22E9">
        <w:t xml:space="preserve"> Rules of origin, revised version June 22, </w:t>
      </w:r>
      <w:r w:rsidRPr="0007566B">
        <w:t>https://www.researchgate.net/publication/5162601_Assessing_the_effect_of_NAFTA</w:t>
      </w:r>
      <w:r w:rsidR="00FE23A3">
        <w:t>’</w:t>
      </w:r>
      <w:r w:rsidRPr="0007566B">
        <w:t>s_rules_of_origin</w:t>
      </w:r>
      <w:r w:rsidRPr="00EA22E9">
        <w:t>, accessed 22 March 2017</w:t>
      </w:r>
    </w:p>
    <w:p w14:paraId="07F6E89E" w14:textId="0C5229AD" w:rsidR="00003AA9" w:rsidRDefault="00003AA9" w:rsidP="00003AA9">
      <w:pPr>
        <w:pStyle w:val="Reference"/>
      </w:pPr>
      <w:r>
        <w:t>——,</w:t>
      </w:r>
      <w:r w:rsidRPr="00A32BA9">
        <w:t xml:space="preserve"> </w:t>
      </w:r>
      <w:r>
        <w:t>—— , and Portugal</w:t>
      </w:r>
      <w:r w:rsidR="00FE23A3">
        <w:noBreakHyphen/>
      </w:r>
      <w:r>
        <w:t>Perez, A. 2006, Rules of origin for Preferential Trading Arrangements: Implications for the ASEAN Free Trade Area of EU and US Experience, World Bank Policy Research Working paper 4016, September.</w:t>
      </w:r>
    </w:p>
    <w:p w14:paraId="2646AF78" w14:textId="14E874D0" w:rsidR="00003AA9" w:rsidRDefault="00003AA9" w:rsidP="00003AA9">
      <w:pPr>
        <w:pStyle w:val="Reference"/>
      </w:pPr>
      <w:r>
        <w:t xml:space="preserve">—— and </w:t>
      </w:r>
      <w:proofErr w:type="spellStart"/>
      <w:r>
        <w:t>Ing</w:t>
      </w:r>
      <w:proofErr w:type="spellEnd"/>
      <w:r>
        <w:t xml:space="preserve">, </w:t>
      </w:r>
      <w:proofErr w:type="spellStart"/>
      <w:r>
        <w:t>Lili</w:t>
      </w:r>
      <w:proofErr w:type="spellEnd"/>
      <w:r>
        <w:t xml:space="preserve"> Yan. 2014, How Restrictive are ASEAN’s </w:t>
      </w:r>
      <w:proofErr w:type="spellStart"/>
      <w:r>
        <w:t>RoO</w:t>
      </w:r>
      <w:proofErr w:type="spellEnd"/>
      <w:r>
        <w:t xml:space="preserve">? </w:t>
      </w:r>
      <w:proofErr w:type="spellStart"/>
      <w:r>
        <w:t>ERIA</w:t>
      </w:r>
      <w:proofErr w:type="spellEnd"/>
      <w:r>
        <w:t xml:space="preserve"> Discussion Paper Series, 2014</w:t>
      </w:r>
      <w:r w:rsidR="00FE23A3">
        <w:t>–</w:t>
      </w:r>
      <w:r>
        <w:t>18, September.</w:t>
      </w:r>
    </w:p>
    <w:p w14:paraId="00C65FAC" w14:textId="75053907" w:rsidR="00003AA9" w:rsidRPr="002F0099" w:rsidRDefault="00003AA9" w:rsidP="00003AA9">
      <w:pPr>
        <w:pStyle w:val="Reference"/>
      </w:pPr>
      <w:r w:rsidRPr="002F0099">
        <w:t xml:space="preserve">Carrere, C. and de </w:t>
      </w:r>
      <w:proofErr w:type="spellStart"/>
      <w:r w:rsidRPr="002F0099">
        <w:t>Melo</w:t>
      </w:r>
      <w:proofErr w:type="spellEnd"/>
      <w:r w:rsidRPr="002F0099">
        <w:t xml:space="preserve">, J. 2004, Are Different Rules of Origin Equally Costly, </w:t>
      </w:r>
      <w:r>
        <w:t xml:space="preserve">Centre for Economic  Policy Research, </w:t>
      </w:r>
      <w:proofErr w:type="spellStart"/>
      <w:r w:rsidRPr="002F0099">
        <w:t>DP4437</w:t>
      </w:r>
      <w:proofErr w:type="spellEnd"/>
      <w:r>
        <w:t xml:space="preserve">, </w:t>
      </w:r>
      <w:proofErr w:type="spellStart"/>
      <w:r w:rsidR="0007566B" w:rsidRPr="0007566B">
        <w:t>www.cepr.org</w:t>
      </w:r>
      <w:proofErr w:type="spellEnd"/>
      <w:r w:rsidR="0007566B" w:rsidRPr="0007566B">
        <w:t>/active/publications/discussion</w:t>
      </w:r>
      <w:r w:rsidR="0007566B">
        <w:br/>
      </w:r>
      <w:r w:rsidRPr="0007566B">
        <w:t>_papers/</w:t>
      </w:r>
      <w:proofErr w:type="spellStart"/>
      <w:r w:rsidRPr="0007566B">
        <w:t>dp.php?dpno</w:t>
      </w:r>
      <w:proofErr w:type="spellEnd"/>
      <w:r w:rsidRPr="0007566B">
        <w:t>=4437</w:t>
      </w:r>
      <w:r>
        <w:rPr>
          <w:rStyle w:val="Hyperlink"/>
        </w:rPr>
        <w:t>.</w:t>
      </w:r>
    </w:p>
    <w:p w14:paraId="5550EB20" w14:textId="79DC7C6C" w:rsidR="00003AA9" w:rsidRPr="002F0099" w:rsidRDefault="00003AA9" w:rsidP="00003AA9">
      <w:pPr>
        <w:pStyle w:val="Reference"/>
        <w:rPr>
          <w:rStyle w:val="Hyperlink"/>
        </w:rPr>
      </w:pPr>
      <w:r w:rsidRPr="002F0099">
        <w:t>Davidson, R. 2014, The noodle</w:t>
      </w:r>
      <w:r w:rsidR="00FE23A3">
        <w:noBreakHyphen/>
      </w:r>
      <w:r w:rsidRPr="002F0099">
        <w:t>bowl effect: Australian trade is increasingly complex, The Conversation</w:t>
      </w:r>
      <w:r>
        <w:t>,</w:t>
      </w:r>
      <w:r w:rsidRPr="002F0099">
        <w:t xml:space="preserve"> November 28, </w:t>
      </w:r>
      <w:r w:rsidRPr="0007566B">
        <w:t>https://theconversation.com/the</w:t>
      </w:r>
      <w:r w:rsidR="00FE23A3">
        <w:noBreakHyphen/>
      </w:r>
      <w:r w:rsidRPr="0007566B">
        <w:t>noodle</w:t>
      </w:r>
      <w:r w:rsidR="00FE23A3">
        <w:noBreakHyphen/>
      </w:r>
      <w:r w:rsidRPr="0007566B">
        <w:t>bowl</w:t>
      </w:r>
      <w:r w:rsidR="00FE23A3">
        <w:noBreakHyphen/>
      </w:r>
      <w:r w:rsidRPr="0007566B">
        <w:t>effect</w:t>
      </w:r>
      <w:r w:rsidR="00FE23A3">
        <w:noBreakHyphen/>
      </w:r>
      <w:r w:rsidRPr="0007566B">
        <w:t>australian</w:t>
      </w:r>
      <w:r w:rsidR="00FE23A3">
        <w:noBreakHyphen/>
      </w:r>
      <w:r w:rsidRPr="0007566B">
        <w:t>trade</w:t>
      </w:r>
      <w:r w:rsidR="00FE23A3">
        <w:noBreakHyphen/>
      </w:r>
      <w:r w:rsidRPr="0007566B">
        <w:t>is</w:t>
      </w:r>
      <w:r w:rsidR="00FE23A3">
        <w:noBreakHyphen/>
      </w:r>
      <w:r w:rsidRPr="0007566B">
        <w:t>increasingly</w:t>
      </w:r>
      <w:r w:rsidR="00FE23A3">
        <w:noBreakHyphen/>
      </w:r>
      <w:r w:rsidRPr="0007566B">
        <w:t>complex</w:t>
      </w:r>
      <w:r w:rsidR="00FE23A3">
        <w:noBreakHyphen/>
      </w:r>
      <w:r w:rsidRPr="0007566B">
        <w:t>34422</w:t>
      </w:r>
      <w:r>
        <w:rPr>
          <w:rStyle w:val="Hyperlink"/>
        </w:rPr>
        <w:t>.</w:t>
      </w:r>
    </w:p>
    <w:p w14:paraId="1C5919D2" w14:textId="7761A389" w:rsidR="00003AA9" w:rsidRPr="00414E7F" w:rsidRDefault="00003AA9" w:rsidP="00003AA9">
      <w:pPr>
        <w:pStyle w:val="Reference"/>
      </w:pPr>
      <w:proofErr w:type="spellStart"/>
      <w:r w:rsidRPr="00414E7F">
        <w:t>Destler</w:t>
      </w:r>
      <w:proofErr w:type="spellEnd"/>
      <w:r w:rsidRPr="00414E7F">
        <w:t xml:space="preserve">, I. M. 2003, US Trade Politics and Rules of Origin: Notes Towards A Paper, Workshop on Rules of Origin, Paris, May 24, Draft 15 May, </w:t>
      </w:r>
      <w:r w:rsidRPr="0007566B">
        <w:t>http://faculty.publicpolicy.umd.edu/sites/default/files/mdestler/files/roa.pdf</w:t>
      </w:r>
      <w:r w:rsidRPr="00414E7F">
        <w:t xml:space="preserve"> (accessed 22 March 2017)</w:t>
      </w:r>
    </w:p>
    <w:p w14:paraId="21406183" w14:textId="009247EE" w:rsidR="00003AA9" w:rsidRPr="002F0099" w:rsidRDefault="00003AA9" w:rsidP="00003AA9">
      <w:pPr>
        <w:pStyle w:val="Reference"/>
      </w:pPr>
      <w:proofErr w:type="spellStart"/>
      <w:r w:rsidRPr="002F0099">
        <w:t>DFAT</w:t>
      </w:r>
      <w:proofErr w:type="spellEnd"/>
      <w:r w:rsidRPr="002F0099">
        <w:t> </w:t>
      </w:r>
      <w:r>
        <w:t xml:space="preserve">(Department of Foreign Affairs and Trade) </w:t>
      </w:r>
      <w:r w:rsidRPr="002F0099">
        <w:t xml:space="preserve">2017, Certificates of Origin, </w:t>
      </w:r>
      <w:r w:rsidRPr="0007566B">
        <w:t>http://dfat.gov.au/trade/topics/Pages/certificates</w:t>
      </w:r>
      <w:r w:rsidR="00FE23A3">
        <w:noBreakHyphen/>
      </w:r>
      <w:r w:rsidRPr="0007566B">
        <w:t>of</w:t>
      </w:r>
      <w:r w:rsidR="00FE23A3">
        <w:noBreakHyphen/>
      </w:r>
      <w:r w:rsidRPr="0007566B">
        <w:t>origin.aspx</w:t>
      </w:r>
      <w:r w:rsidRPr="002F0099">
        <w:t>. accessed 14 March.</w:t>
      </w:r>
    </w:p>
    <w:p w14:paraId="3DE9985C" w14:textId="77777777" w:rsidR="00003AA9" w:rsidRDefault="00003AA9" w:rsidP="00003AA9">
      <w:pPr>
        <w:pStyle w:val="Reference"/>
      </w:pPr>
      <w:r>
        <w:t>Donner Abreu, M. 2013, Preferential Rules of Origin in Regional Trade Agreements, World Trade Organization, Economics Research and Statistics Division</w:t>
      </w:r>
    </w:p>
    <w:p w14:paraId="4586DCFC" w14:textId="77777777" w:rsidR="00003AA9" w:rsidRDefault="00003AA9" w:rsidP="00003AA9">
      <w:pPr>
        <w:pStyle w:val="Reference"/>
      </w:pPr>
      <w:proofErr w:type="spellStart"/>
      <w:r>
        <w:t>Estevadeordal</w:t>
      </w:r>
      <w:proofErr w:type="spellEnd"/>
      <w:r>
        <w:t xml:space="preserve">, A. and </w:t>
      </w:r>
      <w:proofErr w:type="spellStart"/>
      <w:r>
        <w:t>Suominen</w:t>
      </w:r>
      <w:proofErr w:type="spellEnd"/>
      <w:r>
        <w:t xml:space="preserve">, K. 2003, Rules of Origin in the World Trading System, Paper prepared for the seminar on regional trade agreements &amp; the WTO, Centre William </w:t>
      </w:r>
      <w:proofErr w:type="spellStart"/>
      <w:r>
        <w:t>Rappard</w:t>
      </w:r>
      <w:proofErr w:type="spellEnd"/>
      <w:r>
        <w:t>, World Trade Organization, November 14.</w:t>
      </w:r>
    </w:p>
    <w:p w14:paraId="61D88809" w14:textId="1090D67F" w:rsidR="00003AA9" w:rsidRDefault="00003AA9" w:rsidP="00003AA9">
      <w:pPr>
        <w:pStyle w:val="Reference"/>
      </w:pPr>
      <w:r>
        <w:lastRenderedPageBreak/>
        <w:t>Gibbon, P. 2008, Rules of Origin and the European Union’s Preferential Trade Agreements, With Special Reference to the EU</w:t>
      </w:r>
      <w:r w:rsidR="00FE23A3">
        <w:noBreakHyphen/>
      </w:r>
      <w:proofErr w:type="spellStart"/>
      <w:r>
        <w:t>ACP</w:t>
      </w:r>
      <w:proofErr w:type="spellEnd"/>
      <w:r>
        <w:t xml:space="preserve"> Economic Partnership Agreements, Danish Institute for International Studies.</w:t>
      </w:r>
    </w:p>
    <w:p w14:paraId="4AE7AEF7" w14:textId="4849996E" w:rsidR="00003AA9" w:rsidRDefault="00003AA9" w:rsidP="00003AA9">
      <w:pPr>
        <w:pStyle w:val="Reference"/>
      </w:pPr>
      <w:r>
        <w:t>Griswold, D., T., 2003, Free</w:t>
      </w:r>
      <w:r w:rsidR="00FE23A3">
        <w:noBreakHyphen/>
      </w:r>
      <w:r>
        <w:t xml:space="preserve">trade Agreements: Steppingstones to a More Open World, Trade Briefing Paper 18, Centre for Trade Policy Studies, Cato Institute. </w:t>
      </w:r>
    </w:p>
    <w:p w14:paraId="35301093" w14:textId="77777777" w:rsidR="00003AA9" w:rsidRDefault="00003AA9" w:rsidP="00003AA9">
      <w:pPr>
        <w:pStyle w:val="Reference"/>
      </w:pPr>
      <w:proofErr w:type="spellStart"/>
      <w:r>
        <w:t>Hakobyan</w:t>
      </w:r>
      <w:proofErr w:type="spellEnd"/>
      <w:r>
        <w:t xml:space="preserve">, S. 2010, Accounting for Underutilization of Trade Preference Programs: US Generalized System of Preferences, Job Market Paper, University of Virginia, October. </w:t>
      </w:r>
    </w:p>
    <w:p w14:paraId="0FF89EE3" w14:textId="52F32788" w:rsidR="00003AA9" w:rsidRDefault="00003AA9" w:rsidP="00003AA9">
      <w:pPr>
        <w:pStyle w:val="Reference"/>
      </w:pPr>
      <w:r>
        <w:t>Hayakawa, K., Ito, T. 2015, Tariff Pass</w:t>
      </w:r>
      <w:r w:rsidR="00FE23A3">
        <w:noBreakHyphen/>
      </w:r>
      <w:r>
        <w:t>through of the World</w:t>
      </w:r>
      <w:r w:rsidR="00FE23A3">
        <w:noBreakHyphen/>
      </w:r>
      <w:r>
        <w:t>wide Trade: Empirical Evidence at Tariff</w:t>
      </w:r>
      <w:r w:rsidR="00FE23A3">
        <w:noBreakHyphen/>
      </w:r>
      <w:r>
        <w:t xml:space="preserve">line level, </w:t>
      </w:r>
      <w:proofErr w:type="spellStart"/>
      <w:r>
        <w:t>ERIA</w:t>
      </w:r>
      <w:proofErr w:type="spellEnd"/>
      <w:r>
        <w:t xml:space="preserve"> Discussion Paper Series, 2015</w:t>
      </w:r>
      <w:r w:rsidR="00FE23A3">
        <w:t>–</w:t>
      </w:r>
      <w:r>
        <w:t>34.</w:t>
      </w:r>
    </w:p>
    <w:p w14:paraId="4FF428E1" w14:textId="21D6199D" w:rsidR="00003AA9" w:rsidRDefault="00003AA9" w:rsidP="00003AA9">
      <w:pPr>
        <w:pStyle w:val="Reference"/>
      </w:pPr>
      <w:r>
        <w:t>——,  </w:t>
      </w:r>
      <w:proofErr w:type="spellStart"/>
      <w:r>
        <w:t>Laksanapanyakul</w:t>
      </w:r>
      <w:proofErr w:type="spellEnd"/>
      <w:r>
        <w:t>,</w:t>
      </w:r>
      <w:r w:rsidRPr="001C13AA">
        <w:t xml:space="preserve"> </w:t>
      </w:r>
      <w:r>
        <w:t xml:space="preserve">N., and Urata, S. 2015, Measuring the Costs of </w:t>
      </w:r>
      <w:proofErr w:type="spellStart"/>
      <w:r>
        <w:t>FTA</w:t>
      </w:r>
      <w:proofErr w:type="spellEnd"/>
      <w:r>
        <w:t xml:space="preserve"> Utilization: Evidence form Transaction</w:t>
      </w:r>
      <w:r w:rsidR="00FE23A3">
        <w:noBreakHyphen/>
      </w:r>
      <w:r>
        <w:t xml:space="preserve">level Import Data of Thailand, </w:t>
      </w:r>
      <w:proofErr w:type="spellStart"/>
      <w:r>
        <w:t>ERIA</w:t>
      </w:r>
      <w:proofErr w:type="spellEnd"/>
      <w:r>
        <w:t xml:space="preserve"> Discussion Paper Series, 2015</w:t>
      </w:r>
      <w:r w:rsidR="00FE23A3">
        <w:t>–</w:t>
      </w:r>
      <w:r>
        <w:t>38, May.</w:t>
      </w:r>
    </w:p>
    <w:p w14:paraId="64D12557" w14:textId="77777777" w:rsidR="00003AA9" w:rsidRDefault="00003AA9" w:rsidP="00003AA9">
      <w:pPr>
        <w:pStyle w:val="Reference"/>
      </w:pPr>
      <w:proofErr w:type="spellStart"/>
      <w:r>
        <w:t>Inama</w:t>
      </w:r>
      <w:proofErr w:type="spellEnd"/>
      <w:r>
        <w:t xml:space="preserve">, S. 2015, Ex Ore </w:t>
      </w:r>
      <w:proofErr w:type="spellStart"/>
      <w:r>
        <w:t>Tuo</w:t>
      </w:r>
      <w:proofErr w:type="spellEnd"/>
      <w:r>
        <w:t xml:space="preserve"> </w:t>
      </w:r>
      <w:proofErr w:type="spellStart"/>
      <w:r>
        <w:t>Te</w:t>
      </w:r>
      <w:proofErr w:type="spellEnd"/>
      <w:r>
        <w:t xml:space="preserve"> </w:t>
      </w:r>
      <w:proofErr w:type="spellStart"/>
      <w:r>
        <w:t>Iudico</w:t>
      </w:r>
      <w:proofErr w:type="spellEnd"/>
      <w:r>
        <w:t xml:space="preserve">: The Value of the WTO Ministerial Decision on Preferential </w:t>
      </w:r>
      <w:proofErr w:type="spellStart"/>
      <w:r>
        <w:t>RoO</w:t>
      </w:r>
      <w:proofErr w:type="spellEnd"/>
      <w:r>
        <w:t xml:space="preserve"> for </w:t>
      </w:r>
      <w:proofErr w:type="spellStart"/>
      <w:r>
        <w:t>LDCs</w:t>
      </w:r>
      <w:proofErr w:type="spellEnd"/>
      <w:r>
        <w:t xml:space="preserve">, </w:t>
      </w:r>
      <w:r w:rsidRPr="00876ADD">
        <w:rPr>
          <w:i/>
        </w:rPr>
        <w:t>Journal of World Trade</w:t>
      </w:r>
      <w:r>
        <w:t xml:space="preserve">, vol. 49, </w:t>
      </w:r>
      <w:proofErr w:type="spellStart"/>
      <w:r>
        <w:t>no.4</w:t>
      </w:r>
      <w:proofErr w:type="spellEnd"/>
      <w:r>
        <w:t>, pp. 591</w:t>
      </w:r>
      <w:r>
        <w:noBreakHyphen/>
        <w:t>618.</w:t>
      </w:r>
    </w:p>
    <w:p w14:paraId="46926022" w14:textId="77777777" w:rsidR="00003AA9" w:rsidRDefault="00003AA9" w:rsidP="00003AA9">
      <w:pPr>
        <w:pStyle w:val="Reference"/>
      </w:pPr>
      <w:r>
        <w:t>Jones, V. C. 2015, International Trade: Rules of Origin, Congressional Research Service, June 24.</w:t>
      </w:r>
    </w:p>
    <w:p w14:paraId="787ED6E8" w14:textId="235F84A4" w:rsidR="00003AA9" w:rsidRDefault="00003AA9" w:rsidP="00003AA9">
      <w:pPr>
        <w:pStyle w:val="Reference"/>
      </w:pPr>
      <w:r>
        <w:t xml:space="preserve">Keck, A. and </w:t>
      </w:r>
      <w:proofErr w:type="spellStart"/>
      <w:r>
        <w:t>Lendle</w:t>
      </w:r>
      <w:proofErr w:type="spellEnd"/>
      <w:r>
        <w:t xml:space="preserve">, A. 2012 New evidence on preference utilization, WTO Staff Working Paper No. </w:t>
      </w:r>
      <w:proofErr w:type="spellStart"/>
      <w:r>
        <w:t>ERSD</w:t>
      </w:r>
      <w:proofErr w:type="spellEnd"/>
      <w:r w:rsidR="00FE23A3">
        <w:noBreakHyphen/>
      </w:r>
      <w:r>
        <w:t>2012</w:t>
      </w:r>
      <w:r w:rsidR="00FE23A3">
        <w:t>–</w:t>
      </w:r>
      <w:r>
        <w:t>12</w:t>
      </w:r>
    </w:p>
    <w:p w14:paraId="35078B53" w14:textId="77777777" w:rsidR="00003AA9" w:rsidRDefault="00003AA9" w:rsidP="00003AA9">
      <w:pPr>
        <w:pStyle w:val="Reference"/>
      </w:pPr>
      <w:proofErr w:type="spellStart"/>
      <w:r>
        <w:t>Koehl</w:t>
      </w:r>
      <w:proofErr w:type="spellEnd"/>
      <w:r>
        <w:t xml:space="preserve">, M. and Doran, K. (no date), Made in America? Country of Origin Requirements in Federal Government Contracts, Shook, Doran, </w:t>
      </w:r>
      <w:proofErr w:type="spellStart"/>
      <w:r>
        <w:t>Koehl</w:t>
      </w:r>
      <w:proofErr w:type="spellEnd"/>
      <w:r>
        <w:t xml:space="preserve"> LLP (Government Contracts Law Firm).</w:t>
      </w:r>
    </w:p>
    <w:p w14:paraId="7D78D188" w14:textId="77777777" w:rsidR="00003AA9" w:rsidRDefault="00003AA9" w:rsidP="00003AA9">
      <w:pPr>
        <w:pStyle w:val="Reference"/>
      </w:pPr>
      <w:proofErr w:type="spellStart"/>
      <w:r>
        <w:t>Kohpaiboon</w:t>
      </w:r>
      <w:proofErr w:type="spellEnd"/>
      <w:r>
        <w:t xml:space="preserve">, A. and </w:t>
      </w:r>
      <w:proofErr w:type="spellStart"/>
      <w:r>
        <w:t>Jongwanich</w:t>
      </w:r>
      <w:proofErr w:type="spellEnd"/>
      <w:r>
        <w:t xml:space="preserve">, J. 2015, Use of </w:t>
      </w:r>
      <w:proofErr w:type="spellStart"/>
      <w:r>
        <w:t>FTAs</w:t>
      </w:r>
      <w:proofErr w:type="spellEnd"/>
      <w:r>
        <w:t xml:space="preserve"> from Thai Experience, </w:t>
      </w:r>
      <w:proofErr w:type="spellStart"/>
      <w:r>
        <w:t>ERIA</w:t>
      </w:r>
      <w:proofErr w:type="spellEnd"/>
      <w:r>
        <w:t xml:space="preserve"> Discussion Paper Series.</w:t>
      </w:r>
    </w:p>
    <w:p w14:paraId="1F0B3B34" w14:textId="67FCB8F4" w:rsidR="00003AA9" w:rsidRDefault="00003AA9" w:rsidP="00003AA9">
      <w:pPr>
        <w:pStyle w:val="Reference"/>
      </w:pPr>
      <w:r>
        <w:t xml:space="preserve">Lazaro, D. C. and </w:t>
      </w:r>
      <w:proofErr w:type="spellStart"/>
      <w:r>
        <w:t>Medalla</w:t>
      </w:r>
      <w:proofErr w:type="spellEnd"/>
      <w:r>
        <w:t xml:space="preserve">, E. M., 2005, Evolving Best Practices for </w:t>
      </w:r>
      <w:proofErr w:type="spellStart"/>
      <w:r>
        <w:t>RTAs</w:t>
      </w:r>
      <w:proofErr w:type="spellEnd"/>
      <w:r>
        <w:t>/</w:t>
      </w:r>
      <w:proofErr w:type="spellStart"/>
      <w:r>
        <w:t>FTAs</w:t>
      </w:r>
      <w:proofErr w:type="spellEnd"/>
      <w:r>
        <w:t>: Rules Of Origin, Paper prepared for the International Conference on Building and Asia</w:t>
      </w:r>
      <w:r w:rsidR="00FE23A3">
        <w:noBreakHyphen/>
      </w:r>
      <w:r>
        <w:t xml:space="preserve">Pacific Economic Community, </w:t>
      </w:r>
      <w:proofErr w:type="spellStart"/>
      <w:r>
        <w:t>Jeju</w:t>
      </w:r>
      <w:proofErr w:type="spellEnd"/>
      <w:r>
        <w:t>, Korea, May 22</w:t>
      </w:r>
      <w:r w:rsidR="00FE23A3">
        <w:noBreakHyphen/>
      </w:r>
      <w:r>
        <w:t>25</w:t>
      </w:r>
    </w:p>
    <w:p w14:paraId="0CEB09D8" w14:textId="77777777" w:rsidR="00003AA9" w:rsidRDefault="00003AA9" w:rsidP="00003AA9">
      <w:pPr>
        <w:pStyle w:val="Reference"/>
      </w:pPr>
      <w:proofErr w:type="spellStart"/>
      <w:r>
        <w:t>Lippoldt</w:t>
      </w:r>
      <w:proofErr w:type="spellEnd"/>
      <w:r>
        <w:t>, D. 2006, The Australian Preferential Tariff Regime, OECD Trade Policy Working Paper No. 33</w:t>
      </w:r>
    </w:p>
    <w:p w14:paraId="2FE54FAE" w14:textId="77777777" w:rsidR="00003AA9" w:rsidRDefault="00003AA9" w:rsidP="00003AA9">
      <w:pPr>
        <w:pStyle w:val="Reference"/>
      </w:pPr>
      <w:r>
        <w:t xml:space="preserve">Lloyd, P. and </w:t>
      </w:r>
      <w:proofErr w:type="spellStart"/>
      <w:r>
        <w:t>MacLaren</w:t>
      </w:r>
      <w:proofErr w:type="spellEnd"/>
      <w:r>
        <w:t xml:space="preserve">, D. 2009, Rules of Origin, Chapter 9 in </w:t>
      </w:r>
      <w:proofErr w:type="spellStart"/>
      <w:r>
        <w:t>Jayasuriya</w:t>
      </w:r>
      <w:proofErr w:type="spellEnd"/>
      <w:r>
        <w:t xml:space="preserve">, S., </w:t>
      </w:r>
      <w:proofErr w:type="spellStart"/>
      <w:r>
        <w:t>Maclaren</w:t>
      </w:r>
      <w:proofErr w:type="spellEnd"/>
      <w:r>
        <w:t>, D. and Magee, G. (eds.), Negotiating a Preferential Trading Agreement: Issues, Constraints and Practical Options, Edward Elgar Publishing House.</w:t>
      </w:r>
    </w:p>
    <w:p w14:paraId="0B2E8022" w14:textId="177B78D0" w:rsidR="00003AA9" w:rsidRDefault="00003AA9" w:rsidP="00003AA9">
      <w:pPr>
        <w:pStyle w:val="Reference"/>
      </w:pPr>
      <w:proofErr w:type="spellStart"/>
      <w:r>
        <w:t>Medalla</w:t>
      </w:r>
      <w:proofErr w:type="spellEnd"/>
      <w:r>
        <w:t xml:space="preserve">, E. 2015, Towards an Enabling Set of Rules of Origin for the Regional Comprehensive Economic Partnership, </w:t>
      </w:r>
      <w:proofErr w:type="spellStart"/>
      <w:r>
        <w:t>ERIA</w:t>
      </w:r>
      <w:proofErr w:type="spellEnd"/>
      <w:r>
        <w:t xml:space="preserve"> Discussion Paper Series 2015</w:t>
      </w:r>
      <w:r w:rsidR="00FE23A3">
        <w:t>–</w:t>
      </w:r>
      <w:r>
        <w:t>03.</w:t>
      </w:r>
    </w:p>
    <w:p w14:paraId="11F65B7E" w14:textId="77777777" w:rsidR="00003AA9" w:rsidRDefault="00003AA9" w:rsidP="00003AA9">
      <w:pPr>
        <w:pStyle w:val="Reference"/>
      </w:pPr>
      <w:r>
        <w:t>Nilsson, L. 2016, EU Exports and Uptake of Preferences: A First Analysis, Journal of World Trade, vol. 50, no. 2, pp. 219</w:t>
      </w:r>
      <w:r>
        <w:noBreakHyphen/>
        <w:t>252.</w:t>
      </w:r>
    </w:p>
    <w:p w14:paraId="33209AA9" w14:textId="1936D8AE" w:rsidR="00003AA9" w:rsidRDefault="00003AA9" w:rsidP="00003AA9">
      <w:pPr>
        <w:pStyle w:val="Reference"/>
      </w:pPr>
      <w:r>
        <w:t xml:space="preserve">Panasonic Corporation 2014, Private sector’s perspective on </w:t>
      </w:r>
      <w:proofErr w:type="spellStart"/>
      <w:r>
        <w:t>FTA</w:t>
      </w:r>
      <w:proofErr w:type="spellEnd"/>
      <w:r>
        <w:t xml:space="preserve"> utilization, presentation at </w:t>
      </w:r>
      <w:proofErr w:type="spellStart"/>
      <w:r>
        <w:t>WCO</w:t>
      </w:r>
      <w:proofErr w:type="spellEnd"/>
      <w:r>
        <w:t xml:space="preserve"> (World Customs Organization) 2014, Origin Conference, Brussels, 20</w:t>
      </w:r>
      <w:r w:rsidR="00FE23A3">
        <w:noBreakHyphen/>
      </w:r>
      <w:r>
        <w:t xml:space="preserve">21 January, </w:t>
      </w:r>
      <w:r w:rsidRPr="003770D6">
        <w:t>http://www.wcoomd.org/en/events/event</w:t>
      </w:r>
      <w:r w:rsidR="00FE23A3">
        <w:noBreakHyphen/>
      </w:r>
      <w:r w:rsidRPr="003770D6">
        <w:t>history/2014/wco</w:t>
      </w:r>
      <w:r w:rsidR="00FE23A3">
        <w:noBreakHyphen/>
      </w:r>
      <w:r w:rsidRPr="003770D6">
        <w:t>origin</w:t>
      </w:r>
      <w:r w:rsidR="00FE23A3">
        <w:noBreakHyphen/>
      </w:r>
      <w:r w:rsidRPr="003770D6">
        <w:t>conference</w:t>
      </w:r>
      <w:r w:rsidR="00FE23A3">
        <w:noBreakHyphen/>
      </w:r>
      <w:r w:rsidR="00131A2E">
        <w:br/>
      </w:r>
      <w:proofErr w:type="spellStart"/>
      <w:r w:rsidRPr="003770D6">
        <w:t>2014.aspx</w:t>
      </w:r>
      <w:proofErr w:type="spellEnd"/>
    </w:p>
    <w:p w14:paraId="04DA0D7B" w14:textId="47967388" w:rsidR="00003AA9" w:rsidRDefault="00003AA9" w:rsidP="00003AA9">
      <w:pPr>
        <w:pStyle w:val="Reference"/>
      </w:pPr>
      <w:proofErr w:type="spellStart"/>
      <w:r>
        <w:lastRenderedPageBreak/>
        <w:t>Pomfret</w:t>
      </w:r>
      <w:proofErr w:type="spellEnd"/>
      <w:r>
        <w:t>, R., Kaufmann, U. and Findlay, C. 2010, Are Preferential Tariffs Utilized? Evidence from Australian Imports 2000</w:t>
      </w:r>
      <w:r w:rsidR="00FE23A3">
        <w:noBreakHyphen/>
      </w:r>
      <w:r>
        <w:t>9, The University of Adelaide School of Economics, Research Paper No. 2010</w:t>
      </w:r>
      <w:r w:rsidR="00FE23A3">
        <w:t>–</w:t>
      </w:r>
      <w:r>
        <w:t>13, July.</w:t>
      </w:r>
    </w:p>
    <w:p w14:paraId="3C43D11F" w14:textId="7CFFD961" w:rsidR="00003AA9" w:rsidRDefault="00003AA9" w:rsidP="00003AA9">
      <w:pPr>
        <w:pStyle w:val="Reference"/>
      </w:pPr>
      <w:r>
        <w:t xml:space="preserve">Productivity Commission (PC) 2004, </w:t>
      </w:r>
      <w:r w:rsidRPr="000C5AD8">
        <w:rPr>
          <w:i/>
        </w:rPr>
        <w:t>Rules Of Origin under the Australia</w:t>
      </w:r>
      <w:r w:rsidR="00FE23A3">
        <w:rPr>
          <w:i/>
        </w:rPr>
        <w:noBreakHyphen/>
      </w:r>
      <w:r w:rsidRPr="000C5AD8">
        <w:rPr>
          <w:i/>
        </w:rPr>
        <w:t>New Zealand Closer Economic Relations Trade Agreement</w:t>
      </w:r>
      <w:r>
        <w:t>, Research Report, Canberra.</w:t>
      </w:r>
    </w:p>
    <w:p w14:paraId="10BA56E6" w14:textId="77777777" w:rsidR="00003AA9" w:rsidRDefault="00003AA9" w:rsidP="00003AA9">
      <w:pPr>
        <w:pStyle w:val="Reference"/>
      </w:pPr>
      <w:r>
        <w:t xml:space="preserve">—— 2010, </w:t>
      </w:r>
      <w:r w:rsidRPr="000C5AD8">
        <w:rPr>
          <w:i/>
        </w:rPr>
        <w:t>Bilateral and regional Trade Agreements</w:t>
      </w:r>
      <w:r>
        <w:t>, Research Report, Canberra.</w:t>
      </w:r>
    </w:p>
    <w:p w14:paraId="57A477B7" w14:textId="77777777" w:rsidR="00003AA9" w:rsidRDefault="00003AA9" w:rsidP="00003AA9">
      <w:pPr>
        <w:pStyle w:val="Reference"/>
      </w:pPr>
      <w:proofErr w:type="spellStart"/>
      <w:r>
        <w:t>Ratananarumitsorn</w:t>
      </w:r>
      <w:proofErr w:type="spellEnd"/>
      <w:r>
        <w:t xml:space="preserve">, T., </w:t>
      </w:r>
      <w:proofErr w:type="spellStart"/>
      <w:r>
        <w:t>Piyanirun</w:t>
      </w:r>
      <w:proofErr w:type="spellEnd"/>
      <w:r>
        <w:t xml:space="preserve">, T., </w:t>
      </w:r>
      <w:proofErr w:type="spellStart"/>
      <w:r>
        <w:t>Laksanapanyakul</w:t>
      </w:r>
      <w:proofErr w:type="spellEnd"/>
      <w:r>
        <w:t xml:space="preserve">, N. 2008, The Utilization of Free Trade Agreement Preferences: The Case of Thai Agricultural Exports, </w:t>
      </w:r>
      <w:proofErr w:type="spellStart"/>
      <w:r>
        <w:t>TDRI</w:t>
      </w:r>
      <w:proofErr w:type="spellEnd"/>
      <w:r>
        <w:t xml:space="preserve"> Quarterly Review, September.</w:t>
      </w:r>
    </w:p>
    <w:p w14:paraId="5B91903B" w14:textId="751E63D3" w:rsidR="00003AA9" w:rsidRDefault="00003AA9" w:rsidP="00003AA9">
      <w:pPr>
        <w:pStyle w:val="Reference"/>
      </w:pPr>
      <w:proofErr w:type="spellStart"/>
      <w:r>
        <w:t>WCO</w:t>
      </w:r>
      <w:proofErr w:type="spellEnd"/>
      <w:r>
        <w:t xml:space="preserve"> (World Customs Organization) 2014, Origin Conference, Brussels, 20</w:t>
      </w:r>
      <w:r w:rsidR="00FE23A3">
        <w:noBreakHyphen/>
      </w:r>
      <w:r>
        <w:t xml:space="preserve">21 January, </w:t>
      </w:r>
      <w:r w:rsidR="0007566B" w:rsidRPr="0007566B">
        <w:t>http://www.wcoomd.org/en/events/event</w:t>
      </w:r>
      <w:r w:rsidR="00FE23A3">
        <w:noBreakHyphen/>
      </w:r>
      <w:r w:rsidR="0007566B" w:rsidRPr="0007566B">
        <w:t>history/2014/wco</w:t>
      </w:r>
      <w:r w:rsidR="00FE23A3">
        <w:noBreakHyphen/>
      </w:r>
      <w:r w:rsidR="0007566B" w:rsidRPr="0007566B">
        <w:t>origin</w:t>
      </w:r>
      <w:r w:rsidR="00FE23A3">
        <w:noBreakHyphen/>
      </w:r>
      <w:r w:rsidR="0007566B" w:rsidRPr="0007566B">
        <w:t>conference</w:t>
      </w:r>
      <w:r w:rsidR="00FE23A3">
        <w:noBreakHyphen/>
      </w:r>
      <w:r w:rsidR="0007566B" w:rsidRPr="0007566B">
        <w:t>2014.aspx</w:t>
      </w:r>
    </w:p>
    <w:p w14:paraId="7A56FEB9" w14:textId="768E498C" w:rsidR="00003AA9" w:rsidRPr="0007566B" w:rsidRDefault="00003AA9" w:rsidP="0007566B">
      <w:pPr>
        <w:pStyle w:val="Reference"/>
      </w:pPr>
      <w:r w:rsidRPr="0007566B">
        <w:t xml:space="preserve">WTO (World Trade Organization) 2002, Rules of origin regimes in regional trade agreements, WTO Committee on Regional Trade Agreements, </w:t>
      </w:r>
      <w:proofErr w:type="spellStart"/>
      <w:r w:rsidRPr="0007566B">
        <w:t>WT</w:t>
      </w:r>
      <w:proofErr w:type="spellEnd"/>
      <w:r w:rsidRPr="0007566B">
        <w:t>/</w:t>
      </w:r>
      <w:proofErr w:type="spellStart"/>
      <w:r w:rsidRPr="0007566B">
        <w:t>REG</w:t>
      </w:r>
      <w:proofErr w:type="spellEnd"/>
      <w:r w:rsidRPr="0007566B">
        <w:t>/W/45.</w:t>
      </w:r>
    </w:p>
    <w:p w14:paraId="7676F07F" w14:textId="3BD092AB" w:rsidR="00003AA9" w:rsidRPr="0007566B" w:rsidRDefault="00003AA9" w:rsidP="0007566B">
      <w:pPr>
        <w:pStyle w:val="Reference"/>
      </w:pPr>
      <w:r w:rsidRPr="0007566B">
        <w:t xml:space="preserve">WTO Forum 2013, Are </w:t>
      </w:r>
      <w:proofErr w:type="spellStart"/>
      <w:r w:rsidRPr="0007566B">
        <w:t>RTAs</w:t>
      </w:r>
      <w:proofErr w:type="spellEnd"/>
      <w:r w:rsidRPr="0007566B">
        <w:t xml:space="preserve"> stepping stones or obstacles to the trading system? , 27 May 2013, https://</w:t>
      </w:r>
      <w:proofErr w:type="spellStart"/>
      <w:r w:rsidRPr="0007566B">
        <w:t>www.wto.org</w:t>
      </w:r>
      <w:proofErr w:type="spellEnd"/>
      <w:r w:rsidRPr="0007566B">
        <w:t>/</w:t>
      </w:r>
      <w:proofErr w:type="spellStart"/>
      <w:r w:rsidRPr="0007566B">
        <w:t>english</w:t>
      </w:r>
      <w:proofErr w:type="spellEnd"/>
      <w:r w:rsidRPr="0007566B">
        <w:t>/</w:t>
      </w:r>
      <w:proofErr w:type="spellStart"/>
      <w:r w:rsidRPr="0007566B">
        <w:t>forums_e</w:t>
      </w:r>
      <w:proofErr w:type="spellEnd"/>
      <w:r w:rsidRPr="0007566B">
        <w:t>/</w:t>
      </w:r>
      <w:proofErr w:type="spellStart"/>
      <w:r w:rsidRPr="0007566B">
        <w:t>debates_e</w:t>
      </w:r>
      <w:proofErr w:type="spellEnd"/>
      <w:r w:rsidRPr="0007566B">
        <w:t>/</w:t>
      </w:r>
      <w:proofErr w:type="spellStart"/>
      <w:r w:rsidRPr="0007566B">
        <w:t>debate3_e.htm</w:t>
      </w:r>
      <w:proofErr w:type="spellEnd"/>
      <w:r w:rsidRPr="0007566B">
        <w:t>, accessed 20 February 2016</w:t>
      </w:r>
    </w:p>
    <w:sectPr w:rsidR="00003AA9" w:rsidRPr="0007566B" w:rsidSect="001C146A">
      <w:headerReference w:type="even" r:id="rId19"/>
      <w:headerReference w:type="default" r:id="rId20"/>
      <w:footerReference w:type="even" r:id="rId21"/>
      <w:footerReference w:type="default" r:id="rId22"/>
      <w:type w:val="oddPage"/>
      <w:pgSz w:w="11907" w:h="16840" w:code="9"/>
      <w:pgMar w:top="1984"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44CEC" w14:textId="77777777" w:rsidR="007C3379" w:rsidRDefault="007C3379">
      <w:r>
        <w:separator/>
      </w:r>
    </w:p>
  </w:endnote>
  <w:endnote w:type="continuationSeparator" w:id="0">
    <w:p w14:paraId="7A261E98" w14:textId="77777777" w:rsidR="007C3379" w:rsidRDefault="007C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C3379" w14:paraId="223F879E" w14:textId="77777777" w:rsidTr="00666BFE">
      <w:trPr>
        <w:trHeight w:hRule="exact" w:val="567"/>
      </w:trPr>
      <w:tc>
        <w:tcPr>
          <w:tcW w:w="510" w:type="dxa"/>
        </w:tcPr>
        <w:p w14:paraId="21426993" w14:textId="77777777" w:rsidR="007C3379" w:rsidRPr="00A24443" w:rsidRDefault="007C3379" w:rsidP="008975BC">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7045">
            <w:rPr>
              <w:rStyle w:val="PageNumber"/>
              <w:caps w:val="0"/>
              <w:noProof/>
            </w:rPr>
            <w:t>4</w:t>
          </w:r>
          <w:r w:rsidRPr="00A24443">
            <w:rPr>
              <w:rStyle w:val="PageNumber"/>
              <w:caps w:val="0"/>
            </w:rPr>
            <w:fldChar w:fldCharType="end"/>
          </w:r>
        </w:p>
      </w:tc>
      <w:tc>
        <w:tcPr>
          <w:tcW w:w="7767" w:type="dxa"/>
        </w:tcPr>
        <w:p w14:paraId="0BD8E80C" w14:textId="189AB7CA" w:rsidR="007C3379" w:rsidRPr="0013739A" w:rsidRDefault="007C3379" w:rsidP="008975BC">
          <w:pPr>
            <w:pStyle w:val="Footer"/>
            <w:rPr>
              <w:rFonts w:cs="Arial"/>
            </w:rPr>
          </w:pPr>
          <w:r>
            <w:rPr>
              <w:rFonts w:cs="Arial"/>
            </w:rPr>
            <w:t>staff research note</w:t>
          </w:r>
        </w:p>
      </w:tc>
      <w:tc>
        <w:tcPr>
          <w:tcW w:w="510" w:type="dxa"/>
        </w:tcPr>
        <w:p w14:paraId="1B4ADE51" w14:textId="77777777" w:rsidR="007C3379" w:rsidRDefault="007C3379" w:rsidP="008975BC">
          <w:pPr>
            <w:pStyle w:val="Footer"/>
          </w:pPr>
        </w:p>
      </w:tc>
    </w:tr>
  </w:tbl>
  <w:p w14:paraId="7A428918" w14:textId="77777777" w:rsidR="007C3379" w:rsidRDefault="007C3379" w:rsidP="008975B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C3379" w14:paraId="5E843D95" w14:textId="77777777" w:rsidTr="007050BF">
      <w:trPr>
        <w:trHeight w:hRule="exact" w:val="567"/>
      </w:trPr>
      <w:tc>
        <w:tcPr>
          <w:tcW w:w="510" w:type="dxa"/>
        </w:tcPr>
        <w:p w14:paraId="7AEB7064" w14:textId="77777777" w:rsidR="007C3379" w:rsidRDefault="007C3379" w:rsidP="007050BF">
          <w:pPr>
            <w:pStyle w:val="Footer"/>
            <w:ind w:right="360" w:firstLine="360"/>
          </w:pPr>
        </w:p>
      </w:tc>
      <w:tc>
        <w:tcPr>
          <w:tcW w:w="7767" w:type="dxa"/>
        </w:tcPr>
        <w:p w14:paraId="3543A5A3" w14:textId="4528AA52" w:rsidR="007C3379" w:rsidRPr="00BA5B14" w:rsidRDefault="007C3379" w:rsidP="007050BF">
          <w:pPr>
            <w:pStyle w:val="Footer"/>
            <w:jc w:val="right"/>
            <w:rPr>
              <w:rFonts w:cs="Arial"/>
            </w:rPr>
          </w:pPr>
          <w:r>
            <w:rPr>
              <w:rFonts w:cs="Arial"/>
            </w:rPr>
            <w:t>rules of origin</w:t>
          </w:r>
        </w:p>
      </w:tc>
      <w:tc>
        <w:tcPr>
          <w:tcW w:w="510" w:type="dxa"/>
        </w:tcPr>
        <w:p w14:paraId="7F363B0C" w14:textId="77777777" w:rsidR="007C3379" w:rsidRPr="00A24443" w:rsidRDefault="007C3379" w:rsidP="007050B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7045">
            <w:rPr>
              <w:rStyle w:val="PageNumber"/>
              <w:caps w:val="0"/>
              <w:noProof/>
            </w:rPr>
            <w:t>3</w:t>
          </w:r>
          <w:r w:rsidRPr="00A24443">
            <w:rPr>
              <w:rStyle w:val="PageNumber"/>
              <w:caps w:val="0"/>
            </w:rPr>
            <w:fldChar w:fldCharType="end"/>
          </w:r>
        </w:p>
      </w:tc>
    </w:tr>
  </w:tbl>
  <w:p w14:paraId="123B71A5" w14:textId="77777777" w:rsidR="007C3379" w:rsidRDefault="007C337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C3379" w14:paraId="25FC5055" w14:textId="77777777" w:rsidTr="005F48ED">
      <w:trPr>
        <w:trHeight w:hRule="exact" w:val="567"/>
      </w:trPr>
      <w:tc>
        <w:tcPr>
          <w:tcW w:w="510" w:type="dxa"/>
        </w:tcPr>
        <w:p w14:paraId="2E69A972" w14:textId="77777777" w:rsidR="007C3379" w:rsidRPr="00A24443" w:rsidRDefault="007C337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7045">
            <w:rPr>
              <w:rStyle w:val="PageNumber"/>
              <w:caps w:val="0"/>
              <w:noProof/>
            </w:rPr>
            <w:t>36</w:t>
          </w:r>
          <w:r w:rsidRPr="00A24443">
            <w:rPr>
              <w:rStyle w:val="PageNumber"/>
              <w:caps w:val="0"/>
            </w:rPr>
            <w:fldChar w:fldCharType="end"/>
          </w:r>
        </w:p>
      </w:tc>
      <w:tc>
        <w:tcPr>
          <w:tcW w:w="7767" w:type="dxa"/>
        </w:tcPr>
        <w:p w14:paraId="26965348" w14:textId="6AB0665E" w:rsidR="007C3379" w:rsidRPr="0013739A" w:rsidRDefault="007C3379" w:rsidP="0013739A">
          <w:pPr>
            <w:pStyle w:val="Footer"/>
            <w:rPr>
              <w:rFonts w:cs="Arial"/>
            </w:rPr>
          </w:pPr>
          <w:bookmarkStart w:id="2" w:name="DraftReportEven"/>
          <w:bookmarkEnd w:id="2"/>
          <w:r>
            <w:rPr>
              <w:rFonts w:cs="Arial"/>
            </w:rPr>
            <w:t>staff research note</w:t>
          </w:r>
        </w:p>
      </w:tc>
      <w:tc>
        <w:tcPr>
          <w:tcW w:w="510" w:type="dxa"/>
        </w:tcPr>
        <w:p w14:paraId="7005B4F7" w14:textId="77777777" w:rsidR="007C3379" w:rsidRDefault="007C3379" w:rsidP="0019293B">
          <w:pPr>
            <w:pStyle w:val="Footer"/>
          </w:pPr>
        </w:p>
      </w:tc>
    </w:tr>
  </w:tbl>
  <w:p w14:paraId="5BA2963B" w14:textId="77777777" w:rsidR="007C3379" w:rsidRDefault="007C3379" w:rsidP="0019293B">
    <w:pPr>
      <w:pStyle w:val="FooterEnd"/>
    </w:pPr>
  </w:p>
  <w:p w14:paraId="076A4EF9" w14:textId="77777777" w:rsidR="007C3379" w:rsidRDefault="007C3379" w:rsidP="0019293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C3379" w14:paraId="3DEDAE3C" w14:textId="77777777" w:rsidTr="005F48ED">
      <w:trPr>
        <w:trHeight w:hRule="exact" w:val="567"/>
      </w:trPr>
      <w:tc>
        <w:tcPr>
          <w:tcW w:w="510" w:type="dxa"/>
        </w:tcPr>
        <w:p w14:paraId="66AD5095" w14:textId="77777777" w:rsidR="007C3379" w:rsidRDefault="007C3379">
          <w:pPr>
            <w:pStyle w:val="Footer"/>
            <w:ind w:right="360" w:firstLine="360"/>
          </w:pPr>
        </w:p>
      </w:tc>
      <w:tc>
        <w:tcPr>
          <w:tcW w:w="7767" w:type="dxa"/>
        </w:tcPr>
        <w:p w14:paraId="21F95DBD" w14:textId="4CC6F517" w:rsidR="007C3379" w:rsidRPr="00BA5B14" w:rsidRDefault="007C3379" w:rsidP="0013739A">
          <w:pPr>
            <w:pStyle w:val="Footer"/>
            <w:jc w:val="right"/>
            <w:rPr>
              <w:rFonts w:cs="Arial"/>
            </w:rPr>
          </w:pPr>
          <w:r>
            <w:rPr>
              <w:rFonts w:cs="Arial"/>
            </w:rPr>
            <w:t>rules of ORIGIN</w:t>
          </w:r>
          <w:r w:rsidRPr="00BA5B14">
            <w:rPr>
              <w:rFonts w:cs="Arial"/>
            </w:rPr>
            <w:fldChar w:fldCharType="begin"/>
          </w:r>
          <w:r w:rsidRPr="00BA5B14">
            <w:rPr>
              <w:rFonts w:cs="Arial"/>
            </w:rPr>
            <w:instrText xml:space="preserve"> TITLE  \* MERGEFORMAT </w:instrText>
          </w:r>
          <w:r w:rsidRPr="00BA5B14">
            <w:rPr>
              <w:rFonts w:cs="Arial"/>
            </w:rPr>
            <w:fldChar w:fldCharType="end"/>
          </w:r>
        </w:p>
      </w:tc>
      <w:tc>
        <w:tcPr>
          <w:tcW w:w="510" w:type="dxa"/>
        </w:tcPr>
        <w:p w14:paraId="768DEDEE" w14:textId="77777777" w:rsidR="007C3379" w:rsidRPr="00A24443" w:rsidRDefault="007C337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D7045">
            <w:rPr>
              <w:rStyle w:val="PageNumber"/>
              <w:caps w:val="0"/>
              <w:noProof/>
            </w:rPr>
            <w:t>37</w:t>
          </w:r>
          <w:r w:rsidRPr="00A24443">
            <w:rPr>
              <w:rStyle w:val="PageNumber"/>
              <w:caps w:val="0"/>
            </w:rPr>
            <w:fldChar w:fldCharType="end"/>
          </w:r>
        </w:p>
      </w:tc>
    </w:tr>
  </w:tbl>
  <w:p w14:paraId="6242077D" w14:textId="77777777" w:rsidR="007C3379" w:rsidRDefault="007C3379">
    <w:pPr>
      <w:pStyle w:val="FooterEnd"/>
    </w:pPr>
  </w:p>
  <w:p w14:paraId="1A26427E" w14:textId="77777777" w:rsidR="007C3379" w:rsidRDefault="007C3379" w:rsidP="00666B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0DD52" w14:textId="77777777" w:rsidR="007C3379" w:rsidRDefault="007C3379">
      <w:r>
        <w:separator/>
      </w:r>
    </w:p>
  </w:footnote>
  <w:footnote w:type="continuationSeparator" w:id="0">
    <w:p w14:paraId="10D51343" w14:textId="77777777" w:rsidR="007C3379" w:rsidRDefault="007C3379">
      <w:r>
        <w:continuationSeparator/>
      </w:r>
    </w:p>
  </w:footnote>
  <w:footnote w:id="1">
    <w:p w14:paraId="127B9F64" w14:textId="3060FD8F" w:rsidR="007C3379" w:rsidRDefault="007C3379">
      <w:pPr>
        <w:pStyle w:val="FootnoteText"/>
      </w:pPr>
      <w:r>
        <w:rPr>
          <w:rStyle w:val="FootnoteReference"/>
        </w:rPr>
        <w:footnoteRef/>
      </w:r>
      <w:r>
        <w:tab/>
        <w:t>Although many PTAs are labelled Free Trade Agreements, they rarely reduce barriers to trade between the partner countries sufficiently to warrant this title — they are typically full of exclusions and restrictions to ‘free trade’.</w:t>
      </w:r>
    </w:p>
  </w:footnote>
  <w:footnote w:id="2">
    <w:p w14:paraId="2B9E87EF" w14:textId="6DF96CF5" w:rsidR="007C3379" w:rsidRDefault="007C3379">
      <w:pPr>
        <w:pStyle w:val="FootnoteText"/>
      </w:pPr>
      <w:r>
        <w:rPr>
          <w:rStyle w:val="FootnoteReference"/>
        </w:rPr>
        <w:footnoteRef/>
      </w:r>
      <w:r>
        <w:tab/>
        <w:t>Around half of all products have a Most Favoured Nation (MFN) tariff of zero. The MFN tariff rate applies to imports from countries other than parties to a PTA. Australian MFN rates have been 5 per cent or below since 1996 except imported textiles, footwear, clothing and automobiles, for which tariffs were variously lowered from 15 per cent in 2005, to 10 per cent in 2010 and 5 per cent since 2015.</w:t>
      </w:r>
    </w:p>
  </w:footnote>
  <w:footnote w:id="3">
    <w:p w14:paraId="070A64D5" w14:textId="59314F85" w:rsidR="007C3379" w:rsidRDefault="007C3379">
      <w:pPr>
        <w:pStyle w:val="FootnoteText"/>
      </w:pPr>
      <w:r>
        <w:rPr>
          <w:rStyle w:val="FootnoteReference"/>
        </w:rPr>
        <w:footnoteRef/>
      </w:r>
      <w:r>
        <w:tab/>
      </w:r>
      <w:r w:rsidRPr="007E622B">
        <w:rPr>
          <w:rStyle w:val="FootnoteReference"/>
        </w:rPr>
        <w:t>They want to uphold strong local content rules (which they can meet) in order to maintain their role in global value chains.</w:t>
      </w:r>
    </w:p>
  </w:footnote>
  <w:footnote w:id="4">
    <w:p w14:paraId="7BD1B609" w14:textId="77777777" w:rsidR="007C3379" w:rsidRDefault="007C3379" w:rsidP="00F01537">
      <w:pPr>
        <w:pStyle w:val="FootnoteText"/>
      </w:pPr>
      <w:r>
        <w:rPr>
          <w:rStyle w:val="FootnoteReference"/>
        </w:rPr>
        <w:footnoteRef/>
      </w:r>
      <w:r>
        <w:tab/>
        <w:t xml:space="preserve">This is an aggregate approximation based on the reported results for each individual agreement. </w:t>
      </w:r>
    </w:p>
  </w:footnote>
  <w:footnote w:id="5">
    <w:p w14:paraId="63D0C2E0" w14:textId="77777777" w:rsidR="007C3379" w:rsidRDefault="007C3379" w:rsidP="003C270E">
      <w:pPr>
        <w:pStyle w:val="FootnoteText"/>
      </w:pPr>
      <w:r>
        <w:rPr>
          <w:rStyle w:val="FootnoteReference"/>
        </w:rPr>
        <w:footnoteRef/>
      </w:r>
      <w:r>
        <w:tab/>
        <w:t xml:space="preserve">The CTC-only results may be overstated. For example, when zero tariff rates are removed from the list of products in the US tariff schedule, around 70 per cent of tariff items are subject to a percentage rule (PC 2004, p. 33). </w:t>
      </w:r>
    </w:p>
  </w:footnote>
  <w:footnote w:id="6">
    <w:p w14:paraId="21C45C9F" w14:textId="77777777" w:rsidR="007C3379" w:rsidRDefault="007C3379" w:rsidP="00EC631A">
      <w:pPr>
        <w:pStyle w:val="FootnoteText"/>
      </w:pPr>
      <w:r>
        <w:rPr>
          <w:rStyle w:val="FootnoteReference"/>
        </w:rPr>
        <w:footnoteRef/>
      </w:r>
      <w:r>
        <w:tab/>
        <w:t xml:space="preserve">Nonetheless the choice test may be quite stringent if both the options are quite stringent. Choice, in and of itself, does not determine the restrictiveness of the </w:t>
      </w:r>
      <w:proofErr w:type="spellStart"/>
      <w:r>
        <w:t>RoO</w:t>
      </w:r>
      <w:proofErr w:type="spellEnd"/>
      <w:r>
        <w:t>.</w:t>
      </w:r>
    </w:p>
  </w:footnote>
  <w:footnote w:id="7">
    <w:p w14:paraId="204BA33A" w14:textId="6A3D488A" w:rsidR="007C3379" w:rsidRDefault="007C3379" w:rsidP="00832889">
      <w:pPr>
        <w:pStyle w:val="FootnoteText"/>
      </w:pPr>
      <w:r>
        <w:rPr>
          <w:rStyle w:val="FootnoteReference"/>
        </w:rPr>
        <w:footnoteRef/>
      </w:r>
      <w:r>
        <w:tab/>
        <w:t xml:space="preserve">The Research Report, </w:t>
      </w:r>
      <w:r w:rsidRPr="00467F38">
        <w:t>Rules of Origin under the Australia-New Zealand Closer Economic Relations Trade Agreement</w:t>
      </w:r>
      <w:r>
        <w:t xml:space="preserve"> (PC 2004), and </w:t>
      </w:r>
      <w:r w:rsidRPr="006F29D4">
        <w:t>Bilateral and Regional Trade Agreements</w:t>
      </w:r>
      <w:r>
        <w:t xml:space="preserve"> report (PC 2010).</w:t>
      </w:r>
    </w:p>
  </w:footnote>
  <w:footnote w:id="8">
    <w:p w14:paraId="10C19A20" w14:textId="4196F921" w:rsidR="007C3379" w:rsidRDefault="007C3379" w:rsidP="004E0B17">
      <w:pPr>
        <w:pStyle w:val="FootnoteText"/>
      </w:pPr>
      <w:r>
        <w:rPr>
          <w:rStyle w:val="FootnoteReference"/>
        </w:rPr>
        <w:footnoteRef/>
      </w:r>
      <w:r>
        <w:tab/>
        <w:t>Proof of origin may also arise under Australian consumer law. In the normal course of business a misleading and false origin claim (such as on labels and websites) may be prosecuted. A ‘safe harbour’ provision against false labelling exists if the trader can prove ‘substantial transformation’ and 50 per cent of value added (</w:t>
      </w:r>
      <w:proofErr w:type="spellStart"/>
      <w:r>
        <w:t>ACCC</w:t>
      </w:r>
      <w:proofErr w:type="spellEnd"/>
      <w:r>
        <w:t> 2014). Another example of proof of origin requirements is the tests applied for USA government procurement under the Buy America Act. These origin tests differ from the USA trade agreement origin tests (</w:t>
      </w:r>
      <w:proofErr w:type="spellStart"/>
      <w:r>
        <w:t>Koehl</w:t>
      </w:r>
      <w:proofErr w:type="spellEnd"/>
      <w:r>
        <w:t xml:space="preserve"> and Doran  </w:t>
      </w:r>
      <w:proofErr w:type="spellStart"/>
      <w:r>
        <w:t>n.d</w:t>
      </w:r>
      <w:proofErr w:type="spellEnd"/>
      <w:r>
        <w:t>).</w:t>
      </w:r>
    </w:p>
  </w:footnote>
  <w:footnote w:id="9">
    <w:p w14:paraId="6E427DFC" w14:textId="77777777" w:rsidR="007C3379" w:rsidRDefault="007C3379" w:rsidP="00D418C1">
      <w:pPr>
        <w:pStyle w:val="FootnoteText"/>
      </w:pPr>
      <w:r>
        <w:rPr>
          <w:rStyle w:val="FootnoteReference"/>
        </w:rPr>
        <w:footnoteRef/>
      </w:r>
      <w:r>
        <w:tab/>
        <w:t>Australia’s agreements do not specify how Australian exports should be ‘treated’. Perhaps future negotiations should consider agreeing a risk based, post cargo clearance approach to Australian origin goods, as occurs with NZ and USA (though not specified in the agreement).</w:t>
      </w:r>
    </w:p>
  </w:footnote>
  <w:footnote w:id="10">
    <w:p w14:paraId="07E82DE0" w14:textId="77777777" w:rsidR="007C3379" w:rsidRDefault="007C3379" w:rsidP="00074475">
      <w:pPr>
        <w:pStyle w:val="FootnoteText"/>
      </w:pPr>
      <w:r>
        <w:rPr>
          <w:rStyle w:val="FootnoteReference"/>
        </w:rPr>
        <w:footnoteRef/>
      </w:r>
      <w:r>
        <w:tab/>
        <w:t>The Commission was given examples of rejected Certificates because of change of font, border sizing, software changes to electronic signatures and not providing double sided copies. Mexico Customs reported that one problem under NAFTA has been where the importer relies on a Certificate supplied to it by the exporter but the exporter has subsequently changed address without notifying the importer (</w:t>
      </w:r>
      <w:proofErr w:type="spellStart"/>
      <w:r>
        <w:t>WCO</w:t>
      </w:r>
      <w:proofErr w:type="spellEnd"/>
      <w:r>
        <w:t> 2014). This results in verification problems with the importer’s claim for preferences.</w:t>
      </w:r>
    </w:p>
  </w:footnote>
  <w:footnote w:id="11">
    <w:p w14:paraId="7134B1A1" w14:textId="77777777" w:rsidR="007C3379" w:rsidRDefault="007C3379" w:rsidP="000374E6">
      <w:pPr>
        <w:pStyle w:val="FootnoteText"/>
      </w:pPr>
      <w:r>
        <w:rPr>
          <w:rStyle w:val="FootnoteReference"/>
        </w:rPr>
        <w:footnoteRef/>
      </w:r>
      <w:r>
        <w:tab/>
        <w:t>There is some debate about whether at this rate the loss in tariff revenue, which has to be replaced by a tax that may be more distortionary, is more than fully offset by the gains from reduced price distortions (Dixon paper ref). However, the models used to estimate this impact do not capture the dynamic effects of greater competition, nor the potential administrative savings for Customs.</w:t>
      </w:r>
    </w:p>
  </w:footnote>
  <w:footnote w:id="12">
    <w:p w14:paraId="5720CB8A" w14:textId="63861BAE" w:rsidR="007C3379" w:rsidRPr="00B0417B" w:rsidRDefault="007C3379" w:rsidP="007E622B">
      <w:pPr>
        <w:pStyle w:val="BodyText"/>
        <w:rPr>
          <w:rStyle w:val="FootnoteReference"/>
        </w:rPr>
      </w:pPr>
      <w:r>
        <w:rPr>
          <w:rStyle w:val="FootnoteReference"/>
        </w:rPr>
        <w:footnoteRef/>
      </w:r>
      <w:r>
        <w:t xml:space="preserve"> </w:t>
      </w:r>
      <w:proofErr w:type="spellStart"/>
      <w:r w:rsidRPr="00B0417B">
        <w:rPr>
          <w:rStyle w:val="FootnoteReference"/>
        </w:rPr>
        <w:t>DFAT</w:t>
      </w:r>
      <w:proofErr w:type="spellEnd"/>
      <w:r w:rsidRPr="00B0417B">
        <w:rPr>
          <w:rStyle w:val="FootnoteReference"/>
        </w:rPr>
        <w:t xml:space="preserve"> have argued that some of Australia’s PTA partners do not want </w:t>
      </w:r>
      <w:proofErr w:type="spellStart"/>
      <w:r w:rsidRPr="00B0417B">
        <w:rPr>
          <w:rStyle w:val="FootnoteReference"/>
        </w:rPr>
        <w:t>RoO</w:t>
      </w:r>
      <w:proofErr w:type="spellEnd"/>
      <w:r w:rsidRPr="00B0417B">
        <w:rPr>
          <w:rStyle w:val="FootnoteReference"/>
        </w:rPr>
        <w:t xml:space="preserve"> on all or some of their exports relaxed, and would resist this change, which would require a treaty amendment.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C3379" w14:paraId="52DF6A1C" w14:textId="77777777" w:rsidTr="00666BFE">
      <w:tc>
        <w:tcPr>
          <w:tcW w:w="2155" w:type="dxa"/>
          <w:tcBorders>
            <w:top w:val="single" w:sz="24" w:space="0" w:color="auto"/>
          </w:tcBorders>
        </w:tcPr>
        <w:p w14:paraId="285860B0" w14:textId="77777777" w:rsidR="007C3379" w:rsidRDefault="007C3379" w:rsidP="008975BC">
          <w:pPr>
            <w:pStyle w:val="HeaderEven"/>
          </w:pPr>
        </w:p>
      </w:tc>
      <w:tc>
        <w:tcPr>
          <w:tcW w:w="6634" w:type="dxa"/>
          <w:tcBorders>
            <w:top w:val="single" w:sz="6" w:space="0" w:color="auto"/>
          </w:tcBorders>
        </w:tcPr>
        <w:p w14:paraId="6181FD4D" w14:textId="77777777" w:rsidR="007C3379" w:rsidRDefault="007C3379" w:rsidP="008975BC">
          <w:pPr>
            <w:pStyle w:val="HeaderEven"/>
          </w:pPr>
        </w:p>
      </w:tc>
    </w:tr>
  </w:tbl>
  <w:p w14:paraId="5FF686AB" w14:textId="77777777" w:rsidR="007C3379" w:rsidRDefault="007C3379" w:rsidP="008975B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C3379" w14:paraId="391CFE4D" w14:textId="77777777" w:rsidTr="007050BF">
      <w:tc>
        <w:tcPr>
          <w:tcW w:w="6634" w:type="dxa"/>
          <w:tcBorders>
            <w:top w:val="single" w:sz="6" w:space="0" w:color="auto"/>
          </w:tcBorders>
        </w:tcPr>
        <w:p w14:paraId="658A0822" w14:textId="77777777" w:rsidR="007C3379" w:rsidRDefault="007C3379" w:rsidP="007050BF">
          <w:pPr>
            <w:pStyle w:val="HeaderOdd"/>
          </w:pPr>
        </w:p>
      </w:tc>
      <w:tc>
        <w:tcPr>
          <w:tcW w:w="2155" w:type="dxa"/>
          <w:tcBorders>
            <w:top w:val="single" w:sz="24" w:space="0" w:color="auto"/>
          </w:tcBorders>
        </w:tcPr>
        <w:p w14:paraId="7B66FDA1" w14:textId="77777777" w:rsidR="007C3379" w:rsidRDefault="007C3379" w:rsidP="007050BF">
          <w:pPr>
            <w:pStyle w:val="HeaderOdd"/>
          </w:pPr>
        </w:p>
      </w:tc>
    </w:tr>
  </w:tbl>
  <w:p w14:paraId="2854B0B5" w14:textId="77777777" w:rsidR="007C3379" w:rsidRDefault="007C3379" w:rsidP="007050B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C3379" w14:paraId="7D45C82B" w14:textId="77777777">
      <w:tc>
        <w:tcPr>
          <w:tcW w:w="2155" w:type="dxa"/>
          <w:tcBorders>
            <w:top w:val="single" w:sz="24" w:space="0" w:color="auto"/>
          </w:tcBorders>
        </w:tcPr>
        <w:p w14:paraId="4BF52A8D" w14:textId="77777777" w:rsidR="007C3379" w:rsidRDefault="007C3379" w:rsidP="0019293B">
          <w:pPr>
            <w:pStyle w:val="HeaderEven"/>
          </w:pPr>
        </w:p>
      </w:tc>
      <w:tc>
        <w:tcPr>
          <w:tcW w:w="6634" w:type="dxa"/>
          <w:tcBorders>
            <w:top w:val="single" w:sz="6" w:space="0" w:color="auto"/>
          </w:tcBorders>
        </w:tcPr>
        <w:p w14:paraId="176E4B27" w14:textId="77777777" w:rsidR="007C3379" w:rsidRDefault="007C3379" w:rsidP="0019293B">
          <w:pPr>
            <w:pStyle w:val="HeaderEven"/>
          </w:pPr>
        </w:p>
      </w:tc>
    </w:tr>
  </w:tbl>
  <w:p w14:paraId="791D11E1" w14:textId="77777777" w:rsidR="007C3379" w:rsidRDefault="007C3379" w:rsidP="0019293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C3379" w14:paraId="5556B5CF" w14:textId="77777777">
      <w:tc>
        <w:tcPr>
          <w:tcW w:w="6634" w:type="dxa"/>
          <w:tcBorders>
            <w:top w:val="single" w:sz="6" w:space="0" w:color="auto"/>
          </w:tcBorders>
        </w:tcPr>
        <w:p w14:paraId="2406A214" w14:textId="77777777" w:rsidR="007C3379" w:rsidRDefault="007C3379" w:rsidP="00E669E2">
          <w:pPr>
            <w:pStyle w:val="HeaderOdd"/>
          </w:pPr>
        </w:p>
      </w:tc>
      <w:tc>
        <w:tcPr>
          <w:tcW w:w="2155" w:type="dxa"/>
          <w:tcBorders>
            <w:top w:val="single" w:sz="24" w:space="0" w:color="auto"/>
          </w:tcBorders>
        </w:tcPr>
        <w:p w14:paraId="2D84A911" w14:textId="77777777" w:rsidR="007C3379" w:rsidRDefault="007C3379" w:rsidP="00E669E2">
          <w:pPr>
            <w:pStyle w:val="HeaderOdd"/>
          </w:pPr>
        </w:p>
      </w:tc>
    </w:tr>
  </w:tbl>
  <w:p w14:paraId="7A89AEB9" w14:textId="77777777" w:rsidR="007C3379" w:rsidRDefault="007C337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702DF2"/>
    <w:multiLevelType w:val="hybridMultilevel"/>
    <w:tmpl w:val="8C924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AF94DEE"/>
    <w:multiLevelType w:val="hybridMultilevel"/>
    <w:tmpl w:val="32901406"/>
    <w:lvl w:ilvl="0" w:tplc="715C7064">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55E426A"/>
    <w:multiLevelType w:val="hybridMultilevel"/>
    <w:tmpl w:val="890AE506"/>
    <w:lvl w:ilvl="0" w:tplc="DFA42DE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6F705DF"/>
    <w:multiLevelType w:val="hybridMultilevel"/>
    <w:tmpl w:val="2DD0FC2A"/>
    <w:lvl w:ilvl="0" w:tplc="09AC770A">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81C3FED"/>
    <w:multiLevelType w:val="hybridMultilevel"/>
    <w:tmpl w:val="9126EBC2"/>
    <w:lvl w:ilvl="0" w:tplc="E228B64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B141CFF"/>
    <w:multiLevelType w:val="hybridMultilevel"/>
    <w:tmpl w:val="124088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1BE5F10"/>
    <w:multiLevelType w:val="multilevel"/>
    <w:tmpl w:val="4686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024ED9"/>
    <w:multiLevelType w:val="hybridMultilevel"/>
    <w:tmpl w:val="2DD0FC2A"/>
    <w:lvl w:ilvl="0" w:tplc="09AC770A">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3"/>
  </w:num>
  <w:num w:numId="3">
    <w:abstractNumId w:val="16"/>
  </w:num>
  <w:num w:numId="4">
    <w:abstractNumId w:val="4"/>
  </w:num>
  <w:num w:numId="5">
    <w:abstractNumId w:val="23"/>
  </w:num>
  <w:num w:numId="6">
    <w:abstractNumId w:val="19"/>
  </w:num>
  <w:num w:numId="7">
    <w:abstractNumId w:val="8"/>
  </w:num>
  <w:num w:numId="8">
    <w:abstractNumId w:val="17"/>
  </w:num>
  <w:num w:numId="9">
    <w:abstractNumId w:val="7"/>
  </w:num>
  <w:num w:numId="10">
    <w:abstractNumId w:val="6"/>
  </w:num>
  <w:num w:numId="11">
    <w:abstractNumId w:val="11"/>
  </w:num>
  <w:num w:numId="12">
    <w:abstractNumId w:val="13"/>
  </w:num>
  <w:num w:numId="13">
    <w:abstractNumId w:val="5"/>
  </w:num>
  <w:num w:numId="14">
    <w:abstractNumId w:val="21"/>
  </w:num>
  <w:num w:numId="15">
    <w:abstractNumId w:val="28"/>
  </w:num>
  <w:num w:numId="16">
    <w:abstractNumId w:val="15"/>
  </w:num>
  <w:num w:numId="17">
    <w:abstractNumId w:val="29"/>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2"/>
  </w:num>
  <w:num w:numId="21">
    <w:abstractNumId w:val="9"/>
  </w:num>
  <w:num w:numId="22">
    <w:abstractNumId w:val="12"/>
  </w:num>
  <w:num w:numId="23">
    <w:abstractNumId w:val="27"/>
  </w:num>
  <w:num w:numId="24">
    <w:abstractNumId w:val="24"/>
  </w:num>
  <w:num w:numId="25">
    <w:abstractNumId w:val="18"/>
  </w:num>
  <w:num w:numId="26">
    <w:abstractNumId w:val="25"/>
  </w:num>
  <w:num w:numId="27">
    <w:abstractNumId w:val="20"/>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
  </w:num>
  <w:num w:numId="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ReportTitle" w:val="Reforms of Rules of Origin"/>
  </w:docVars>
  <w:rsids>
    <w:rsidRoot w:val="005A7D5E"/>
    <w:rsid w:val="00001155"/>
    <w:rsid w:val="00001E92"/>
    <w:rsid w:val="00003AA9"/>
    <w:rsid w:val="00006E22"/>
    <w:rsid w:val="0000722F"/>
    <w:rsid w:val="000074F7"/>
    <w:rsid w:val="000139E2"/>
    <w:rsid w:val="000227D5"/>
    <w:rsid w:val="000245AA"/>
    <w:rsid w:val="000361FC"/>
    <w:rsid w:val="0003664B"/>
    <w:rsid w:val="000374E6"/>
    <w:rsid w:val="0004111F"/>
    <w:rsid w:val="00044D16"/>
    <w:rsid w:val="00055077"/>
    <w:rsid w:val="000565B3"/>
    <w:rsid w:val="000625C0"/>
    <w:rsid w:val="0007150B"/>
    <w:rsid w:val="00073150"/>
    <w:rsid w:val="0007378A"/>
    <w:rsid w:val="00074475"/>
    <w:rsid w:val="0007566B"/>
    <w:rsid w:val="00076B02"/>
    <w:rsid w:val="000771F2"/>
    <w:rsid w:val="00083032"/>
    <w:rsid w:val="000847EA"/>
    <w:rsid w:val="000938F5"/>
    <w:rsid w:val="00095663"/>
    <w:rsid w:val="00096E55"/>
    <w:rsid w:val="0009783E"/>
    <w:rsid w:val="000A3835"/>
    <w:rsid w:val="000B1022"/>
    <w:rsid w:val="000B36F8"/>
    <w:rsid w:val="000B601B"/>
    <w:rsid w:val="000B677B"/>
    <w:rsid w:val="000C117D"/>
    <w:rsid w:val="000C207E"/>
    <w:rsid w:val="000C5DE4"/>
    <w:rsid w:val="000C7CE3"/>
    <w:rsid w:val="000D0F59"/>
    <w:rsid w:val="000D0F91"/>
    <w:rsid w:val="000D12EA"/>
    <w:rsid w:val="000D2A32"/>
    <w:rsid w:val="000D3D75"/>
    <w:rsid w:val="000D41E9"/>
    <w:rsid w:val="000D5249"/>
    <w:rsid w:val="000D6E1D"/>
    <w:rsid w:val="000D76D7"/>
    <w:rsid w:val="000E62DB"/>
    <w:rsid w:val="000E6837"/>
    <w:rsid w:val="000F001F"/>
    <w:rsid w:val="000F0035"/>
    <w:rsid w:val="000F04E7"/>
    <w:rsid w:val="000F060A"/>
    <w:rsid w:val="000F420B"/>
    <w:rsid w:val="000F539C"/>
    <w:rsid w:val="000F603E"/>
    <w:rsid w:val="00100C81"/>
    <w:rsid w:val="00110116"/>
    <w:rsid w:val="00114B2B"/>
    <w:rsid w:val="00115E87"/>
    <w:rsid w:val="00120072"/>
    <w:rsid w:val="00123120"/>
    <w:rsid w:val="00126EB8"/>
    <w:rsid w:val="001274D4"/>
    <w:rsid w:val="00131707"/>
    <w:rsid w:val="00131A2E"/>
    <w:rsid w:val="001363AA"/>
    <w:rsid w:val="001367BA"/>
    <w:rsid w:val="0013692E"/>
    <w:rsid w:val="0013739A"/>
    <w:rsid w:val="00142165"/>
    <w:rsid w:val="0014299A"/>
    <w:rsid w:val="00150382"/>
    <w:rsid w:val="001522C1"/>
    <w:rsid w:val="0015538B"/>
    <w:rsid w:val="0016104A"/>
    <w:rsid w:val="00162434"/>
    <w:rsid w:val="00164210"/>
    <w:rsid w:val="00172859"/>
    <w:rsid w:val="00172C3B"/>
    <w:rsid w:val="00173C47"/>
    <w:rsid w:val="00183E82"/>
    <w:rsid w:val="00186C3E"/>
    <w:rsid w:val="001878BB"/>
    <w:rsid w:val="00187D87"/>
    <w:rsid w:val="0019019C"/>
    <w:rsid w:val="00191AE0"/>
    <w:rsid w:val="0019293B"/>
    <w:rsid w:val="0019426B"/>
    <w:rsid w:val="001956B9"/>
    <w:rsid w:val="001A08CF"/>
    <w:rsid w:val="001A4E92"/>
    <w:rsid w:val="001A6A4B"/>
    <w:rsid w:val="001B1B42"/>
    <w:rsid w:val="001C0865"/>
    <w:rsid w:val="001C0AED"/>
    <w:rsid w:val="001C146A"/>
    <w:rsid w:val="001C17D4"/>
    <w:rsid w:val="001C3ABA"/>
    <w:rsid w:val="001C4573"/>
    <w:rsid w:val="001C5111"/>
    <w:rsid w:val="001C7B12"/>
    <w:rsid w:val="001E7701"/>
    <w:rsid w:val="001E7BE8"/>
    <w:rsid w:val="001F0248"/>
    <w:rsid w:val="001F068E"/>
    <w:rsid w:val="001F2149"/>
    <w:rsid w:val="001F2AE0"/>
    <w:rsid w:val="001F2E50"/>
    <w:rsid w:val="001F3EB3"/>
    <w:rsid w:val="001F4F86"/>
    <w:rsid w:val="00201115"/>
    <w:rsid w:val="00202C2C"/>
    <w:rsid w:val="00203050"/>
    <w:rsid w:val="00203826"/>
    <w:rsid w:val="0020491D"/>
    <w:rsid w:val="00212E62"/>
    <w:rsid w:val="002135AB"/>
    <w:rsid w:val="00213E6A"/>
    <w:rsid w:val="00213E8B"/>
    <w:rsid w:val="002144BE"/>
    <w:rsid w:val="00217FB4"/>
    <w:rsid w:val="002321EF"/>
    <w:rsid w:val="00232B1E"/>
    <w:rsid w:val="00234871"/>
    <w:rsid w:val="00242279"/>
    <w:rsid w:val="00243997"/>
    <w:rsid w:val="00244106"/>
    <w:rsid w:val="0024516C"/>
    <w:rsid w:val="00245C82"/>
    <w:rsid w:val="002477A5"/>
    <w:rsid w:val="00250875"/>
    <w:rsid w:val="00255939"/>
    <w:rsid w:val="0025770B"/>
    <w:rsid w:val="00263B0A"/>
    <w:rsid w:val="002675BD"/>
    <w:rsid w:val="002724BA"/>
    <w:rsid w:val="00275DEE"/>
    <w:rsid w:val="002820F0"/>
    <w:rsid w:val="00283756"/>
    <w:rsid w:val="00285EA8"/>
    <w:rsid w:val="00286CC2"/>
    <w:rsid w:val="00291421"/>
    <w:rsid w:val="00291B40"/>
    <w:rsid w:val="00291D05"/>
    <w:rsid w:val="00293318"/>
    <w:rsid w:val="0029616B"/>
    <w:rsid w:val="00297B13"/>
    <w:rsid w:val="00297E4A"/>
    <w:rsid w:val="002A4EFD"/>
    <w:rsid w:val="002B4008"/>
    <w:rsid w:val="002B4A6C"/>
    <w:rsid w:val="002B66E5"/>
    <w:rsid w:val="002C0A23"/>
    <w:rsid w:val="002C439F"/>
    <w:rsid w:val="002C47A3"/>
    <w:rsid w:val="002C53D4"/>
    <w:rsid w:val="002D0C42"/>
    <w:rsid w:val="002D0E8E"/>
    <w:rsid w:val="002D3780"/>
    <w:rsid w:val="002D3F2A"/>
    <w:rsid w:val="002F1FC9"/>
    <w:rsid w:val="002F2433"/>
    <w:rsid w:val="002F2680"/>
    <w:rsid w:val="00301189"/>
    <w:rsid w:val="00301E4A"/>
    <w:rsid w:val="00303007"/>
    <w:rsid w:val="00305557"/>
    <w:rsid w:val="003122DF"/>
    <w:rsid w:val="00313F8B"/>
    <w:rsid w:val="00314EC1"/>
    <w:rsid w:val="003168B8"/>
    <w:rsid w:val="00322D64"/>
    <w:rsid w:val="00323E09"/>
    <w:rsid w:val="0032563B"/>
    <w:rsid w:val="00333932"/>
    <w:rsid w:val="00336CEA"/>
    <w:rsid w:val="0034259B"/>
    <w:rsid w:val="00345021"/>
    <w:rsid w:val="0034519B"/>
    <w:rsid w:val="003518AA"/>
    <w:rsid w:val="00352165"/>
    <w:rsid w:val="00353182"/>
    <w:rsid w:val="00354710"/>
    <w:rsid w:val="003565D9"/>
    <w:rsid w:val="0035674F"/>
    <w:rsid w:val="00356E01"/>
    <w:rsid w:val="003602E1"/>
    <w:rsid w:val="00367180"/>
    <w:rsid w:val="0037026F"/>
    <w:rsid w:val="00371240"/>
    <w:rsid w:val="003734A9"/>
    <w:rsid w:val="00374731"/>
    <w:rsid w:val="00375DB9"/>
    <w:rsid w:val="00376E59"/>
    <w:rsid w:val="00377EC1"/>
    <w:rsid w:val="00380340"/>
    <w:rsid w:val="00381509"/>
    <w:rsid w:val="00381793"/>
    <w:rsid w:val="00386275"/>
    <w:rsid w:val="003919F9"/>
    <w:rsid w:val="003920CF"/>
    <w:rsid w:val="003A1EEF"/>
    <w:rsid w:val="003B0C04"/>
    <w:rsid w:val="003B23C2"/>
    <w:rsid w:val="003C0247"/>
    <w:rsid w:val="003C270E"/>
    <w:rsid w:val="003C38B5"/>
    <w:rsid w:val="003C5D99"/>
    <w:rsid w:val="003D1087"/>
    <w:rsid w:val="003D27CB"/>
    <w:rsid w:val="003E2F59"/>
    <w:rsid w:val="003E39F8"/>
    <w:rsid w:val="003E4AF5"/>
    <w:rsid w:val="003E5A52"/>
    <w:rsid w:val="003E746B"/>
    <w:rsid w:val="003F0789"/>
    <w:rsid w:val="00401882"/>
    <w:rsid w:val="00407F64"/>
    <w:rsid w:val="004100C8"/>
    <w:rsid w:val="00411DBD"/>
    <w:rsid w:val="004127F6"/>
    <w:rsid w:val="00412ACE"/>
    <w:rsid w:val="00413E03"/>
    <w:rsid w:val="004145D2"/>
    <w:rsid w:val="00420D9D"/>
    <w:rsid w:val="00422661"/>
    <w:rsid w:val="00425466"/>
    <w:rsid w:val="00426CB4"/>
    <w:rsid w:val="004300C6"/>
    <w:rsid w:val="00431249"/>
    <w:rsid w:val="00433FB1"/>
    <w:rsid w:val="00434C19"/>
    <w:rsid w:val="00443E4B"/>
    <w:rsid w:val="00447C68"/>
    <w:rsid w:val="00450810"/>
    <w:rsid w:val="004526B6"/>
    <w:rsid w:val="00452BBE"/>
    <w:rsid w:val="00455489"/>
    <w:rsid w:val="004578BE"/>
    <w:rsid w:val="00460F20"/>
    <w:rsid w:val="00462C59"/>
    <w:rsid w:val="00463F6D"/>
    <w:rsid w:val="004671F9"/>
    <w:rsid w:val="00470737"/>
    <w:rsid w:val="004766F6"/>
    <w:rsid w:val="00477144"/>
    <w:rsid w:val="00481AD9"/>
    <w:rsid w:val="00486930"/>
    <w:rsid w:val="00490A9C"/>
    <w:rsid w:val="00491380"/>
    <w:rsid w:val="0049459F"/>
    <w:rsid w:val="004957D2"/>
    <w:rsid w:val="00495B57"/>
    <w:rsid w:val="004A38DD"/>
    <w:rsid w:val="004A7C20"/>
    <w:rsid w:val="004B2463"/>
    <w:rsid w:val="004B43AE"/>
    <w:rsid w:val="004B6CA5"/>
    <w:rsid w:val="004C1573"/>
    <w:rsid w:val="004C30ED"/>
    <w:rsid w:val="004C5660"/>
    <w:rsid w:val="004D13B8"/>
    <w:rsid w:val="004D1631"/>
    <w:rsid w:val="004D3040"/>
    <w:rsid w:val="004D4F7E"/>
    <w:rsid w:val="004D5675"/>
    <w:rsid w:val="004D7EE2"/>
    <w:rsid w:val="004E0B17"/>
    <w:rsid w:val="004F011F"/>
    <w:rsid w:val="004F1520"/>
    <w:rsid w:val="004F34D2"/>
    <w:rsid w:val="0050079A"/>
    <w:rsid w:val="00504B4B"/>
    <w:rsid w:val="005070FA"/>
    <w:rsid w:val="0051322F"/>
    <w:rsid w:val="0051493B"/>
    <w:rsid w:val="00514A9D"/>
    <w:rsid w:val="00515711"/>
    <w:rsid w:val="00515CF7"/>
    <w:rsid w:val="005164F1"/>
    <w:rsid w:val="00517795"/>
    <w:rsid w:val="005177ED"/>
    <w:rsid w:val="00517B1F"/>
    <w:rsid w:val="00520528"/>
    <w:rsid w:val="00520D47"/>
    <w:rsid w:val="00520E60"/>
    <w:rsid w:val="00523639"/>
    <w:rsid w:val="005315F8"/>
    <w:rsid w:val="00531FE5"/>
    <w:rsid w:val="005402FA"/>
    <w:rsid w:val="005470DB"/>
    <w:rsid w:val="0055762E"/>
    <w:rsid w:val="005579A1"/>
    <w:rsid w:val="005634FB"/>
    <w:rsid w:val="00563A18"/>
    <w:rsid w:val="00563D1D"/>
    <w:rsid w:val="005729BD"/>
    <w:rsid w:val="00573437"/>
    <w:rsid w:val="00573BE3"/>
    <w:rsid w:val="00577173"/>
    <w:rsid w:val="00580154"/>
    <w:rsid w:val="0058099F"/>
    <w:rsid w:val="00582B59"/>
    <w:rsid w:val="00583C39"/>
    <w:rsid w:val="00586A90"/>
    <w:rsid w:val="005873FB"/>
    <w:rsid w:val="00587813"/>
    <w:rsid w:val="00587F28"/>
    <w:rsid w:val="005909CF"/>
    <w:rsid w:val="00591E71"/>
    <w:rsid w:val="0059329B"/>
    <w:rsid w:val="005A0D41"/>
    <w:rsid w:val="005A4BA0"/>
    <w:rsid w:val="005A7D5E"/>
    <w:rsid w:val="005B1889"/>
    <w:rsid w:val="005B2475"/>
    <w:rsid w:val="005C021A"/>
    <w:rsid w:val="005C0701"/>
    <w:rsid w:val="005D20C2"/>
    <w:rsid w:val="005D2285"/>
    <w:rsid w:val="005D329F"/>
    <w:rsid w:val="005D4002"/>
    <w:rsid w:val="005D58C6"/>
    <w:rsid w:val="005D5950"/>
    <w:rsid w:val="005D66A4"/>
    <w:rsid w:val="005E212F"/>
    <w:rsid w:val="005F2A6D"/>
    <w:rsid w:val="005F48ED"/>
    <w:rsid w:val="005F6F5D"/>
    <w:rsid w:val="00604A87"/>
    <w:rsid w:val="00605BEA"/>
    <w:rsid w:val="00606D58"/>
    <w:rsid w:val="00606E78"/>
    <w:rsid w:val="00607BF1"/>
    <w:rsid w:val="0061512B"/>
    <w:rsid w:val="006177C8"/>
    <w:rsid w:val="00623A57"/>
    <w:rsid w:val="00630D4D"/>
    <w:rsid w:val="00632A74"/>
    <w:rsid w:val="00637405"/>
    <w:rsid w:val="00637571"/>
    <w:rsid w:val="00654D42"/>
    <w:rsid w:val="00657851"/>
    <w:rsid w:val="00661195"/>
    <w:rsid w:val="00666BFE"/>
    <w:rsid w:val="00666E02"/>
    <w:rsid w:val="00667BCF"/>
    <w:rsid w:val="00681A56"/>
    <w:rsid w:val="0069390F"/>
    <w:rsid w:val="006A4655"/>
    <w:rsid w:val="006A4CF4"/>
    <w:rsid w:val="006B2B3C"/>
    <w:rsid w:val="006B326A"/>
    <w:rsid w:val="006B4116"/>
    <w:rsid w:val="006C1D81"/>
    <w:rsid w:val="006C5EFB"/>
    <w:rsid w:val="006C7038"/>
    <w:rsid w:val="006D0840"/>
    <w:rsid w:val="006D3DAC"/>
    <w:rsid w:val="006D5B74"/>
    <w:rsid w:val="006D671D"/>
    <w:rsid w:val="006D7C04"/>
    <w:rsid w:val="006E73EF"/>
    <w:rsid w:val="006E76B2"/>
    <w:rsid w:val="006F594A"/>
    <w:rsid w:val="006F730D"/>
    <w:rsid w:val="006F7E28"/>
    <w:rsid w:val="00700E42"/>
    <w:rsid w:val="007050BF"/>
    <w:rsid w:val="007079C9"/>
    <w:rsid w:val="0071372C"/>
    <w:rsid w:val="00714D4D"/>
    <w:rsid w:val="0071537B"/>
    <w:rsid w:val="007266D3"/>
    <w:rsid w:val="00726EDD"/>
    <w:rsid w:val="007271C2"/>
    <w:rsid w:val="00732029"/>
    <w:rsid w:val="00733282"/>
    <w:rsid w:val="00734527"/>
    <w:rsid w:val="00741250"/>
    <w:rsid w:val="00742C0C"/>
    <w:rsid w:val="0075098C"/>
    <w:rsid w:val="007528E8"/>
    <w:rsid w:val="007604BB"/>
    <w:rsid w:val="00765493"/>
    <w:rsid w:val="00772909"/>
    <w:rsid w:val="00775172"/>
    <w:rsid w:val="00776819"/>
    <w:rsid w:val="00777A94"/>
    <w:rsid w:val="0078515C"/>
    <w:rsid w:val="00785232"/>
    <w:rsid w:val="00785425"/>
    <w:rsid w:val="0078581A"/>
    <w:rsid w:val="0079701E"/>
    <w:rsid w:val="007977F7"/>
    <w:rsid w:val="007A21EB"/>
    <w:rsid w:val="007A40E8"/>
    <w:rsid w:val="007A4F87"/>
    <w:rsid w:val="007B1A93"/>
    <w:rsid w:val="007B560D"/>
    <w:rsid w:val="007B675A"/>
    <w:rsid w:val="007C3379"/>
    <w:rsid w:val="007C36C9"/>
    <w:rsid w:val="007C3BA3"/>
    <w:rsid w:val="007C51FF"/>
    <w:rsid w:val="007D07FC"/>
    <w:rsid w:val="007D1B97"/>
    <w:rsid w:val="007D5185"/>
    <w:rsid w:val="007D59D9"/>
    <w:rsid w:val="007D6401"/>
    <w:rsid w:val="007E01E4"/>
    <w:rsid w:val="007E55CC"/>
    <w:rsid w:val="007E622B"/>
    <w:rsid w:val="007E7A12"/>
    <w:rsid w:val="007F195E"/>
    <w:rsid w:val="007F4E18"/>
    <w:rsid w:val="007F559D"/>
    <w:rsid w:val="007F7107"/>
    <w:rsid w:val="00800D4C"/>
    <w:rsid w:val="008043FA"/>
    <w:rsid w:val="0081030F"/>
    <w:rsid w:val="00810723"/>
    <w:rsid w:val="00812F4A"/>
    <w:rsid w:val="008135D9"/>
    <w:rsid w:val="008135EA"/>
    <w:rsid w:val="00816E59"/>
    <w:rsid w:val="0082087D"/>
    <w:rsid w:val="00832889"/>
    <w:rsid w:val="00835771"/>
    <w:rsid w:val="00842933"/>
    <w:rsid w:val="00854E99"/>
    <w:rsid w:val="0085559B"/>
    <w:rsid w:val="0086082C"/>
    <w:rsid w:val="00864ADC"/>
    <w:rsid w:val="00870C98"/>
    <w:rsid w:val="00873DDE"/>
    <w:rsid w:val="00876D47"/>
    <w:rsid w:val="00880153"/>
    <w:rsid w:val="00880F97"/>
    <w:rsid w:val="0088133A"/>
    <w:rsid w:val="008815FC"/>
    <w:rsid w:val="00881BDF"/>
    <w:rsid w:val="0088490F"/>
    <w:rsid w:val="00890D4B"/>
    <w:rsid w:val="0089285E"/>
    <w:rsid w:val="0089436C"/>
    <w:rsid w:val="008975BC"/>
    <w:rsid w:val="008B0E15"/>
    <w:rsid w:val="008B37DD"/>
    <w:rsid w:val="008C19E7"/>
    <w:rsid w:val="008C275E"/>
    <w:rsid w:val="008C7198"/>
    <w:rsid w:val="008D365C"/>
    <w:rsid w:val="008D37FA"/>
    <w:rsid w:val="008D5345"/>
    <w:rsid w:val="008D57D6"/>
    <w:rsid w:val="008D7622"/>
    <w:rsid w:val="008E269E"/>
    <w:rsid w:val="008E5C57"/>
    <w:rsid w:val="008F0F46"/>
    <w:rsid w:val="008F394F"/>
    <w:rsid w:val="008F4873"/>
    <w:rsid w:val="009021A6"/>
    <w:rsid w:val="00902C8C"/>
    <w:rsid w:val="009030BF"/>
    <w:rsid w:val="00903B52"/>
    <w:rsid w:val="009064E8"/>
    <w:rsid w:val="0091032F"/>
    <w:rsid w:val="00914368"/>
    <w:rsid w:val="009147CD"/>
    <w:rsid w:val="00917232"/>
    <w:rsid w:val="00921A1A"/>
    <w:rsid w:val="0092429F"/>
    <w:rsid w:val="009264E3"/>
    <w:rsid w:val="00927B08"/>
    <w:rsid w:val="00931076"/>
    <w:rsid w:val="009345D9"/>
    <w:rsid w:val="00934B15"/>
    <w:rsid w:val="00935E3A"/>
    <w:rsid w:val="00937A5C"/>
    <w:rsid w:val="00940C87"/>
    <w:rsid w:val="00941238"/>
    <w:rsid w:val="00942B62"/>
    <w:rsid w:val="00945893"/>
    <w:rsid w:val="009460B3"/>
    <w:rsid w:val="0095323B"/>
    <w:rsid w:val="00956A0C"/>
    <w:rsid w:val="00956BD9"/>
    <w:rsid w:val="00962489"/>
    <w:rsid w:val="00965333"/>
    <w:rsid w:val="00967CD3"/>
    <w:rsid w:val="00981E85"/>
    <w:rsid w:val="00982F03"/>
    <w:rsid w:val="0098696F"/>
    <w:rsid w:val="00987337"/>
    <w:rsid w:val="009876F6"/>
    <w:rsid w:val="00990C2C"/>
    <w:rsid w:val="00992E89"/>
    <w:rsid w:val="00994267"/>
    <w:rsid w:val="009A5171"/>
    <w:rsid w:val="009B2A98"/>
    <w:rsid w:val="009B2C66"/>
    <w:rsid w:val="009B6A6B"/>
    <w:rsid w:val="009B7070"/>
    <w:rsid w:val="009D1D35"/>
    <w:rsid w:val="009D1F46"/>
    <w:rsid w:val="009E1844"/>
    <w:rsid w:val="009E4BB2"/>
    <w:rsid w:val="009E5F50"/>
    <w:rsid w:val="009E712F"/>
    <w:rsid w:val="009F0D1B"/>
    <w:rsid w:val="009F2AB3"/>
    <w:rsid w:val="009F3458"/>
    <w:rsid w:val="009F5BBD"/>
    <w:rsid w:val="009F696D"/>
    <w:rsid w:val="009F6BC6"/>
    <w:rsid w:val="009F74EF"/>
    <w:rsid w:val="00A000EA"/>
    <w:rsid w:val="00A00BEB"/>
    <w:rsid w:val="00A02826"/>
    <w:rsid w:val="00A15D5A"/>
    <w:rsid w:val="00A17328"/>
    <w:rsid w:val="00A20781"/>
    <w:rsid w:val="00A21114"/>
    <w:rsid w:val="00A23A20"/>
    <w:rsid w:val="00A24443"/>
    <w:rsid w:val="00A268B9"/>
    <w:rsid w:val="00A2703A"/>
    <w:rsid w:val="00A27D89"/>
    <w:rsid w:val="00A33DFF"/>
    <w:rsid w:val="00A34B7A"/>
    <w:rsid w:val="00A35115"/>
    <w:rsid w:val="00A36D9A"/>
    <w:rsid w:val="00A451DC"/>
    <w:rsid w:val="00A46825"/>
    <w:rsid w:val="00A554AB"/>
    <w:rsid w:val="00A57062"/>
    <w:rsid w:val="00A615FE"/>
    <w:rsid w:val="00A67781"/>
    <w:rsid w:val="00A67B0C"/>
    <w:rsid w:val="00A73D54"/>
    <w:rsid w:val="00A744EE"/>
    <w:rsid w:val="00A74836"/>
    <w:rsid w:val="00A761F9"/>
    <w:rsid w:val="00A81ADB"/>
    <w:rsid w:val="00A82DCE"/>
    <w:rsid w:val="00A83939"/>
    <w:rsid w:val="00A856DA"/>
    <w:rsid w:val="00A85DD5"/>
    <w:rsid w:val="00A86226"/>
    <w:rsid w:val="00A90324"/>
    <w:rsid w:val="00A92B53"/>
    <w:rsid w:val="00A93148"/>
    <w:rsid w:val="00A94FA6"/>
    <w:rsid w:val="00A959C9"/>
    <w:rsid w:val="00A9670B"/>
    <w:rsid w:val="00A97B2D"/>
    <w:rsid w:val="00AA49A0"/>
    <w:rsid w:val="00AA6710"/>
    <w:rsid w:val="00AA797E"/>
    <w:rsid w:val="00AB0681"/>
    <w:rsid w:val="00AB5BD9"/>
    <w:rsid w:val="00AB7BF1"/>
    <w:rsid w:val="00AC3A15"/>
    <w:rsid w:val="00AC7905"/>
    <w:rsid w:val="00AD0319"/>
    <w:rsid w:val="00AD08BF"/>
    <w:rsid w:val="00AD4501"/>
    <w:rsid w:val="00AD520B"/>
    <w:rsid w:val="00AE3BCC"/>
    <w:rsid w:val="00AE4F3F"/>
    <w:rsid w:val="00AF1625"/>
    <w:rsid w:val="00AF2274"/>
    <w:rsid w:val="00AF6682"/>
    <w:rsid w:val="00B0417B"/>
    <w:rsid w:val="00B1038B"/>
    <w:rsid w:val="00B15C00"/>
    <w:rsid w:val="00B165BE"/>
    <w:rsid w:val="00B23AF6"/>
    <w:rsid w:val="00B23DD1"/>
    <w:rsid w:val="00B262C8"/>
    <w:rsid w:val="00B2790D"/>
    <w:rsid w:val="00B27A78"/>
    <w:rsid w:val="00B342EE"/>
    <w:rsid w:val="00B425C3"/>
    <w:rsid w:val="00B42F62"/>
    <w:rsid w:val="00B4373D"/>
    <w:rsid w:val="00B440AD"/>
    <w:rsid w:val="00B479BB"/>
    <w:rsid w:val="00B510AC"/>
    <w:rsid w:val="00B53E7E"/>
    <w:rsid w:val="00B551B5"/>
    <w:rsid w:val="00B6053E"/>
    <w:rsid w:val="00B6342E"/>
    <w:rsid w:val="00B6522E"/>
    <w:rsid w:val="00B6583F"/>
    <w:rsid w:val="00B66018"/>
    <w:rsid w:val="00B7113F"/>
    <w:rsid w:val="00B71658"/>
    <w:rsid w:val="00B81B1E"/>
    <w:rsid w:val="00B83CDC"/>
    <w:rsid w:val="00B84670"/>
    <w:rsid w:val="00B85DC7"/>
    <w:rsid w:val="00B90DCA"/>
    <w:rsid w:val="00BA098C"/>
    <w:rsid w:val="00BA0DDA"/>
    <w:rsid w:val="00BA2BCF"/>
    <w:rsid w:val="00BA5B14"/>
    <w:rsid w:val="00BA73B6"/>
    <w:rsid w:val="00BA7DB9"/>
    <w:rsid w:val="00BA7E27"/>
    <w:rsid w:val="00BB012D"/>
    <w:rsid w:val="00BB2603"/>
    <w:rsid w:val="00BB474B"/>
    <w:rsid w:val="00BB4FCD"/>
    <w:rsid w:val="00BC04E9"/>
    <w:rsid w:val="00BC6443"/>
    <w:rsid w:val="00BD13EA"/>
    <w:rsid w:val="00BD403D"/>
    <w:rsid w:val="00BD4D66"/>
    <w:rsid w:val="00BE3808"/>
    <w:rsid w:val="00BE532A"/>
    <w:rsid w:val="00BF119E"/>
    <w:rsid w:val="00BF1686"/>
    <w:rsid w:val="00BF19C4"/>
    <w:rsid w:val="00C03B88"/>
    <w:rsid w:val="00C062E9"/>
    <w:rsid w:val="00C07B64"/>
    <w:rsid w:val="00C13721"/>
    <w:rsid w:val="00C14FE4"/>
    <w:rsid w:val="00C169A1"/>
    <w:rsid w:val="00C26B22"/>
    <w:rsid w:val="00C26B3E"/>
    <w:rsid w:val="00C3066D"/>
    <w:rsid w:val="00C32FA8"/>
    <w:rsid w:val="00C34CB8"/>
    <w:rsid w:val="00C43A58"/>
    <w:rsid w:val="00C45083"/>
    <w:rsid w:val="00C45CB7"/>
    <w:rsid w:val="00C45E79"/>
    <w:rsid w:val="00C52416"/>
    <w:rsid w:val="00C543F4"/>
    <w:rsid w:val="00C6291C"/>
    <w:rsid w:val="00C633CB"/>
    <w:rsid w:val="00C65E0C"/>
    <w:rsid w:val="00C664CD"/>
    <w:rsid w:val="00C736B7"/>
    <w:rsid w:val="00C742BF"/>
    <w:rsid w:val="00C743D0"/>
    <w:rsid w:val="00C754D1"/>
    <w:rsid w:val="00C81D4A"/>
    <w:rsid w:val="00C837CF"/>
    <w:rsid w:val="00C87095"/>
    <w:rsid w:val="00C8762C"/>
    <w:rsid w:val="00C90FDB"/>
    <w:rsid w:val="00CA00F9"/>
    <w:rsid w:val="00CA039F"/>
    <w:rsid w:val="00CA2961"/>
    <w:rsid w:val="00CA2A2D"/>
    <w:rsid w:val="00CA4203"/>
    <w:rsid w:val="00CB50D7"/>
    <w:rsid w:val="00CB6038"/>
    <w:rsid w:val="00CB7177"/>
    <w:rsid w:val="00CB7CED"/>
    <w:rsid w:val="00CC070F"/>
    <w:rsid w:val="00CC07D1"/>
    <w:rsid w:val="00CC1998"/>
    <w:rsid w:val="00CC2521"/>
    <w:rsid w:val="00CC4946"/>
    <w:rsid w:val="00CC64A1"/>
    <w:rsid w:val="00CC651D"/>
    <w:rsid w:val="00CD4DBE"/>
    <w:rsid w:val="00CE0E2D"/>
    <w:rsid w:val="00CE1D52"/>
    <w:rsid w:val="00CE7870"/>
    <w:rsid w:val="00CF2F61"/>
    <w:rsid w:val="00CF3B11"/>
    <w:rsid w:val="00CF47F6"/>
    <w:rsid w:val="00D00836"/>
    <w:rsid w:val="00D14226"/>
    <w:rsid w:val="00D15DC1"/>
    <w:rsid w:val="00D22C20"/>
    <w:rsid w:val="00D270A4"/>
    <w:rsid w:val="00D27C05"/>
    <w:rsid w:val="00D3105A"/>
    <w:rsid w:val="00D31FE9"/>
    <w:rsid w:val="00D34E1B"/>
    <w:rsid w:val="00D373B6"/>
    <w:rsid w:val="00D376BA"/>
    <w:rsid w:val="00D40164"/>
    <w:rsid w:val="00D418C1"/>
    <w:rsid w:val="00D42D0A"/>
    <w:rsid w:val="00D434A0"/>
    <w:rsid w:val="00D440B0"/>
    <w:rsid w:val="00D449CE"/>
    <w:rsid w:val="00D45634"/>
    <w:rsid w:val="00D531B4"/>
    <w:rsid w:val="00D532D1"/>
    <w:rsid w:val="00D5568A"/>
    <w:rsid w:val="00D57E6B"/>
    <w:rsid w:val="00D63D73"/>
    <w:rsid w:val="00D63EA5"/>
    <w:rsid w:val="00D6439B"/>
    <w:rsid w:val="00D64452"/>
    <w:rsid w:val="00D66E1E"/>
    <w:rsid w:val="00D70696"/>
    <w:rsid w:val="00D75722"/>
    <w:rsid w:val="00D76A17"/>
    <w:rsid w:val="00D77547"/>
    <w:rsid w:val="00D80CF5"/>
    <w:rsid w:val="00D835FD"/>
    <w:rsid w:val="00D86D26"/>
    <w:rsid w:val="00D93B3A"/>
    <w:rsid w:val="00D97A53"/>
    <w:rsid w:val="00DA5BBA"/>
    <w:rsid w:val="00DB26D2"/>
    <w:rsid w:val="00DB441A"/>
    <w:rsid w:val="00DB67C9"/>
    <w:rsid w:val="00DC0C95"/>
    <w:rsid w:val="00DC2E30"/>
    <w:rsid w:val="00DC4F0B"/>
    <w:rsid w:val="00DD6580"/>
    <w:rsid w:val="00DD7045"/>
    <w:rsid w:val="00DF0743"/>
    <w:rsid w:val="00DF1808"/>
    <w:rsid w:val="00DF47C3"/>
    <w:rsid w:val="00DF605C"/>
    <w:rsid w:val="00E01D7F"/>
    <w:rsid w:val="00E0230C"/>
    <w:rsid w:val="00E02564"/>
    <w:rsid w:val="00E0495D"/>
    <w:rsid w:val="00E05C03"/>
    <w:rsid w:val="00E05C9F"/>
    <w:rsid w:val="00E10CE0"/>
    <w:rsid w:val="00E116FC"/>
    <w:rsid w:val="00E13576"/>
    <w:rsid w:val="00E17C72"/>
    <w:rsid w:val="00E21FC6"/>
    <w:rsid w:val="00E2230E"/>
    <w:rsid w:val="00E30122"/>
    <w:rsid w:val="00E3177B"/>
    <w:rsid w:val="00E32139"/>
    <w:rsid w:val="00E431A9"/>
    <w:rsid w:val="00E43798"/>
    <w:rsid w:val="00E44C17"/>
    <w:rsid w:val="00E457B9"/>
    <w:rsid w:val="00E53B27"/>
    <w:rsid w:val="00E5704E"/>
    <w:rsid w:val="00E669E2"/>
    <w:rsid w:val="00E670B8"/>
    <w:rsid w:val="00E6747A"/>
    <w:rsid w:val="00E76135"/>
    <w:rsid w:val="00E82F4F"/>
    <w:rsid w:val="00E853FC"/>
    <w:rsid w:val="00E864DF"/>
    <w:rsid w:val="00E87201"/>
    <w:rsid w:val="00E94E75"/>
    <w:rsid w:val="00E97B0C"/>
    <w:rsid w:val="00EA471B"/>
    <w:rsid w:val="00EA578C"/>
    <w:rsid w:val="00EB1B6B"/>
    <w:rsid w:val="00EB2CC3"/>
    <w:rsid w:val="00EB5E6F"/>
    <w:rsid w:val="00EB65AF"/>
    <w:rsid w:val="00EC1F31"/>
    <w:rsid w:val="00EC2844"/>
    <w:rsid w:val="00EC31F6"/>
    <w:rsid w:val="00EC5500"/>
    <w:rsid w:val="00EC631A"/>
    <w:rsid w:val="00ED18F8"/>
    <w:rsid w:val="00ED3DC5"/>
    <w:rsid w:val="00EE4815"/>
    <w:rsid w:val="00EE6EDA"/>
    <w:rsid w:val="00EE778E"/>
    <w:rsid w:val="00EF0B73"/>
    <w:rsid w:val="00EF2694"/>
    <w:rsid w:val="00EF3AFD"/>
    <w:rsid w:val="00EF5442"/>
    <w:rsid w:val="00EF6719"/>
    <w:rsid w:val="00EF6C6C"/>
    <w:rsid w:val="00F01537"/>
    <w:rsid w:val="00F056FC"/>
    <w:rsid w:val="00F0632F"/>
    <w:rsid w:val="00F069AE"/>
    <w:rsid w:val="00F10476"/>
    <w:rsid w:val="00F117D3"/>
    <w:rsid w:val="00F135D8"/>
    <w:rsid w:val="00F25EEC"/>
    <w:rsid w:val="00F31027"/>
    <w:rsid w:val="00F31299"/>
    <w:rsid w:val="00F33EF1"/>
    <w:rsid w:val="00F34235"/>
    <w:rsid w:val="00F34B12"/>
    <w:rsid w:val="00F3534A"/>
    <w:rsid w:val="00F35BFB"/>
    <w:rsid w:val="00F35C07"/>
    <w:rsid w:val="00F36ACC"/>
    <w:rsid w:val="00F43C2C"/>
    <w:rsid w:val="00F47893"/>
    <w:rsid w:val="00F51609"/>
    <w:rsid w:val="00F53054"/>
    <w:rsid w:val="00F55C25"/>
    <w:rsid w:val="00F56FF0"/>
    <w:rsid w:val="00F64790"/>
    <w:rsid w:val="00F73727"/>
    <w:rsid w:val="00F73C6C"/>
    <w:rsid w:val="00F766A7"/>
    <w:rsid w:val="00F76972"/>
    <w:rsid w:val="00F80D39"/>
    <w:rsid w:val="00F81006"/>
    <w:rsid w:val="00F81A25"/>
    <w:rsid w:val="00F847F9"/>
    <w:rsid w:val="00F85325"/>
    <w:rsid w:val="00F86234"/>
    <w:rsid w:val="00F93CB1"/>
    <w:rsid w:val="00F97EBA"/>
    <w:rsid w:val="00FA010F"/>
    <w:rsid w:val="00FA1523"/>
    <w:rsid w:val="00FB0F54"/>
    <w:rsid w:val="00FB6567"/>
    <w:rsid w:val="00FC5A61"/>
    <w:rsid w:val="00FC7FC4"/>
    <w:rsid w:val="00FD22B1"/>
    <w:rsid w:val="00FD2D53"/>
    <w:rsid w:val="00FD33F1"/>
    <w:rsid w:val="00FD3566"/>
    <w:rsid w:val="00FD5686"/>
    <w:rsid w:val="00FE1216"/>
    <w:rsid w:val="00FE23A3"/>
    <w:rsid w:val="00FE5397"/>
    <w:rsid w:val="00FE5D4E"/>
    <w:rsid w:val="00FF080E"/>
    <w:rsid w:val="00FF2373"/>
    <w:rsid w:val="00FF491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632B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D7045"/>
    <w:rPr>
      <w:sz w:val="24"/>
      <w:szCs w:val="24"/>
    </w:rPr>
  </w:style>
  <w:style w:type="paragraph" w:styleId="Heading1">
    <w:name w:val="heading 1"/>
    <w:basedOn w:val="BodyText"/>
    <w:next w:val="BodyText"/>
    <w:rsid w:val="00DD704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704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D7045"/>
    <w:pPr>
      <w:spacing w:before="560" w:line="320" w:lineRule="exact"/>
      <w:ind w:left="0" w:firstLine="0"/>
      <w:outlineLvl w:val="2"/>
    </w:pPr>
    <w:rPr>
      <w:sz w:val="26"/>
    </w:rPr>
  </w:style>
  <w:style w:type="paragraph" w:styleId="Heading4">
    <w:name w:val="heading 4"/>
    <w:basedOn w:val="Heading3"/>
    <w:next w:val="BodyText"/>
    <w:qFormat/>
    <w:rsid w:val="00DD7045"/>
    <w:pPr>
      <w:spacing w:before="480"/>
      <w:outlineLvl w:val="3"/>
    </w:pPr>
    <w:rPr>
      <w:b w:val="0"/>
      <w:sz w:val="24"/>
    </w:rPr>
  </w:style>
  <w:style w:type="paragraph" w:styleId="Heading5">
    <w:name w:val="heading 5"/>
    <w:basedOn w:val="Heading4"/>
    <w:next w:val="BodyText"/>
    <w:link w:val="Heading5Char"/>
    <w:qFormat/>
    <w:rsid w:val="00DD7045"/>
    <w:pPr>
      <w:outlineLvl w:val="4"/>
    </w:pPr>
    <w:rPr>
      <w:i/>
      <w:sz w:val="22"/>
    </w:rPr>
  </w:style>
  <w:style w:type="paragraph" w:styleId="Heading6">
    <w:name w:val="heading 6"/>
    <w:basedOn w:val="BodyText"/>
    <w:next w:val="BodyText"/>
    <w:semiHidden/>
    <w:rsid w:val="00DD7045"/>
    <w:pPr>
      <w:spacing w:after="60"/>
      <w:jc w:val="left"/>
      <w:outlineLvl w:val="5"/>
    </w:pPr>
    <w:rPr>
      <w:i/>
      <w:sz w:val="22"/>
    </w:rPr>
  </w:style>
  <w:style w:type="paragraph" w:styleId="Heading7">
    <w:name w:val="heading 7"/>
    <w:basedOn w:val="BodyText"/>
    <w:next w:val="BodyText"/>
    <w:semiHidden/>
    <w:rsid w:val="00DD7045"/>
    <w:pPr>
      <w:spacing w:after="60" w:line="240" w:lineRule="auto"/>
      <w:jc w:val="left"/>
      <w:outlineLvl w:val="6"/>
    </w:pPr>
    <w:rPr>
      <w:rFonts w:ascii="Arial" w:hAnsi="Arial"/>
      <w:sz w:val="20"/>
    </w:rPr>
  </w:style>
  <w:style w:type="paragraph" w:styleId="Heading8">
    <w:name w:val="heading 8"/>
    <w:basedOn w:val="BodyText"/>
    <w:next w:val="BodyText"/>
    <w:semiHidden/>
    <w:rsid w:val="00DD7045"/>
    <w:pPr>
      <w:spacing w:after="60" w:line="240" w:lineRule="auto"/>
      <w:jc w:val="left"/>
      <w:outlineLvl w:val="7"/>
    </w:pPr>
    <w:rPr>
      <w:rFonts w:ascii="Arial" w:hAnsi="Arial"/>
      <w:i/>
      <w:sz w:val="20"/>
    </w:rPr>
  </w:style>
  <w:style w:type="paragraph" w:styleId="Heading9">
    <w:name w:val="heading 9"/>
    <w:basedOn w:val="BodyText"/>
    <w:next w:val="BodyText"/>
    <w:semiHidden/>
    <w:rsid w:val="00DD70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7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045"/>
  </w:style>
  <w:style w:type="paragraph" w:styleId="BodyText">
    <w:name w:val="Body Text"/>
    <w:aliases w:val="headBody Text,Body Text1,new legislation style,new legislation style1,new legislation style Ch"/>
    <w:link w:val="BodyTextChar"/>
    <w:qFormat/>
    <w:rsid w:val="00DD7045"/>
    <w:pPr>
      <w:spacing w:before="240" w:line="300" w:lineRule="atLeast"/>
      <w:jc w:val="both"/>
    </w:pPr>
    <w:rPr>
      <w:sz w:val="24"/>
    </w:rPr>
  </w:style>
  <w:style w:type="paragraph" w:styleId="Footer">
    <w:name w:val="footer"/>
    <w:basedOn w:val="BodyText"/>
    <w:link w:val="FooterChar"/>
    <w:rsid w:val="00DD7045"/>
    <w:pPr>
      <w:spacing w:before="80" w:line="200" w:lineRule="exact"/>
      <w:ind w:right="6"/>
      <w:jc w:val="left"/>
    </w:pPr>
    <w:rPr>
      <w:rFonts w:ascii="Arial" w:hAnsi="Arial"/>
      <w:caps/>
      <w:spacing w:val="-4"/>
      <w:sz w:val="16"/>
    </w:rPr>
  </w:style>
  <w:style w:type="paragraph" w:customStyle="1" w:styleId="FooterEnd">
    <w:name w:val="Footer End"/>
    <w:basedOn w:val="Footer"/>
    <w:rsid w:val="00DD7045"/>
    <w:pPr>
      <w:spacing w:before="0" w:line="20" w:lineRule="exact"/>
    </w:pPr>
  </w:style>
  <w:style w:type="paragraph" w:styleId="Header">
    <w:name w:val="header"/>
    <w:basedOn w:val="BodyText"/>
    <w:rsid w:val="00DD70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7045"/>
    <w:pPr>
      <w:spacing w:line="20" w:lineRule="exact"/>
    </w:pPr>
    <w:rPr>
      <w:sz w:val="16"/>
    </w:rPr>
  </w:style>
  <w:style w:type="paragraph" w:customStyle="1" w:styleId="HeaderEven">
    <w:name w:val="Header Even"/>
    <w:basedOn w:val="Header"/>
    <w:rsid w:val="00DD7045"/>
  </w:style>
  <w:style w:type="paragraph" w:customStyle="1" w:styleId="HeaderOdd">
    <w:name w:val="Header Odd"/>
    <w:basedOn w:val="Header"/>
    <w:rsid w:val="00DD7045"/>
  </w:style>
  <w:style w:type="character" w:styleId="PageNumber">
    <w:name w:val="page number"/>
    <w:basedOn w:val="DefaultParagraphFont"/>
    <w:rsid w:val="00DD7045"/>
    <w:rPr>
      <w:rFonts w:ascii="Arial" w:hAnsi="Arial"/>
      <w:b/>
      <w:sz w:val="16"/>
    </w:rPr>
  </w:style>
  <w:style w:type="paragraph" w:customStyle="1" w:styleId="Abbreviation">
    <w:name w:val="Abbreviation"/>
    <w:basedOn w:val="BodyText"/>
    <w:rsid w:val="00DD7045"/>
    <w:pPr>
      <w:spacing w:before="120"/>
      <w:ind w:left="2381" w:hanging="2381"/>
      <w:jc w:val="left"/>
    </w:pPr>
  </w:style>
  <w:style w:type="paragraph" w:customStyle="1" w:styleId="Box">
    <w:name w:val="Box"/>
    <w:basedOn w:val="BodyText"/>
    <w:qFormat/>
    <w:rsid w:val="00DD7045"/>
    <w:pPr>
      <w:keepNext/>
      <w:spacing w:before="120" w:line="260" w:lineRule="atLeast"/>
    </w:pPr>
    <w:rPr>
      <w:rFonts w:ascii="Arial" w:hAnsi="Arial"/>
      <w:sz w:val="20"/>
    </w:rPr>
  </w:style>
  <w:style w:type="paragraph" w:customStyle="1" w:styleId="BoxContinued">
    <w:name w:val="Box Continued"/>
    <w:basedOn w:val="BodyText"/>
    <w:next w:val="BodyText"/>
    <w:semiHidden/>
    <w:rsid w:val="00DD7045"/>
    <w:pPr>
      <w:spacing w:before="180" w:line="220" w:lineRule="exact"/>
      <w:jc w:val="right"/>
    </w:pPr>
    <w:rPr>
      <w:rFonts w:ascii="Arial" w:hAnsi="Arial"/>
      <w:sz w:val="18"/>
    </w:rPr>
  </w:style>
  <w:style w:type="paragraph" w:customStyle="1" w:styleId="BoxHeading1">
    <w:name w:val="Box Heading 1"/>
    <w:basedOn w:val="BodyText"/>
    <w:next w:val="Box"/>
    <w:rsid w:val="00DD7045"/>
    <w:pPr>
      <w:keepNext/>
      <w:spacing w:before="200" w:line="280" w:lineRule="atLeast"/>
    </w:pPr>
    <w:rPr>
      <w:rFonts w:ascii="Arial" w:hAnsi="Arial"/>
      <w:b/>
      <w:sz w:val="22"/>
    </w:rPr>
  </w:style>
  <w:style w:type="paragraph" w:customStyle="1" w:styleId="BoxHeading2">
    <w:name w:val="Box Heading 2"/>
    <w:basedOn w:val="BoxHeading1"/>
    <w:next w:val="Normal"/>
    <w:rsid w:val="00DD7045"/>
    <w:rPr>
      <w:b w:val="0"/>
      <w:i/>
    </w:rPr>
  </w:style>
  <w:style w:type="paragraph" w:customStyle="1" w:styleId="BoxListBullet">
    <w:name w:val="Box List Bullet"/>
    <w:basedOn w:val="BodyText"/>
    <w:rsid w:val="00DD70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D7045"/>
    <w:pPr>
      <w:numPr>
        <w:numId w:val="13"/>
      </w:numPr>
      <w:ind w:left="568" w:hanging="284"/>
    </w:pPr>
  </w:style>
  <w:style w:type="paragraph" w:customStyle="1" w:styleId="BoxListNumber">
    <w:name w:val="Box List Number"/>
    <w:basedOn w:val="BodyText"/>
    <w:rsid w:val="00DD7045"/>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D7045"/>
    <w:pPr>
      <w:numPr>
        <w:ilvl w:val="1"/>
      </w:numPr>
      <w:ind w:left="681" w:hanging="397"/>
    </w:pPr>
  </w:style>
  <w:style w:type="paragraph" w:customStyle="1" w:styleId="BoxQuote">
    <w:name w:val="Box Quote"/>
    <w:basedOn w:val="BodyText"/>
    <w:next w:val="Box"/>
    <w:qFormat/>
    <w:rsid w:val="00DD7045"/>
    <w:pPr>
      <w:keepNext/>
      <w:spacing w:before="60" w:line="240" w:lineRule="exact"/>
      <w:ind w:left="284"/>
    </w:pPr>
    <w:rPr>
      <w:rFonts w:ascii="Arial" w:hAnsi="Arial"/>
      <w:sz w:val="18"/>
    </w:rPr>
  </w:style>
  <w:style w:type="paragraph" w:customStyle="1" w:styleId="Note">
    <w:name w:val="Note"/>
    <w:basedOn w:val="BodyText"/>
    <w:next w:val="BodyText"/>
    <w:link w:val="NoteChar"/>
    <w:rsid w:val="00DD7045"/>
    <w:pPr>
      <w:keepLines/>
      <w:spacing w:before="80" w:line="220" w:lineRule="exact"/>
    </w:pPr>
    <w:rPr>
      <w:rFonts w:ascii="Arial" w:hAnsi="Arial"/>
      <w:sz w:val="18"/>
    </w:rPr>
  </w:style>
  <w:style w:type="paragraph" w:customStyle="1" w:styleId="Source">
    <w:name w:val="Source"/>
    <w:basedOn w:val="Normal"/>
    <w:next w:val="BodyText"/>
    <w:rsid w:val="00DD7045"/>
    <w:pPr>
      <w:keepLines/>
      <w:spacing w:before="80" w:line="220" w:lineRule="exact"/>
      <w:jc w:val="both"/>
    </w:pPr>
    <w:rPr>
      <w:rFonts w:ascii="Arial" w:hAnsi="Arial"/>
      <w:sz w:val="18"/>
      <w:szCs w:val="20"/>
    </w:rPr>
  </w:style>
  <w:style w:type="paragraph" w:customStyle="1" w:styleId="BoxSource">
    <w:name w:val="Box Source"/>
    <w:basedOn w:val="Source"/>
    <w:next w:val="BodyText"/>
    <w:rsid w:val="00DD7045"/>
    <w:pPr>
      <w:spacing w:before="120"/>
    </w:pPr>
  </w:style>
  <w:style w:type="paragraph" w:customStyle="1" w:styleId="BoxSpaceAbove">
    <w:name w:val="Box Space Above"/>
    <w:basedOn w:val="BodyText"/>
    <w:rsid w:val="00DD7045"/>
    <w:pPr>
      <w:keepNext/>
      <w:spacing w:before="360" w:line="80" w:lineRule="exact"/>
      <w:jc w:val="left"/>
    </w:pPr>
  </w:style>
  <w:style w:type="paragraph" w:styleId="Caption">
    <w:name w:val="caption"/>
    <w:basedOn w:val="Normal"/>
    <w:next w:val="BodyText"/>
    <w:rsid w:val="00DD70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7045"/>
    <w:pPr>
      <w:spacing w:before="120" w:after="0"/>
    </w:pPr>
  </w:style>
  <w:style w:type="paragraph" w:customStyle="1" w:styleId="BoxSubtitle">
    <w:name w:val="Box Subtitle"/>
    <w:basedOn w:val="BoxTitle"/>
    <w:next w:val="Normal"/>
    <w:rsid w:val="00DD7045"/>
    <w:pPr>
      <w:spacing w:after="80" w:line="200" w:lineRule="exact"/>
      <w:ind w:firstLine="0"/>
    </w:pPr>
    <w:rPr>
      <w:b w:val="0"/>
      <w:sz w:val="20"/>
    </w:rPr>
  </w:style>
  <w:style w:type="paragraph" w:customStyle="1" w:styleId="Chapter">
    <w:name w:val="Chapter"/>
    <w:basedOn w:val="Heading1"/>
    <w:next w:val="BodyText"/>
    <w:semiHidden/>
    <w:rsid w:val="00DD7045"/>
    <w:pPr>
      <w:ind w:left="0" w:firstLine="0"/>
      <w:outlineLvl w:val="9"/>
    </w:pPr>
  </w:style>
  <w:style w:type="paragraph" w:customStyle="1" w:styleId="ChapterSummary">
    <w:name w:val="Chapter Summary"/>
    <w:basedOn w:val="BodyText"/>
    <w:rsid w:val="00DD7045"/>
    <w:pPr>
      <w:spacing w:line="280" w:lineRule="atLeast"/>
      <w:ind w:left="907"/>
    </w:pPr>
    <w:rPr>
      <w:rFonts w:ascii="Arial" w:hAnsi="Arial"/>
      <w:b/>
      <w:sz w:val="20"/>
    </w:rPr>
  </w:style>
  <w:style w:type="character" w:styleId="CommentReference">
    <w:name w:val="annotation reference"/>
    <w:basedOn w:val="DefaultParagraphFont"/>
    <w:semiHidden/>
    <w:rsid w:val="00DD7045"/>
    <w:rPr>
      <w:b/>
      <w:vanish/>
      <w:color w:val="FF00FF"/>
      <w:sz w:val="20"/>
    </w:rPr>
  </w:style>
  <w:style w:type="paragraph" w:styleId="CommentText">
    <w:name w:val="annotation text"/>
    <w:basedOn w:val="Normal"/>
    <w:link w:val="CommentTextChar"/>
    <w:semiHidden/>
    <w:rsid w:val="00DD7045"/>
    <w:pPr>
      <w:spacing w:before="120" w:line="240" w:lineRule="atLeast"/>
      <w:ind w:left="567" w:hanging="567"/>
    </w:pPr>
    <w:rPr>
      <w:sz w:val="20"/>
    </w:rPr>
  </w:style>
  <w:style w:type="paragraph" w:customStyle="1" w:styleId="Continued">
    <w:name w:val="Continued"/>
    <w:basedOn w:val="BoxContinued"/>
    <w:next w:val="BodyText"/>
    <w:rsid w:val="00DD7045"/>
  </w:style>
  <w:style w:type="character" w:customStyle="1" w:styleId="DocumentInfo">
    <w:name w:val="Document Info"/>
    <w:basedOn w:val="DefaultParagraphFont"/>
    <w:semiHidden/>
    <w:rsid w:val="00DD7045"/>
    <w:rPr>
      <w:rFonts w:ascii="Arial" w:hAnsi="Arial"/>
      <w:sz w:val="14"/>
    </w:rPr>
  </w:style>
  <w:style w:type="character" w:customStyle="1" w:styleId="DraftingNote">
    <w:name w:val="Drafting Note"/>
    <w:basedOn w:val="DefaultParagraphFont"/>
    <w:rsid w:val="00DD7045"/>
    <w:rPr>
      <w:b/>
      <w:color w:val="FF0000"/>
      <w:sz w:val="24"/>
      <w:u w:val="dotted"/>
    </w:rPr>
  </w:style>
  <w:style w:type="paragraph" w:customStyle="1" w:styleId="Figure">
    <w:name w:val="Figure"/>
    <w:basedOn w:val="BodyText"/>
    <w:link w:val="FigureChar"/>
    <w:rsid w:val="00DD7045"/>
    <w:pPr>
      <w:keepNext/>
      <w:spacing w:before="120" w:after="120" w:line="240" w:lineRule="atLeast"/>
      <w:jc w:val="center"/>
    </w:pPr>
  </w:style>
  <w:style w:type="paragraph" w:customStyle="1" w:styleId="FigureTitle">
    <w:name w:val="Figure Title"/>
    <w:basedOn w:val="Caption"/>
    <w:next w:val="Subtitle"/>
    <w:rsid w:val="00DD7045"/>
    <w:pPr>
      <w:spacing w:before="120"/>
    </w:pPr>
  </w:style>
  <w:style w:type="paragraph" w:styleId="Subtitle">
    <w:name w:val="Subtitle"/>
    <w:basedOn w:val="Caption"/>
    <w:link w:val="SubtitleChar"/>
    <w:qFormat/>
    <w:rsid w:val="00DD7045"/>
    <w:pPr>
      <w:spacing w:before="0" w:line="200" w:lineRule="exact"/>
      <w:ind w:firstLine="0"/>
    </w:pPr>
    <w:rPr>
      <w:b w:val="0"/>
      <w:sz w:val="20"/>
    </w:rPr>
  </w:style>
  <w:style w:type="paragraph" w:customStyle="1" w:styleId="Finding">
    <w:name w:val="Finding"/>
    <w:basedOn w:val="BodyText"/>
    <w:rsid w:val="00DD7045"/>
    <w:pPr>
      <w:keepLines/>
      <w:spacing w:before="120" w:line="280" w:lineRule="atLeast"/>
    </w:pPr>
    <w:rPr>
      <w:rFonts w:ascii="Arial" w:hAnsi="Arial"/>
      <w:sz w:val="22"/>
    </w:rPr>
  </w:style>
  <w:style w:type="paragraph" w:customStyle="1" w:styleId="FindingBullet">
    <w:name w:val="Finding Bullet"/>
    <w:basedOn w:val="Finding"/>
    <w:rsid w:val="00DD7045"/>
    <w:pPr>
      <w:numPr>
        <w:numId w:val="15"/>
      </w:numPr>
      <w:spacing w:before="80"/>
    </w:pPr>
  </w:style>
  <w:style w:type="paragraph" w:customStyle="1" w:styleId="FindingNoTitle">
    <w:name w:val="Finding NoTitle"/>
    <w:basedOn w:val="Finding"/>
    <w:semiHidden/>
    <w:rsid w:val="00DD7045"/>
    <w:pPr>
      <w:spacing w:before="240"/>
    </w:pPr>
  </w:style>
  <w:style w:type="paragraph" w:customStyle="1" w:styleId="RecTitle">
    <w:name w:val="Rec Title"/>
    <w:basedOn w:val="BodyText"/>
    <w:next w:val="Rec"/>
    <w:qFormat/>
    <w:rsid w:val="00DD7045"/>
    <w:pPr>
      <w:keepNext/>
      <w:keepLines/>
      <w:spacing w:line="280" w:lineRule="atLeast"/>
    </w:pPr>
    <w:rPr>
      <w:rFonts w:ascii="Arial" w:hAnsi="Arial"/>
      <w:caps/>
      <w:sz w:val="18"/>
    </w:rPr>
  </w:style>
  <w:style w:type="paragraph" w:customStyle="1" w:styleId="FindingTitle">
    <w:name w:val="Finding Title"/>
    <w:basedOn w:val="RecTitle"/>
    <w:next w:val="Finding"/>
    <w:rsid w:val="00DD7045"/>
  </w:style>
  <w:style w:type="character" w:styleId="FootnoteReference">
    <w:name w:val="footnote reference"/>
    <w:basedOn w:val="DefaultParagraphFont"/>
    <w:rsid w:val="00DD7045"/>
    <w:rPr>
      <w:rFonts w:ascii="Times New Roman" w:hAnsi="Times New Roman"/>
      <w:position w:val="6"/>
      <w:sz w:val="20"/>
      <w:vertAlign w:val="baseline"/>
    </w:rPr>
  </w:style>
  <w:style w:type="paragraph" w:styleId="FootnoteText">
    <w:name w:val="footnote text"/>
    <w:basedOn w:val="BodyText"/>
    <w:link w:val="FootnoteTextChar"/>
    <w:rsid w:val="00DD70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D7045"/>
    <w:rPr>
      <w:i/>
    </w:rPr>
  </w:style>
  <w:style w:type="paragraph" w:customStyle="1" w:styleId="Jurisdictioncommentsbodytext">
    <w:name w:val="Jurisdiction comments body text"/>
    <w:rsid w:val="00DD7045"/>
    <w:pPr>
      <w:spacing w:after="140"/>
      <w:jc w:val="both"/>
    </w:pPr>
    <w:rPr>
      <w:rFonts w:ascii="Arial" w:hAnsi="Arial"/>
      <w:sz w:val="24"/>
      <w:lang w:eastAsia="en-US"/>
    </w:rPr>
  </w:style>
  <w:style w:type="paragraph" w:customStyle="1" w:styleId="Jurisdictioncommentsheading">
    <w:name w:val="Jurisdiction comments heading"/>
    <w:rsid w:val="00DD70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7045"/>
    <w:pPr>
      <w:numPr>
        <w:numId w:val="2"/>
      </w:numPr>
      <w:spacing w:after="140"/>
      <w:jc w:val="both"/>
    </w:pPr>
    <w:rPr>
      <w:rFonts w:ascii="Arial" w:hAnsi="Arial"/>
      <w:sz w:val="24"/>
      <w:lang w:eastAsia="en-US"/>
    </w:rPr>
  </w:style>
  <w:style w:type="paragraph" w:styleId="ListBullet">
    <w:name w:val="List Bullet"/>
    <w:basedOn w:val="BodyText"/>
    <w:rsid w:val="00DD7045"/>
    <w:pPr>
      <w:numPr>
        <w:numId w:val="3"/>
      </w:numPr>
      <w:spacing w:before="120"/>
    </w:pPr>
  </w:style>
  <w:style w:type="paragraph" w:styleId="ListBullet2">
    <w:name w:val="List Bullet 2"/>
    <w:basedOn w:val="BodyText"/>
    <w:rsid w:val="00DD7045"/>
    <w:pPr>
      <w:numPr>
        <w:numId w:val="4"/>
      </w:numPr>
      <w:spacing w:before="120"/>
    </w:pPr>
  </w:style>
  <w:style w:type="paragraph" w:styleId="ListBullet3">
    <w:name w:val="List Bullet 3"/>
    <w:basedOn w:val="BodyText"/>
    <w:rsid w:val="00DD7045"/>
    <w:pPr>
      <w:numPr>
        <w:numId w:val="5"/>
      </w:numPr>
      <w:spacing w:before="120"/>
      <w:ind w:left="1020" w:hanging="340"/>
    </w:pPr>
  </w:style>
  <w:style w:type="paragraph" w:styleId="ListNumber">
    <w:name w:val="List Number"/>
    <w:basedOn w:val="BodyText"/>
    <w:rsid w:val="00DD7045"/>
    <w:pPr>
      <w:numPr>
        <w:numId w:val="9"/>
      </w:numPr>
      <w:spacing w:before="120"/>
    </w:pPr>
  </w:style>
  <w:style w:type="paragraph" w:styleId="ListNumber2">
    <w:name w:val="List Number 2"/>
    <w:basedOn w:val="ListNumber"/>
    <w:rsid w:val="00DD7045"/>
    <w:pPr>
      <w:numPr>
        <w:ilvl w:val="1"/>
      </w:numPr>
    </w:pPr>
  </w:style>
  <w:style w:type="paragraph" w:styleId="ListNumber3">
    <w:name w:val="List Number 3"/>
    <w:basedOn w:val="ListNumber2"/>
    <w:rsid w:val="00DD7045"/>
    <w:pPr>
      <w:numPr>
        <w:ilvl w:val="2"/>
      </w:numPr>
    </w:pPr>
  </w:style>
  <w:style w:type="character" w:customStyle="1" w:styleId="NoteLabel">
    <w:name w:val="Note Label"/>
    <w:basedOn w:val="DefaultParagraphFont"/>
    <w:rsid w:val="00DD7045"/>
    <w:rPr>
      <w:rFonts w:ascii="Arial" w:hAnsi="Arial"/>
      <w:b/>
      <w:position w:val="6"/>
      <w:sz w:val="18"/>
    </w:rPr>
  </w:style>
  <w:style w:type="paragraph" w:customStyle="1" w:styleId="PartDivider">
    <w:name w:val="Part Divider"/>
    <w:basedOn w:val="BodyText"/>
    <w:next w:val="BodyText"/>
    <w:semiHidden/>
    <w:rsid w:val="00DD7045"/>
    <w:pPr>
      <w:spacing w:before="0" w:line="40" w:lineRule="exact"/>
      <w:jc w:val="right"/>
    </w:pPr>
    <w:rPr>
      <w:smallCaps/>
      <w:sz w:val="16"/>
    </w:rPr>
  </w:style>
  <w:style w:type="paragraph" w:customStyle="1" w:styleId="PartNumber">
    <w:name w:val="Part Number"/>
    <w:basedOn w:val="BodyText"/>
    <w:next w:val="BodyText"/>
    <w:semiHidden/>
    <w:rsid w:val="00DD7045"/>
    <w:pPr>
      <w:spacing w:before="4000" w:line="320" w:lineRule="exact"/>
      <w:ind w:left="6634"/>
      <w:jc w:val="right"/>
    </w:pPr>
    <w:rPr>
      <w:smallCaps/>
      <w:spacing w:val="60"/>
      <w:sz w:val="32"/>
    </w:rPr>
  </w:style>
  <w:style w:type="paragraph" w:customStyle="1" w:styleId="PartTitle">
    <w:name w:val="Part Title"/>
    <w:basedOn w:val="BodyText"/>
    <w:semiHidden/>
    <w:rsid w:val="00DD7045"/>
    <w:pPr>
      <w:spacing w:before="160" w:after="1360" w:line="520" w:lineRule="exact"/>
      <w:ind w:right="2381"/>
      <w:jc w:val="right"/>
    </w:pPr>
    <w:rPr>
      <w:smallCaps/>
      <w:sz w:val="52"/>
    </w:rPr>
  </w:style>
  <w:style w:type="paragraph" w:styleId="Quote">
    <w:name w:val="Quote"/>
    <w:basedOn w:val="BodyText"/>
    <w:next w:val="BodyText"/>
    <w:qFormat/>
    <w:rsid w:val="00DD7045"/>
    <w:pPr>
      <w:spacing w:before="120" w:line="280" w:lineRule="exact"/>
      <w:ind w:left="340"/>
    </w:pPr>
    <w:rPr>
      <w:sz w:val="22"/>
    </w:rPr>
  </w:style>
  <w:style w:type="paragraph" w:customStyle="1" w:styleId="QuoteBullet">
    <w:name w:val="Quote Bullet"/>
    <w:basedOn w:val="Quote"/>
    <w:rsid w:val="00DD7045"/>
    <w:pPr>
      <w:numPr>
        <w:numId w:val="6"/>
      </w:numPr>
    </w:pPr>
  </w:style>
  <w:style w:type="paragraph" w:customStyle="1" w:styleId="Rec">
    <w:name w:val="Rec"/>
    <w:basedOn w:val="BodyText"/>
    <w:qFormat/>
    <w:rsid w:val="00DD7045"/>
    <w:pPr>
      <w:keepLines/>
      <w:spacing w:before="120" w:line="280" w:lineRule="atLeast"/>
    </w:pPr>
    <w:rPr>
      <w:rFonts w:ascii="Arial" w:hAnsi="Arial"/>
      <w:sz w:val="22"/>
    </w:rPr>
  </w:style>
  <w:style w:type="paragraph" w:customStyle="1" w:styleId="RecBullet">
    <w:name w:val="Rec Bullet"/>
    <w:basedOn w:val="Rec"/>
    <w:rsid w:val="00DD7045"/>
    <w:pPr>
      <w:numPr>
        <w:numId w:val="17"/>
      </w:numPr>
      <w:spacing w:before="80"/>
    </w:pPr>
  </w:style>
  <w:style w:type="paragraph" w:customStyle="1" w:styleId="RecB">
    <w:name w:val="RecB"/>
    <w:basedOn w:val="Normal"/>
    <w:semiHidden/>
    <w:rsid w:val="00DD704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7045"/>
    <w:pPr>
      <w:numPr>
        <w:numId w:val="11"/>
      </w:numPr>
      <w:spacing w:before="80"/>
    </w:pPr>
  </w:style>
  <w:style w:type="paragraph" w:customStyle="1" w:styleId="RecBNoTitle">
    <w:name w:val="RecB NoTitle"/>
    <w:basedOn w:val="RecB"/>
    <w:semiHidden/>
    <w:rsid w:val="00DD7045"/>
    <w:pPr>
      <w:spacing w:before="240"/>
    </w:pPr>
  </w:style>
  <w:style w:type="paragraph" w:customStyle="1" w:styleId="Reference">
    <w:name w:val="Reference"/>
    <w:basedOn w:val="BodyText"/>
    <w:link w:val="ReferenceChar"/>
    <w:rsid w:val="00DD7045"/>
    <w:pPr>
      <w:spacing w:before="120"/>
      <w:ind w:left="340" w:hanging="340"/>
    </w:pPr>
  </w:style>
  <w:style w:type="paragraph" w:customStyle="1" w:styleId="SequenceInfo">
    <w:name w:val="Sequence Info"/>
    <w:basedOn w:val="BodyText"/>
    <w:semiHidden/>
    <w:rsid w:val="00DD7045"/>
    <w:rPr>
      <w:vanish/>
      <w:sz w:val="16"/>
    </w:rPr>
  </w:style>
  <w:style w:type="paragraph" w:customStyle="1" w:styleId="SideNote">
    <w:name w:val="Side Note"/>
    <w:basedOn w:val="BodyText"/>
    <w:next w:val="BodyText"/>
    <w:semiHidden/>
    <w:rsid w:val="00DD70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D7045"/>
    <w:pPr>
      <w:framePr w:wrap="around"/>
      <w:numPr>
        <w:numId w:val="7"/>
      </w:numPr>
      <w:tabs>
        <w:tab w:val="left" w:pos="227"/>
      </w:tabs>
    </w:pPr>
  </w:style>
  <w:style w:type="paragraph" w:customStyle="1" w:styleId="SideNoteGraphic">
    <w:name w:val="Side Note Graphic"/>
    <w:basedOn w:val="SideNote"/>
    <w:next w:val="BodyText"/>
    <w:semiHidden/>
    <w:rsid w:val="00DD7045"/>
    <w:pPr>
      <w:framePr w:wrap="around"/>
    </w:pPr>
  </w:style>
  <w:style w:type="paragraph" w:customStyle="1" w:styleId="TableBodyText">
    <w:name w:val="Table Body Text"/>
    <w:basedOn w:val="BodyText"/>
    <w:rsid w:val="00DD70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D7045"/>
    <w:pPr>
      <w:numPr>
        <w:numId w:val="8"/>
      </w:numPr>
      <w:jc w:val="left"/>
    </w:pPr>
  </w:style>
  <w:style w:type="paragraph" w:customStyle="1" w:styleId="TableColumnHeading">
    <w:name w:val="Table Column Heading"/>
    <w:basedOn w:val="TableBodyText"/>
    <w:rsid w:val="00DD7045"/>
    <w:pPr>
      <w:spacing w:before="80" w:after="80"/>
    </w:pPr>
    <w:rPr>
      <w:i/>
    </w:rPr>
  </w:style>
  <w:style w:type="paragraph" w:styleId="TOC2">
    <w:name w:val="toc 2"/>
    <w:basedOn w:val="TOC1"/>
    <w:rsid w:val="00DD7045"/>
    <w:pPr>
      <w:ind w:left="1134" w:hanging="624"/>
    </w:pPr>
    <w:rPr>
      <w:b w:val="0"/>
    </w:rPr>
  </w:style>
  <w:style w:type="paragraph" w:styleId="TOC3">
    <w:name w:val="toc 3"/>
    <w:basedOn w:val="TOC2"/>
    <w:rsid w:val="00DD7045"/>
    <w:pPr>
      <w:spacing w:before="60"/>
      <w:ind w:left="1190" w:hanging="680"/>
    </w:pPr>
  </w:style>
  <w:style w:type="paragraph" w:styleId="TableofFigures">
    <w:name w:val="table of figures"/>
    <w:basedOn w:val="TOC3"/>
    <w:next w:val="BodyText"/>
    <w:semiHidden/>
    <w:rsid w:val="00DD7045"/>
    <w:pPr>
      <w:ind w:left="737" w:hanging="737"/>
    </w:pPr>
  </w:style>
  <w:style w:type="paragraph" w:customStyle="1" w:styleId="TableTitle">
    <w:name w:val="Table Title"/>
    <w:basedOn w:val="Caption"/>
    <w:next w:val="Subtitle"/>
    <w:qFormat/>
    <w:rsid w:val="00DD7045"/>
    <w:pPr>
      <w:spacing w:before="120"/>
    </w:pPr>
  </w:style>
  <w:style w:type="paragraph" w:customStyle="1" w:styleId="TableUnitsRow">
    <w:name w:val="Table Units Row"/>
    <w:basedOn w:val="TableBodyText"/>
    <w:rsid w:val="00DD7045"/>
    <w:pPr>
      <w:spacing w:before="40"/>
    </w:pPr>
  </w:style>
  <w:style w:type="paragraph" w:styleId="TOC1">
    <w:name w:val="toc 1"/>
    <w:basedOn w:val="Normal"/>
    <w:next w:val="TOC2"/>
    <w:link w:val="TOC1Char"/>
    <w:rsid w:val="00DD70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D7045"/>
    <w:pPr>
      <w:ind w:left="1191" w:firstLine="0"/>
    </w:pPr>
  </w:style>
  <w:style w:type="paragraph" w:customStyle="1" w:styleId="RecBBullet2">
    <w:name w:val="RecB Bullet 2"/>
    <w:basedOn w:val="ListBullet2"/>
    <w:semiHidden/>
    <w:rsid w:val="00DD7045"/>
    <w:pPr>
      <w:pBdr>
        <w:left w:val="single" w:sz="24" w:space="29" w:color="C0C0C0"/>
      </w:pBdr>
    </w:pPr>
    <w:rPr>
      <w:b/>
      <w:i/>
    </w:rPr>
  </w:style>
  <w:style w:type="paragraph" w:styleId="BalloonText">
    <w:name w:val="Balloon Text"/>
    <w:basedOn w:val="Normal"/>
    <w:link w:val="BalloonTextChar"/>
    <w:rsid w:val="00DD7045"/>
    <w:rPr>
      <w:rFonts w:ascii="Tahoma" w:hAnsi="Tahoma" w:cs="Tahoma"/>
      <w:sz w:val="16"/>
      <w:szCs w:val="16"/>
    </w:rPr>
  </w:style>
  <w:style w:type="character" w:customStyle="1" w:styleId="BalloonTextChar">
    <w:name w:val="Balloon Text Char"/>
    <w:basedOn w:val="DefaultParagraphFont"/>
    <w:link w:val="BalloonText"/>
    <w:rsid w:val="00DD7045"/>
    <w:rPr>
      <w:rFonts w:ascii="Tahoma" w:hAnsi="Tahoma" w:cs="Tahoma"/>
      <w:sz w:val="16"/>
      <w:szCs w:val="16"/>
    </w:rPr>
  </w:style>
  <w:style w:type="character" w:customStyle="1" w:styleId="SubtitleChar">
    <w:name w:val="Subtitle Char"/>
    <w:basedOn w:val="DefaultParagraphFont"/>
    <w:link w:val="Subtitle"/>
    <w:rsid w:val="00DD7045"/>
    <w:rPr>
      <w:rFonts w:ascii="Arial" w:hAnsi="Arial"/>
      <w:szCs w:val="24"/>
    </w:rPr>
  </w:style>
  <w:style w:type="paragraph" w:customStyle="1" w:styleId="BoxListBullet3">
    <w:name w:val="Box List Bullet 3"/>
    <w:basedOn w:val="ListBullet3"/>
    <w:rsid w:val="00DD7045"/>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D7045"/>
    <w:rPr>
      <w:i/>
      <w:iCs/>
    </w:rPr>
  </w:style>
  <w:style w:type="paragraph" w:customStyle="1" w:styleId="BoxQuoteBullet">
    <w:name w:val="Box Quote Bullet"/>
    <w:basedOn w:val="BoxQuote"/>
    <w:next w:val="Box"/>
    <w:rsid w:val="00DD7045"/>
    <w:pPr>
      <w:numPr>
        <w:numId w:val="12"/>
      </w:numPr>
      <w:ind w:left="568" w:hanging="284"/>
    </w:pPr>
  </w:style>
  <w:style w:type="paragraph" w:customStyle="1" w:styleId="InformationRequestBullet">
    <w:name w:val="Information Request Bullet"/>
    <w:basedOn w:val="ListBullet"/>
    <w:next w:val="BodyText"/>
    <w:rsid w:val="00DD704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D7045"/>
    <w:pPr>
      <w:keepNext w:val="0"/>
      <w:spacing w:before="60" w:after="60" w:line="80" w:lineRule="exact"/>
    </w:pPr>
    <w:rPr>
      <w:sz w:val="14"/>
    </w:rPr>
  </w:style>
  <w:style w:type="paragraph" w:customStyle="1" w:styleId="KeyPointsListBullet">
    <w:name w:val="Key Points List Bullet"/>
    <w:basedOn w:val="Normal"/>
    <w:qFormat/>
    <w:rsid w:val="00DD704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D7045"/>
    <w:pPr>
      <w:numPr>
        <w:numId w:val="21"/>
      </w:numPr>
      <w:ind w:left="568" w:hanging="284"/>
    </w:pPr>
  </w:style>
  <w:style w:type="paragraph" w:customStyle="1" w:styleId="InformationRequestTitle">
    <w:name w:val="Information Request Title"/>
    <w:basedOn w:val="FindingTitle"/>
    <w:next w:val="InformationRequest"/>
    <w:rsid w:val="00DD7045"/>
    <w:rPr>
      <w:i/>
    </w:rPr>
  </w:style>
  <w:style w:type="paragraph" w:customStyle="1" w:styleId="Space">
    <w:name w:val="Space"/>
    <w:basedOn w:val="Normal"/>
    <w:rsid w:val="00DD7045"/>
    <w:pPr>
      <w:keepNext/>
      <w:spacing w:line="120" w:lineRule="exact"/>
      <w:jc w:val="both"/>
    </w:pPr>
    <w:rPr>
      <w:rFonts w:ascii="Arial" w:hAnsi="Arial"/>
      <w:sz w:val="20"/>
      <w:szCs w:val="20"/>
    </w:rPr>
  </w:style>
  <w:style w:type="paragraph" w:customStyle="1" w:styleId="Heading1nochapterno">
    <w:name w:val="Heading 1 (no chapter no.)"/>
    <w:basedOn w:val="Heading1"/>
    <w:rsid w:val="00DD7045"/>
    <w:pPr>
      <w:spacing w:before="0"/>
      <w:ind w:left="0" w:firstLine="0"/>
    </w:pPr>
  </w:style>
  <w:style w:type="paragraph" w:customStyle="1" w:styleId="Heading2nosectionno">
    <w:name w:val="Heading 2 (no section no.)"/>
    <w:basedOn w:val="Heading2"/>
    <w:rsid w:val="00DD7045"/>
    <w:pPr>
      <w:ind w:left="0" w:firstLine="0"/>
    </w:pPr>
  </w:style>
  <w:style w:type="character" w:customStyle="1" w:styleId="Heading5Char">
    <w:name w:val="Heading 5 Char"/>
    <w:basedOn w:val="DefaultParagraphFont"/>
    <w:link w:val="Heading5"/>
    <w:rsid w:val="00DD7045"/>
    <w:rPr>
      <w:rFonts w:ascii="Arial" w:hAnsi="Arial"/>
      <w:i/>
      <w:sz w:val="22"/>
    </w:rPr>
  </w:style>
  <w:style w:type="paragraph" w:customStyle="1" w:styleId="Figurespace">
    <w:name w:val="Figure space"/>
    <w:basedOn w:val="Box"/>
    <w:rsid w:val="00DD7045"/>
    <w:pPr>
      <w:spacing w:before="0" w:line="120" w:lineRule="exact"/>
    </w:pPr>
  </w:style>
  <w:style w:type="paragraph" w:customStyle="1" w:styleId="FooterDraftReport">
    <w:name w:val="FooterDraftReport"/>
    <w:basedOn w:val="Footer"/>
    <w:link w:val="FooterDraftReportChar"/>
    <w:rsid w:val="00DD70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headBody Text Char,Body Text1 Char,new legislation style Char,new legislation style1 Char,new legislation style Ch Char"/>
    <w:basedOn w:val="DefaultParagraphFont"/>
    <w:link w:val="BodyText"/>
    <w:rsid w:val="00DD7045"/>
    <w:rPr>
      <w:sz w:val="24"/>
    </w:rPr>
  </w:style>
  <w:style w:type="character" w:customStyle="1" w:styleId="FooterChar">
    <w:name w:val="Footer Char"/>
    <w:basedOn w:val="BodyTextChar"/>
    <w:link w:val="Footer"/>
    <w:rsid w:val="00DD7045"/>
    <w:rPr>
      <w:rFonts w:ascii="Arial" w:hAnsi="Arial"/>
      <w:caps/>
      <w:spacing w:val="-4"/>
      <w:sz w:val="16"/>
    </w:rPr>
  </w:style>
  <w:style w:type="character" w:customStyle="1" w:styleId="FooterDraftReportChar">
    <w:name w:val="FooterDraftReport Char"/>
    <w:basedOn w:val="FooterChar"/>
    <w:link w:val="FooterDraftReport"/>
    <w:rsid w:val="00DD70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D7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DD7045"/>
    <w:rPr>
      <w:rFonts w:ascii="Arial" w:hAnsi="Arial"/>
      <w:b/>
      <w:sz w:val="26"/>
      <w:szCs w:val="26"/>
      <w:lang w:eastAsia="en-US"/>
    </w:rPr>
  </w:style>
  <w:style w:type="character" w:customStyle="1" w:styleId="Continuedintitle">
    <w:name w:val="Continued (in title)"/>
    <w:basedOn w:val="DefaultParagraphFont"/>
    <w:rsid w:val="00DD7045"/>
    <w:rPr>
      <w:rFonts w:ascii="Arial" w:hAnsi="Arial"/>
      <w:b/>
      <w:sz w:val="18"/>
    </w:rPr>
  </w:style>
  <w:style w:type="paragraph" w:styleId="CommentSubject">
    <w:name w:val="annotation subject"/>
    <w:basedOn w:val="CommentText"/>
    <w:next w:val="CommentText"/>
    <w:link w:val="CommentSubjectChar"/>
    <w:rsid w:val="00AD450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4501"/>
    <w:rPr>
      <w:szCs w:val="24"/>
    </w:rPr>
  </w:style>
  <w:style w:type="character" w:customStyle="1" w:styleId="CommentSubjectChar">
    <w:name w:val="Comment Subject Char"/>
    <w:basedOn w:val="CommentTextChar"/>
    <w:link w:val="CommentSubject"/>
    <w:rsid w:val="00AD4501"/>
    <w:rPr>
      <w:b/>
      <w:bCs/>
      <w:szCs w:val="24"/>
    </w:rPr>
  </w:style>
  <w:style w:type="character" w:customStyle="1" w:styleId="FootnoteTextChar">
    <w:name w:val="Footnote Text Char"/>
    <w:basedOn w:val="DefaultParagraphFont"/>
    <w:link w:val="FootnoteText"/>
    <w:rsid w:val="00C45E79"/>
  </w:style>
  <w:style w:type="paragraph" w:styleId="Revision">
    <w:name w:val="Revision"/>
    <w:hidden/>
    <w:uiPriority w:val="99"/>
    <w:semiHidden/>
    <w:rsid w:val="00B23AF6"/>
    <w:rPr>
      <w:sz w:val="24"/>
      <w:szCs w:val="24"/>
    </w:rPr>
  </w:style>
  <w:style w:type="character" w:styleId="Hyperlink">
    <w:name w:val="Hyperlink"/>
    <w:basedOn w:val="DefaultParagraphFont"/>
    <w:uiPriority w:val="99"/>
    <w:rsid w:val="00495B57"/>
    <w:rPr>
      <w:color w:val="78A22F" w:themeColor="hyperlink"/>
      <w:u w:val="single"/>
    </w:rPr>
  </w:style>
  <w:style w:type="character" w:customStyle="1" w:styleId="NoteChar">
    <w:name w:val="Note Char"/>
    <w:basedOn w:val="BodyTextChar"/>
    <w:link w:val="Note"/>
    <w:rsid w:val="00074475"/>
    <w:rPr>
      <w:rFonts w:ascii="Arial" w:hAnsi="Arial"/>
      <w:sz w:val="18"/>
    </w:rPr>
  </w:style>
  <w:style w:type="character" w:customStyle="1" w:styleId="FigureChar">
    <w:name w:val="Figure Char"/>
    <w:basedOn w:val="DefaultParagraphFont"/>
    <w:link w:val="Figure"/>
    <w:rsid w:val="001F2AE0"/>
    <w:rPr>
      <w:sz w:val="24"/>
    </w:rPr>
  </w:style>
  <w:style w:type="character" w:customStyle="1" w:styleId="ReferenceChar">
    <w:name w:val="Reference Char"/>
    <w:basedOn w:val="DefaultParagraphFont"/>
    <w:link w:val="Reference"/>
    <w:locked/>
    <w:rsid w:val="00003AA9"/>
    <w:rPr>
      <w:sz w:val="24"/>
    </w:rPr>
  </w:style>
  <w:style w:type="paragraph" w:styleId="ListParagraph">
    <w:name w:val="List Paragraph"/>
    <w:basedOn w:val="Normal"/>
    <w:uiPriority w:val="34"/>
    <w:qFormat/>
    <w:rsid w:val="00A9670B"/>
    <w:pPr>
      <w:spacing w:after="160" w:line="259" w:lineRule="auto"/>
      <w:ind w:left="720"/>
      <w:contextualSpacing/>
    </w:pPr>
    <w:rPr>
      <w:rFonts w:asciiTheme="minorHAnsi" w:eastAsiaTheme="minorHAnsi" w:hAnsiTheme="minorHAnsi" w:cstheme="minorBidi"/>
      <w:sz w:val="22"/>
      <w:szCs w:val="22"/>
      <w:lang w:val="en-US" w:eastAsia="en-US"/>
    </w:rPr>
  </w:style>
  <w:style w:type="paragraph" w:customStyle="1" w:styleId="Heading2NotTOC">
    <w:name w:val="Heading 2 Not TOC"/>
    <w:basedOn w:val="Heading2"/>
    <w:next w:val="BodyText"/>
    <w:rsid w:val="001C14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D7045"/>
    <w:rPr>
      <w:sz w:val="24"/>
      <w:szCs w:val="24"/>
    </w:rPr>
  </w:style>
  <w:style w:type="paragraph" w:styleId="Heading1">
    <w:name w:val="heading 1"/>
    <w:basedOn w:val="BodyText"/>
    <w:next w:val="BodyText"/>
    <w:rsid w:val="00DD704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704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D7045"/>
    <w:pPr>
      <w:spacing w:before="560" w:line="320" w:lineRule="exact"/>
      <w:ind w:left="0" w:firstLine="0"/>
      <w:outlineLvl w:val="2"/>
    </w:pPr>
    <w:rPr>
      <w:sz w:val="26"/>
    </w:rPr>
  </w:style>
  <w:style w:type="paragraph" w:styleId="Heading4">
    <w:name w:val="heading 4"/>
    <w:basedOn w:val="Heading3"/>
    <w:next w:val="BodyText"/>
    <w:qFormat/>
    <w:rsid w:val="00DD7045"/>
    <w:pPr>
      <w:spacing w:before="480"/>
      <w:outlineLvl w:val="3"/>
    </w:pPr>
    <w:rPr>
      <w:b w:val="0"/>
      <w:sz w:val="24"/>
    </w:rPr>
  </w:style>
  <w:style w:type="paragraph" w:styleId="Heading5">
    <w:name w:val="heading 5"/>
    <w:basedOn w:val="Heading4"/>
    <w:next w:val="BodyText"/>
    <w:link w:val="Heading5Char"/>
    <w:qFormat/>
    <w:rsid w:val="00DD7045"/>
    <w:pPr>
      <w:outlineLvl w:val="4"/>
    </w:pPr>
    <w:rPr>
      <w:i/>
      <w:sz w:val="22"/>
    </w:rPr>
  </w:style>
  <w:style w:type="paragraph" w:styleId="Heading6">
    <w:name w:val="heading 6"/>
    <w:basedOn w:val="BodyText"/>
    <w:next w:val="BodyText"/>
    <w:semiHidden/>
    <w:rsid w:val="00DD7045"/>
    <w:pPr>
      <w:spacing w:after="60"/>
      <w:jc w:val="left"/>
      <w:outlineLvl w:val="5"/>
    </w:pPr>
    <w:rPr>
      <w:i/>
      <w:sz w:val="22"/>
    </w:rPr>
  </w:style>
  <w:style w:type="paragraph" w:styleId="Heading7">
    <w:name w:val="heading 7"/>
    <w:basedOn w:val="BodyText"/>
    <w:next w:val="BodyText"/>
    <w:semiHidden/>
    <w:rsid w:val="00DD7045"/>
    <w:pPr>
      <w:spacing w:after="60" w:line="240" w:lineRule="auto"/>
      <w:jc w:val="left"/>
      <w:outlineLvl w:val="6"/>
    </w:pPr>
    <w:rPr>
      <w:rFonts w:ascii="Arial" w:hAnsi="Arial"/>
      <w:sz w:val="20"/>
    </w:rPr>
  </w:style>
  <w:style w:type="paragraph" w:styleId="Heading8">
    <w:name w:val="heading 8"/>
    <w:basedOn w:val="BodyText"/>
    <w:next w:val="BodyText"/>
    <w:semiHidden/>
    <w:rsid w:val="00DD7045"/>
    <w:pPr>
      <w:spacing w:after="60" w:line="240" w:lineRule="auto"/>
      <w:jc w:val="left"/>
      <w:outlineLvl w:val="7"/>
    </w:pPr>
    <w:rPr>
      <w:rFonts w:ascii="Arial" w:hAnsi="Arial"/>
      <w:i/>
      <w:sz w:val="20"/>
    </w:rPr>
  </w:style>
  <w:style w:type="paragraph" w:styleId="Heading9">
    <w:name w:val="heading 9"/>
    <w:basedOn w:val="BodyText"/>
    <w:next w:val="BodyText"/>
    <w:semiHidden/>
    <w:rsid w:val="00DD70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70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045"/>
  </w:style>
  <w:style w:type="paragraph" w:styleId="BodyText">
    <w:name w:val="Body Text"/>
    <w:aliases w:val="headBody Text,Body Text1,new legislation style,new legislation style1,new legislation style Ch"/>
    <w:link w:val="BodyTextChar"/>
    <w:qFormat/>
    <w:rsid w:val="00DD7045"/>
    <w:pPr>
      <w:spacing w:before="240" w:line="300" w:lineRule="atLeast"/>
      <w:jc w:val="both"/>
    </w:pPr>
    <w:rPr>
      <w:sz w:val="24"/>
    </w:rPr>
  </w:style>
  <w:style w:type="paragraph" w:styleId="Footer">
    <w:name w:val="footer"/>
    <w:basedOn w:val="BodyText"/>
    <w:link w:val="FooterChar"/>
    <w:rsid w:val="00DD7045"/>
    <w:pPr>
      <w:spacing w:before="80" w:line="200" w:lineRule="exact"/>
      <w:ind w:right="6"/>
      <w:jc w:val="left"/>
    </w:pPr>
    <w:rPr>
      <w:rFonts w:ascii="Arial" w:hAnsi="Arial"/>
      <w:caps/>
      <w:spacing w:val="-4"/>
      <w:sz w:val="16"/>
    </w:rPr>
  </w:style>
  <w:style w:type="paragraph" w:customStyle="1" w:styleId="FooterEnd">
    <w:name w:val="Footer End"/>
    <w:basedOn w:val="Footer"/>
    <w:rsid w:val="00DD7045"/>
    <w:pPr>
      <w:spacing w:before="0" w:line="20" w:lineRule="exact"/>
    </w:pPr>
  </w:style>
  <w:style w:type="paragraph" w:styleId="Header">
    <w:name w:val="header"/>
    <w:basedOn w:val="BodyText"/>
    <w:rsid w:val="00DD70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7045"/>
    <w:pPr>
      <w:spacing w:line="20" w:lineRule="exact"/>
    </w:pPr>
    <w:rPr>
      <w:sz w:val="16"/>
    </w:rPr>
  </w:style>
  <w:style w:type="paragraph" w:customStyle="1" w:styleId="HeaderEven">
    <w:name w:val="Header Even"/>
    <w:basedOn w:val="Header"/>
    <w:rsid w:val="00DD7045"/>
  </w:style>
  <w:style w:type="paragraph" w:customStyle="1" w:styleId="HeaderOdd">
    <w:name w:val="Header Odd"/>
    <w:basedOn w:val="Header"/>
    <w:rsid w:val="00DD7045"/>
  </w:style>
  <w:style w:type="character" w:styleId="PageNumber">
    <w:name w:val="page number"/>
    <w:basedOn w:val="DefaultParagraphFont"/>
    <w:rsid w:val="00DD7045"/>
    <w:rPr>
      <w:rFonts w:ascii="Arial" w:hAnsi="Arial"/>
      <w:b/>
      <w:sz w:val="16"/>
    </w:rPr>
  </w:style>
  <w:style w:type="paragraph" w:customStyle="1" w:styleId="Abbreviation">
    <w:name w:val="Abbreviation"/>
    <w:basedOn w:val="BodyText"/>
    <w:rsid w:val="00DD7045"/>
    <w:pPr>
      <w:spacing w:before="120"/>
      <w:ind w:left="2381" w:hanging="2381"/>
      <w:jc w:val="left"/>
    </w:pPr>
  </w:style>
  <w:style w:type="paragraph" w:customStyle="1" w:styleId="Box">
    <w:name w:val="Box"/>
    <w:basedOn w:val="BodyText"/>
    <w:qFormat/>
    <w:rsid w:val="00DD7045"/>
    <w:pPr>
      <w:keepNext/>
      <w:spacing w:before="120" w:line="260" w:lineRule="atLeast"/>
    </w:pPr>
    <w:rPr>
      <w:rFonts w:ascii="Arial" w:hAnsi="Arial"/>
      <w:sz w:val="20"/>
    </w:rPr>
  </w:style>
  <w:style w:type="paragraph" w:customStyle="1" w:styleId="BoxContinued">
    <w:name w:val="Box Continued"/>
    <w:basedOn w:val="BodyText"/>
    <w:next w:val="BodyText"/>
    <w:semiHidden/>
    <w:rsid w:val="00DD7045"/>
    <w:pPr>
      <w:spacing w:before="180" w:line="220" w:lineRule="exact"/>
      <w:jc w:val="right"/>
    </w:pPr>
    <w:rPr>
      <w:rFonts w:ascii="Arial" w:hAnsi="Arial"/>
      <w:sz w:val="18"/>
    </w:rPr>
  </w:style>
  <w:style w:type="paragraph" w:customStyle="1" w:styleId="BoxHeading1">
    <w:name w:val="Box Heading 1"/>
    <w:basedOn w:val="BodyText"/>
    <w:next w:val="Box"/>
    <w:rsid w:val="00DD7045"/>
    <w:pPr>
      <w:keepNext/>
      <w:spacing w:before="200" w:line="280" w:lineRule="atLeast"/>
    </w:pPr>
    <w:rPr>
      <w:rFonts w:ascii="Arial" w:hAnsi="Arial"/>
      <w:b/>
      <w:sz w:val="22"/>
    </w:rPr>
  </w:style>
  <w:style w:type="paragraph" w:customStyle="1" w:styleId="BoxHeading2">
    <w:name w:val="Box Heading 2"/>
    <w:basedOn w:val="BoxHeading1"/>
    <w:next w:val="Normal"/>
    <w:rsid w:val="00DD7045"/>
    <w:rPr>
      <w:b w:val="0"/>
      <w:i/>
    </w:rPr>
  </w:style>
  <w:style w:type="paragraph" w:customStyle="1" w:styleId="BoxListBullet">
    <w:name w:val="Box List Bullet"/>
    <w:basedOn w:val="BodyText"/>
    <w:rsid w:val="00DD704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D7045"/>
    <w:pPr>
      <w:numPr>
        <w:numId w:val="13"/>
      </w:numPr>
      <w:ind w:left="568" w:hanging="284"/>
    </w:pPr>
  </w:style>
  <w:style w:type="paragraph" w:customStyle="1" w:styleId="BoxListNumber">
    <w:name w:val="Box List Number"/>
    <w:basedOn w:val="BodyText"/>
    <w:rsid w:val="00DD7045"/>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D7045"/>
    <w:pPr>
      <w:numPr>
        <w:ilvl w:val="1"/>
      </w:numPr>
      <w:ind w:left="681" w:hanging="397"/>
    </w:pPr>
  </w:style>
  <w:style w:type="paragraph" w:customStyle="1" w:styleId="BoxQuote">
    <w:name w:val="Box Quote"/>
    <w:basedOn w:val="BodyText"/>
    <w:next w:val="Box"/>
    <w:qFormat/>
    <w:rsid w:val="00DD7045"/>
    <w:pPr>
      <w:keepNext/>
      <w:spacing w:before="60" w:line="240" w:lineRule="exact"/>
      <w:ind w:left="284"/>
    </w:pPr>
    <w:rPr>
      <w:rFonts w:ascii="Arial" w:hAnsi="Arial"/>
      <w:sz w:val="18"/>
    </w:rPr>
  </w:style>
  <w:style w:type="paragraph" w:customStyle="1" w:styleId="Note">
    <w:name w:val="Note"/>
    <w:basedOn w:val="BodyText"/>
    <w:next w:val="BodyText"/>
    <w:link w:val="NoteChar"/>
    <w:rsid w:val="00DD7045"/>
    <w:pPr>
      <w:keepLines/>
      <w:spacing w:before="80" w:line="220" w:lineRule="exact"/>
    </w:pPr>
    <w:rPr>
      <w:rFonts w:ascii="Arial" w:hAnsi="Arial"/>
      <w:sz w:val="18"/>
    </w:rPr>
  </w:style>
  <w:style w:type="paragraph" w:customStyle="1" w:styleId="Source">
    <w:name w:val="Source"/>
    <w:basedOn w:val="Normal"/>
    <w:next w:val="BodyText"/>
    <w:rsid w:val="00DD7045"/>
    <w:pPr>
      <w:keepLines/>
      <w:spacing w:before="80" w:line="220" w:lineRule="exact"/>
      <w:jc w:val="both"/>
    </w:pPr>
    <w:rPr>
      <w:rFonts w:ascii="Arial" w:hAnsi="Arial"/>
      <w:sz w:val="18"/>
      <w:szCs w:val="20"/>
    </w:rPr>
  </w:style>
  <w:style w:type="paragraph" w:customStyle="1" w:styleId="BoxSource">
    <w:name w:val="Box Source"/>
    <w:basedOn w:val="Source"/>
    <w:next w:val="BodyText"/>
    <w:rsid w:val="00DD7045"/>
    <w:pPr>
      <w:spacing w:before="120"/>
    </w:pPr>
  </w:style>
  <w:style w:type="paragraph" w:customStyle="1" w:styleId="BoxSpaceAbove">
    <w:name w:val="Box Space Above"/>
    <w:basedOn w:val="BodyText"/>
    <w:rsid w:val="00DD7045"/>
    <w:pPr>
      <w:keepNext/>
      <w:spacing w:before="360" w:line="80" w:lineRule="exact"/>
      <w:jc w:val="left"/>
    </w:pPr>
  </w:style>
  <w:style w:type="paragraph" w:styleId="Caption">
    <w:name w:val="caption"/>
    <w:basedOn w:val="Normal"/>
    <w:next w:val="BodyText"/>
    <w:rsid w:val="00DD704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7045"/>
    <w:pPr>
      <w:spacing w:before="120" w:after="0"/>
    </w:pPr>
  </w:style>
  <w:style w:type="paragraph" w:customStyle="1" w:styleId="BoxSubtitle">
    <w:name w:val="Box Subtitle"/>
    <w:basedOn w:val="BoxTitle"/>
    <w:next w:val="Normal"/>
    <w:rsid w:val="00DD7045"/>
    <w:pPr>
      <w:spacing w:after="80" w:line="200" w:lineRule="exact"/>
      <w:ind w:firstLine="0"/>
    </w:pPr>
    <w:rPr>
      <w:b w:val="0"/>
      <w:sz w:val="20"/>
    </w:rPr>
  </w:style>
  <w:style w:type="paragraph" w:customStyle="1" w:styleId="Chapter">
    <w:name w:val="Chapter"/>
    <w:basedOn w:val="Heading1"/>
    <w:next w:val="BodyText"/>
    <w:semiHidden/>
    <w:rsid w:val="00DD7045"/>
    <w:pPr>
      <w:ind w:left="0" w:firstLine="0"/>
      <w:outlineLvl w:val="9"/>
    </w:pPr>
  </w:style>
  <w:style w:type="paragraph" w:customStyle="1" w:styleId="ChapterSummary">
    <w:name w:val="Chapter Summary"/>
    <w:basedOn w:val="BodyText"/>
    <w:rsid w:val="00DD7045"/>
    <w:pPr>
      <w:spacing w:line="280" w:lineRule="atLeast"/>
      <w:ind w:left="907"/>
    </w:pPr>
    <w:rPr>
      <w:rFonts w:ascii="Arial" w:hAnsi="Arial"/>
      <w:b/>
      <w:sz w:val="20"/>
    </w:rPr>
  </w:style>
  <w:style w:type="character" w:styleId="CommentReference">
    <w:name w:val="annotation reference"/>
    <w:basedOn w:val="DefaultParagraphFont"/>
    <w:semiHidden/>
    <w:rsid w:val="00DD7045"/>
    <w:rPr>
      <w:b/>
      <w:vanish/>
      <w:color w:val="FF00FF"/>
      <w:sz w:val="20"/>
    </w:rPr>
  </w:style>
  <w:style w:type="paragraph" w:styleId="CommentText">
    <w:name w:val="annotation text"/>
    <w:basedOn w:val="Normal"/>
    <w:link w:val="CommentTextChar"/>
    <w:semiHidden/>
    <w:rsid w:val="00DD7045"/>
    <w:pPr>
      <w:spacing w:before="120" w:line="240" w:lineRule="atLeast"/>
      <w:ind w:left="567" w:hanging="567"/>
    </w:pPr>
    <w:rPr>
      <w:sz w:val="20"/>
    </w:rPr>
  </w:style>
  <w:style w:type="paragraph" w:customStyle="1" w:styleId="Continued">
    <w:name w:val="Continued"/>
    <w:basedOn w:val="BoxContinued"/>
    <w:next w:val="BodyText"/>
    <w:rsid w:val="00DD7045"/>
  </w:style>
  <w:style w:type="character" w:customStyle="1" w:styleId="DocumentInfo">
    <w:name w:val="Document Info"/>
    <w:basedOn w:val="DefaultParagraphFont"/>
    <w:semiHidden/>
    <w:rsid w:val="00DD7045"/>
    <w:rPr>
      <w:rFonts w:ascii="Arial" w:hAnsi="Arial"/>
      <w:sz w:val="14"/>
    </w:rPr>
  </w:style>
  <w:style w:type="character" w:customStyle="1" w:styleId="DraftingNote">
    <w:name w:val="Drafting Note"/>
    <w:basedOn w:val="DefaultParagraphFont"/>
    <w:rsid w:val="00DD7045"/>
    <w:rPr>
      <w:b/>
      <w:color w:val="FF0000"/>
      <w:sz w:val="24"/>
      <w:u w:val="dotted"/>
    </w:rPr>
  </w:style>
  <w:style w:type="paragraph" w:customStyle="1" w:styleId="Figure">
    <w:name w:val="Figure"/>
    <w:basedOn w:val="BodyText"/>
    <w:link w:val="FigureChar"/>
    <w:rsid w:val="00DD7045"/>
    <w:pPr>
      <w:keepNext/>
      <w:spacing w:before="120" w:after="120" w:line="240" w:lineRule="atLeast"/>
      <w:jc w:val="center"/>
    </w:pPr>
  </w:style>
  <w:style w:type="paragraph" w:customStyle="1" w:styleId="FigureTitle">
    <w:name w:val="Figure Title"/>
    <w:basedOn w:val="Caption"/>
    <w:next w:val="Subtitle"/>
    <w:rsid w:val="00DD7045"/>
    <w:pPr>
      <w:spacing w:before="120"/>
    </w:pPr>
  </w:style>
  <w:style w:type="paragraph" w:styleId="Subtitle">
    <w:name w:val="Subtitle"/>
    <w:basedOn w:val="Caption"/>
    <w:link w:val="SubtitleChar"/>
    <w:qFormat/>
    <w:rsid w:val="00DD7045"/>
    <w:pPr>
      <w:spacing w:before="0" w:line="200" w:lineRule="exact"/>
      <w:ind w:firstLine="0"/>
    </w:pPr>
    <w:rPr>
      <w:b w:val="0"/>
      <w:sz w:val="20"/>
    </w:rPr>
  </w:style>
  <w:style w:type="paragraph" w:customStyle="1" w:styleId="Finding">
    <w:name w:val="Finding"/>
    <w:basedOn w:val="BodyText"/>
    <w:rsid w:val="00DD7045"/>
    <w:pPr>
      <w:keepLines/>
      <w:spacing w:before="120" w:line="280" w:lineRule="atLeast"/>
    </w:pPr>
    <w:rPr>
      <w:rFonts w:ascii="Arial" w:hAnsi="Arial"/>
      <w:sz w:val="22"/>
    </w:rPr>
  </w:style>
  <w:style w:type="paragraph" w:customStyle="1" w:styleId="FindingBullet">
    <w:name w:val="Finding Bullet"/>
    <w:basedOn w:val="Finding"/>
    <w:rsid w:val="00DD7045"/>
    <w:pPr>
      <w:numPr>
        <w:numId w:val="15"/>
      </w:numPr>
      <w:spacing w:before="80"/>
    </w:pPr>
  </w:style>
  <w:style w:type="paragraph" w:customStyle="1" w:styleId="FindingNoTitle">
    <w:name w:val="Finding NoTitle"/>
    <w:basedOn w:val="Finding"/>
    <w:semiHidden/>
    <w:rsid w:val="00DD7045"/>
    <w:pPr>
      <w:spacing w:before="240"/>
    </w:pPr>
  </w:style>
  <w:style w:type="paragraph" w:customStyle="1" w:styleId="RecTitle">
    <w:name w:val="Rec Title"/>
    <w:basedOn w:val="BodyText"/>
    <w:next w:val="Rec"/>
    <w:qFormat/>
    <w:rsid w:val="00DD7045"/>
    <w:pPr>
      <w:keepNext/>
      <w:keepLines/>
      <w:spacing w:line="280" w:lineRule="atLeast"/>
    </w:pPr>
    <w:rPr>
      <w:rFonts w:ascii="Arial" w:hAnsi="Arial"/>
      <w:caps/>
      <w:sz w:val="18"/>
    </w:rPr>
  </w:style>
  <w:style w:type="paragraph" w:customStyle="1" w:styleId="FindingTitle">
    <w:name w:val="Finding Title"/>
    <w:basedOn w:val="RecTitle"/>
    <w:next w:val="Finding"/>
    <w:rsid w:val="00DD7045"/>
  </w:style>
  <w:style w:type="character" w:styleId="FootnoteReference">
    <w:name w:val="footnote reference"/>
    <w:basedOn w:val="DefaultParagraphFont"/>
    <w:rsid w:val="00DD7045"/>
    <w:rPr>
      <w:rFonts w:ascii="Times New Roman" w:hAnsi="Times New Roman"/>
      <w:position w:val="6"/>
      <w:sz w:val="20"/>
      <w:vertAlign w:val="baseline"/>
    </w:rPr>
  </w:style>
  <w:style w:type="paragraph" w:styleId="FootnoteText">
    <w:name w:val="footnote text"/>
    <w:basedOn w:val="BodyText"/>
    <w:link w:val="FootnoteTextChar"/>
    <w:rsid w:val="00DD704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D7045"/>
    <w:rPr>
      <w:i/>
    </w:rPr>
  </w:style>
  <w:style w:type="paragraph" w:customStyle="1" w:styleId="Jurisdictioncommentsbodytext">
    <w:name w:val="Jurisdiction comments body text"/>
    <w:rsid w:val="00DD7045"/>
    <w:pPr>
      <w:spacing w:after="140"/>
      <w:jc w:val="both"/>
    </w:pPr>
    <w:rPr>
      <w:rFonts w:ascii="Arial" w:hAnsi="Arial"/>
      <w:sz w:val="24"/>
      <w:lang w:eastAsia="en-US"/>
    </w:rPr>
  </w:style>
  <w:style w:type="paragraph" w:customStyle="1" w:styleId="Jurisdictioncommentsheading">
    <w:name w:val="Jurisdiction comments heading"/>
    <w:rsid w:val="00DD70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7045"/>
    <w:pPr>
      <w:numPr>
        <w:numId w:val="2"/>
      </w:numPr>
      <w:spacing w:after="140"/>
      <w:jc w:val="both"/>
    </w:pPr>
    <w:rPr>
      <w:rFonts w:ascii="Arial" w:hAnsi="Arial"/>
      <w:sz w:val="24"/>
      <w:lang w:eastAsia="en-US"/>
    </w:rPr>
  </w:style>
  <w:style w:type="paragraph" w:styleId="ListBullet">
    <w:name w:val="List Bullet"/>
    <w:basedOn w:val="BodyText"/>
    <w:rsid w:val="00DD7045"/>
    <w:pPr>
      <w:numPr>
        <w:numId w:val="3"/>
      </w:numPr>
      <w:spacing w:before="120"/>
    </w:pPr>
  </w:style>
  <w:style w:type="paragraph" w:styleId="ListBullet2">
    <w:name w:val="List Bullet 2"/>
    <w:basedOn w:val="BodyText"/>
    <w:rsid w:val="00DD7045"/>
    <w:pPr>
      <w:numPr>
        <w:numId w:val="4"/>
      </w:numPr>
      <w:spacing w:before="120"/>
    </w:pPr>
  </w:style>
  <w:style w:type="paragraph" w:styleId="ListBullet3">
    <w:name w:val="List Bullet 3"/>
    <w:basedOn w:val="BodyText"/>
    <w:rsid w:val="00DD7045"/>
    <w:pPr>
      <w:numPr>
        <w:numId w:val="5"/>
      </w:numPr>
      <w:spacing w:before="120"/>
      <w:ind w:left="1020" w:hanging="340"/>
    </w:pPr>
  </w:style>
  <w:style w:type="paragraph" w:styleId="ListNumber">
    <w:name w:val="List Number"/>
    <w:basedOn w:val="BodyText"/>
    <w:rsid w:val="00DD7045"/>
    <w:pPr>
      <w:numPr>
        <w:numId w:val="9"/>
      </w:numPr>
      <w:spacing w:before="120"/>
    </w:pPr>
  </w:style>
  <w:style w:type="paragraph" w:styleId="ListNumber2">
    <w:name w:val="List Number 2"/>
    <w:basedOn w:val="ListNumber"/>
    <w:rsid w:val="00DD7045"/>
    <w:pPr>
      <w:numPr>
        <w:ilvl w:val="1"/>
      </w:numPr>
    </w:pPr>
  </w:style>
  <w:style w:type="paragraph" w:styleId="ListNumber3">
    <w:name w:val="List Number 3"/>
    <w:basedOn w:val="ListNumber2"/>
    <w:rsid w:val="00DD7045"/>
    <w:pPr>
      <w:numPr>
        <w:ilvl w:val="2"/>
      </w:numPr>
    </w:pPr>
  </w:style>
  <w:style w:type="character" w:customStyle="1" w:styleId="NoteLabel">
    <w:name w:val="Note Label"/>
    <w:basedOn w:val="DefaultParagraphFont"/>
    <w:rsid w:val="00DD7045"/>
    <w:rPr>
      <w:rFonts w:ascii="Arial" w:hAnsi="Arial"/>
      <w:b/>
      <w:position w:val="6"/>
      <w:sz w:val="18"/>
    </w:rPr>
  </w:style>
  <w:style w:type="paragraph" w:customStyle="1" w:styleId="PartDivider">
    <w:name w:val="Part Divider"/>
    <w:basedOn w:val="BodyText"/>
    <w:next w:val="BodyText"/>
    <w:semiHidden/>
    <w:rsid w:val="00DD7045"/>
    <w:pPr>
      <w:spacing w:before="0" w:line="40" w:lineRule="exact"/>
      <w:jc w:val="right"/>
    </w:pPr>
    <w:rPr>
      <w:smallCaps/>
      <w:sz w:val="16"/>
    </w:rPr>
  </w:style>
  <w:style w:type="paragraph" w:customStyle="1" w:styleId="PartNumber">
    <w:name w:val="Part Number"/>
    <w:basedOn w:val="BodyText"/>
    <w:next w:val="BodyText"/>
    <w:semiHidden/>
    <w:rsid w:val="00DD7045"/>
    <w:pPr>
      <w:spacing w:before="4000" w:line="320" w:lineRule="exact"/>
      <w:ind w:left="6634"/>
      <w:jc w:val="right"/>
    </w:pPr>
    <w:rPr>
      <w:smallCaps/>
      <w:spacing w:val="60"/>
      <w:sz w:val="32"/>
    </w:rPr>
  </w:style>
  <w:style w:type="paragraph" w:customStyle="1" w:styleId="PartTitle">
    <w:name w:val="Part Title"/>
    <w:basedOn w:val="BodyText"/>
    <w:semiHidden/>
    <w:rsid w:val="00DD7045"/>
    <w:pPr>
      <w:spacing w:before="160" w:after="1360" w:line="520" w:lineRule="exact"/>
      <w:ind w:right="2381"/>
      <w:jc w:val="right"/>
    </w:pPr>
    <w:rPr>
      <w:smallCaps/>
      <w:sz w:val="52"/>
    </w:rPr>
  </w:style>
  <w:style w:type="paragraph" w:styleId="Quote">
    <w:name w:val="Quote"/>
    <w:basedOn w:val="BodyText"/>
    <w:next w:val="BodyText"/>
    <w:qFormat/>
    <w:rsid w:val="00DD7045"/>
    <w:pPr>
      <w:spacing w:before="120" w:line="280" w:lineRule="exact"/>
      <w:ind w:left="340"/>
    </w:pPr>
    <w:rPr>
      <w:sz w:val="22"/>
    </w:rPr>
  </w:style>
  <w:style w:type="paragraph" w:customStyle="1" w:styleId="QuoteBullet">
    <w:name w:val="Quote Bullet"/>
    <w:basedOn w:val="Quote"/>
    <w:rsid w:val="00DD7045"/>
    <w:pPr>
      <w:numPr>
        <w:numId w:val="6"/>
      </w:numPr>
    </w:pPr>
  </w:style>
  <w:style w:type="paragraph" w:customStyle="1" w:styleId="Rec">
    <w:name w:val="Rec"/>
    <w:basedOn w:val="BodyText"/>
    <w:qFormat/>
    <w:rsid w:val="00DD7045"/>
    <w:pPr>
      <w:keepLines/>
      <w:spacing w:before="120" w:line="280" w:lineRule="atLeast"/>
    </w:pPr>
    <w:rPr>
      <w:rFonts w:ascii="Arial" w:hAnsi="Arial"/>
      <w:sz w:val="22"/>
    </w:rPr>
  </w:style>
  <w:style w:type="paragraph" w:customStyle="1" w:styleId="RecBullet">
    <w:name w:val="Rec Bullet"/>
    <w:basedOn w:val="Rec"/>
    <w:rsid w:val="00DD7045"/>
    <w:pPr>
      <w:numPr>
        <w:numId w:val="17"/>
      </w:numPr>
      <w:spacing w:before="80"/>
    </w:pPr>
  </w:style>
  <w:style w:type="paragraph" w:customStyle="1" w:styleId="RecB">
    <w:name w:val="RecB"/>
    <w:basedOn w:val="Normal"/>
    <w:semiHidden/>
    <w:rsid w:val="00DD704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7045"/>
    <w:pPr>
      <w:numPr>
        <w:numId w:val="11"/>
      </w:numPr>
      <w:spacing w:before="80"/>
    </w:pPr>
  </w:style>
  <w:style w:type="paragraph" w:customStyle="1" w:styleId="RecBNoTitle">
    <w:name w:val="RecB NoTitle"/>
    <w:basedOn w:val="RecB"/>
    <w:semiHidden/>
    <w:rsid w:val="00DD7045"/>
    <w:pPr>
      <w:spacing w:before="240"/>
    </w:pPr>
  </w:style>
  <w:style w:type="paragraph" w:customStyle="1" w:styleId="Reference">
    <w:name w:val="Reference"/>
    <w:basedOn w:val="BodyText"/>
    <w:link w:val="ReferenceChar"/>
    <w:rsid w:val="00DD7045"/>
    <w:pPr>
      <w:spacing w:before="120"/>
      <w:ind w:left="340" w:hanging="340"/>
    </w:pPr>
  </w:style>
  <w:style w:type="paragraph" w:customStyle="1" w:styleId="SequenceInfo">
    <w:name w:val="Sequence Info"/>
    <w:basedOn w:val="BodyText"/>
    <w:semiHidden/>
    <w:rsid w:val="00DD7045"/>
    <w:rPr>
      <w:vanish/>
      <w:sz w:val="16"/>
    </w:rPr>
  </w:style>
  <w:style w:type="paragraph" w:customStyle="1" w:styleId="SideNote">
    <w:name w:val="Side Note"/>
    <w:basedOn w:val="BodyText"/>
    <w:next w:val="BodyText"/>
    <w:semiHidden/>
    <w:rsid w:val="00DD704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D7045"/>
    <w:pPr>
      <w:framePr w:wrap="around"/>
      <w:numPr>
        <w:numId w:val="7"/>
      </w:numPr>
      <w:tabs>
        <w:tab w:val="left" w:pos="227"/>
      </w:tabs>
    </w:pPr>
  </w:style>
  <w:style w:type="paragraph" w:customStyle="1" w:styleId="SideNoteGraphic">
    <w:name w:val="Side Note Graphic"/>
    <w:basedOn w:val="SideNote"/>
    <w:next w:val="BodyText"/>
    <w:semiHidden/>
    <w:rsid w:val="00DD7045"/>
    <w:pPr>
      <w:framePr w:wrap="around"/>
    </w:pPr>
  </w:style>
  <w:style w:type="paragraph" w:customStyle="1" w:styleId="TableBodyText">
    <w:name w:val="Table Body Text"/>
    <w:basedOn w:val="BodyText"/>
    <w:rsid w:val="00DD704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D7045"/>
    <w:pPr>
      <w:numPr>
        <w:numId w:val="8"/>
      </w:numPr>
      <w:jc w:val="left"/>
    </w:pPr>
  </w:style>
  <w:style w:type="paragraph" w:customStyle="1" w:styleId="TableColumnHeading">
    <w:name w:val="Table Column Heading"/>
    <w:basedOn w:val="TableBodyText"/>
    <w:rsid w:val="00DD7045"/>
    <w:pPr>
      <w:spacing w:before="80" w:after="80"/>
    </w:pPr>
    <w:rPr>
      <w:i/>
    </w:rPr>
  </w:style>
  <w:style w:type="paragraph" w:styleId="TOC2">
    <w:name w:val="toc 2"/>
    <w:basedOn w:val="TOC1"/>
    <w:rsid w:val="00DD7045"/>
    <w:pPr>
      <w:ind w:left="1134" w:hanging="624"/>
    </w:pPr>
    <w:rPr>
      <w:b w:val="0"/>
    </w:rPr>
  </w:style>
  <w:style w:type="paragraph" w:styleId="TOC3">
    <w:name w:val="toc 3"/>
    <w:basedOn w:val="TOC2"/>
    <w:rsid w:val="00DD7045"/>
    <w:pPr>
      <w:spacing w:before="60"/>
      <w:ind w:left="1190" w:hanging="680"/>
    </w:pPr>
  </w:style>
  <w:style w:type="paragraph" w:styleId="TableofFigures">
    <w:name w:val="table of figures"/>
    <w:basedOn w:val="TOC3"/>
    <w:next w:val="BodyText"/>
    <w:semiHidden/>
    <w:rsid w:val="00DD7045"/>
    <w:pPr>
      <w:ind w:left="737" w:hanging="737"/>
    </w:pPr>
  </w:style>
  <w:style w:type="paragraph" w:customStyle="1" w:styleId="TableTitle">
    <w:name w:val="Table Title"/>
    <w:basedOn w:val="Caption"/>
    <w:next w:val="Subtitle"/>
    <w:qFormat/>
    <w:rsid w:val="00DD7045"/>
    <w:pPr>
      <w:spacing w:before="120"/>
    </w:pPr>
  </w:style>
  <w:style w:type="paragraph" w:customStyle="1" w:styleId="TableUnitsRow">
    <w:name w:val="Table Units Row"/>
    <w:basedOn w:val="TableBodyText"/>
    <w:rsid w:val="00DD7045"/>
    <w:pPr>
      <w:spacing w:before="40"/>
    </w:pPr>
  </w:style>
  <w:style w:type="paragraph" w:styleId="TOC1">
    <w:name w:val="toc 1"/>
    <w:basedOn w:val="Normal"/>
    <w:next w:val="TOC2"/>
    <w:link w:val="TOC1Char"/>
    <w:rsid w:val="00DD704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D7045"/>
    <w:pPr>
      <w:ind w:left="1191" w:firstLine="0"/>
    </w:pPr>
  </w:style>
  <w:style w:type="paragraph" w:customStyle="1" w:styleId="RecBBullet2">
    <w:name w:val="RecB Bullet 2"/>
    <w:basedOn w:val="ListBullet2"/>
    <w:semiHidden/>
    <w:rsid w:val="00DD7045"/>
    <w:pPr>
      <w:pBdr>
        <w:left w:val="single" w:sz="24" w:space="29" w:color="C0C0C0"/>
      </w:pBdr>
    </w:pPr>
    <w:rPr>
      <w:b/>
      <w:i/>
    </w:rPr>
  </w:style>
  <w:style w:type="paragraph" w:styleId="BalloonText">
    <w:name w:val="Balloon Text"/>
    <w:basedOn w:val="Normal"/>
    <w:link w:val="BalloonTextChar"/>
    <w:rsid w:val="00DD7045"/>
    <w:rPr>
      <w:rFonts w:ascii="Tahoma" w:hAnsi="Tahoma" w:cs="Tahoma"/>
      <w:sz w:val="16"/>
      <w:szCs w:val="16"/>
    </w:rPr>
  </w:style>
  <w:style w:type="character" w:customStyle="1" w:styleId="BalloonTextChar">
    <w:name w:val="Balloon Text Char"/>
    <w:basedOn w:val="DefaultParagraphFont"/>
    <w:link w:val="BalloonText"/>
    <w:rsid w:val="00DD7045"/>
    <w:rPr>
      <w:rFonts w:ascii="Tahoma" w:hAnsi="Tahoma" w:cs="Tahoma"/>
      <w:sz w:val="16"/>
      <w:szCs w:val="16"/>
    </w:rPr>
  </w:style>
  <w:style w:type="character" w:customStyle="1" w:styleId="SubtitleChar">
    <w:name w:val="Subtitle Char"/>
    <w:basedOn w:val="DefaultParagraphFont"/>
    <w:link w:val="Subtitle"/>
    <w:rsid w:val="00DD7045"/>
    <w:rPr>
      <w:rFonts w:ascii="Arial" w:hAnsi="Arial"/>
      <w:szCs w:val="24"/>
    </w:rPr>
  </w:style>
  <w:style w:type="paragraph" w:customStyle="1" w:styleId="BoxListBullet3">
    <w:name w:val="Box List Bullet 3"/>
    <w:basedOn w:val="ListBullet3"/>
    <w:rsid w:val="00DD7045"/>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D7045"/>
    <w:rPr>
      <w:i/>
      <w:iCs/>
    </w:rPr>
  </w:style>
  <w:style w:type="paragraph" w:customStyle="1" w:styleId="BoxQuoteBullet">
    <w:name w:val="Box Quote Bullet"/>
    <w:basedOn w:val="BoxQuote"/>
    <w:next w:val="Box"/>
    <w:rsid w:val="00DD7045"/>
    <w:pPr>
      <w:numPr>
        <w:numId w:val="12"/>
      </w:numPr>
      <w:ind w:left="568" w:hanging="284"/>
    </w:pPr>
  </w:style>
  <w:style w:type="paragraph" w:customStyle="1" w:styleId="InformationRequestBullet">
    <w:name w:val="Information Request Bullet"/>
    <w:basedOn w:val="ListBullet"/>
    <w:next w:val="BodyText"/>
    <w:rsid w:val="00DD704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D7045"/>
    <w:pPr>
      <w:keepNext w:val="0"/>
      <w:spacing w:before="60" w:after="60" w:line="80" w:lineRule="exact"/>
    </w:pPr>
    <w:rPr>
      <w:sz w:val="14"/>
    </w:rPr>
  </w:style>
  <w:style w:type="paragraph" w:customStyle="1" w:styleId="KeyPointsListBullet">
    <w:name w:val="Key Points List Bullet"/>
    <w:basedOn w:val="Normal"/>
    <w:qFormat/>
    <w:rsid w:val="00DD704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D7045"/>
    <w:pPr>
      <w:numPr>
        <w:numId w:val="21"/>
      </w:numPr>
      <w:ind w:left="568" w:hanging="284"/>
    </w:pPr>
  </w:style>
  <w:style w:type="paragraph" w:customStyle="1" w:styleId="InformationRequestTitle">
    <w:name w:val="Information Request Title"/>
    <w:basedOn w:val="FindingTitle"/>
    <w:next w:val="InformationRequest"/>
    <w:rsid w:val="00DD7045"/>
    <w:rPr>
      <w:i/>
    </w:rPr>
  </w:style>
  <w:style w:type="paragraph" w:customStyle="1" w:styleId="Space">
    <w:name w:val="Space"/>
    <w:basedOn w:val="Normal"/>
    <w:rsid w:val="00DD7045"/>
    <w:pPr>
      <w:keepNext/>
      <w:spacing w:line="120" w:lineRule="exact"/>
      <w:jc w:val="both"/>
    </w:pPr>
    <w:rPr>
      <w:rFonts w:ascii="Arial" w:hAnsi="Arial"/>
      <w:sz w:val="20"/>
      <w:szCs w:val="20"/>
    </w:rPr>
  </w:style>
  <w:style w:type="paragraph" w:customStyle="1" w:styleId="Heading1nochapterno">
    <w:name w:val="Heading 1 (no chapter no.)"/>
    <w:basedOn w:val="Heading1"/>
    <w:rsid w:val="00DD7045"/>
    <w:pPr>
      <w:spacing w:before="0"/>
      <w:ind w:left="0" w:firstLine="0"/>
    </w:pPr>
  </w:style>
  <w:style w:type="paragraph" w:customStyle="1" w:styleId="Heading2nosectionno">
    <w:name w:val="Heading 2 (no section no.)"/>
    <w:basedOn w:val="Heading2"/>
    <w:rsid w:val="00DD7045"/>
    <w:pPr>
      <w:ind w:left="0" w:firstLine="0"/>
    </w:pPr>
  </w:style>
  <w:style w:type="character" w:customStyle="1" w:styleId="Heading5Char">
    <w:name w:val="Heading 5 Char"/>
    <w:basedOn w:val="DefaultParagraphFont"/>
    <w:link w:val="Heading5"/>
    <w:rsid w:val="00DD7045"/>
    <w:rPr>
      <w:rFonts w:ascii="Arial" w:hAnsi="Arial"/>
      <w:i/>
      <w:sz w:val="22"/>
    </w:rPr>
  </w:style>
  <w:style w:type="paragraph" w:customStyle="1" w:styleId="Figurespace">
    <w:name w:val="Figure space"/>
    <w:basedOn w:val="Box"/>
    <w:rsid w:val="00DD7045"/>
    <w:pPr>
      <w:spacing w:before="0" w:line="120" w:lineRule="exact"/>
    </w:pPr>
  </w:style>
  <w:style w:type="paragraph" w:customStyle="1" w:styleId="FooterDraftReport">
    <w:name w:val="FooterDraftReport"/>
    <w:basedOn w:val="Footer"/>
    <w:link w:val="FooterDraftReportChar"/>
    <w:rsid w:val="00DD704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headBody Text Char,Body Text1 Char,new legislation style Char,new legislation style1 Char,new legislation style Ch Char"/>
    <w:basedOn w:val="DefaultParagraphFont"/>
    <w:link w:val="BodyText"/>
    <w:rsid w:val="00DD7045"/>
    <w:rPr>
      <w:sz w:val="24"/>
    </w:rPr>
  </w:style>
  <w:style w:type="character" w:customStyle="1" w:styleId="FooterChar">
    <w:name w:val="Footer Char"/>
    <w:basedOn w:val="BodyTextChar"/>
    <w:link w:val="Footer"/>
    <w:rsid w:val="00DD7045"/>
    <w:rPr>
      <w:rFonts w:ascii="Arial" w:hAnsi="Arial"/>
      <w:caps/>
      <w:spacing w:val="-4"/>
      <w:sz w:val="16"/>
    </w:rPr>
  </w:style>
  <w:style w:type="character" w:customStyle="1" w:styleId="FooterDraftReportChar">
    <w:name w:val="FooterDraftReport Char"/>
    <w:basedOn w:val="FooterChar"/>
    <w:link w:val="FooterDraftReport"/>
    <w:rsid w:val="00DD704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D7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DD7045"/>
    <w:rPr>
      <w:rFonts w:ascii="Arial" w:hAnsi="Arial"/>
      <w:b/>
      <w:sz w:val="26"/>
      <w:szCs w:val="26"/>
      <w:lang w:eastAsia="en-US"/>
    </w:rPr>
  </w:style>
  <w:style w:type="character" w:customStyle="1" w:styleId="Continuedintitle">
    <w:name w:val="Continued (in title)"/>
    <w:basedOn w:val="DefaultParagraphFont"/>
    <w:rsid w:val="00DD7045"/>
    <w:rPr>
      <w:rFonts w:ascii="Arial" w:hAnsi="Arial"/>
      <w:b/>
      <w:sz w:val="18"/>
    </w:rPr>
  </w:style>
  <w:style w:type="paragraph" w:styleId="CommentSubject">
    <w:name w:val="annotation subject"/>
    <w:basedOn w:val="CommentText"/>
    <w:next w:val="CommentText"/>
    <w:link w:val="CommentSubjectChar"/>
    <w:rsid w:val="00AD450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4501"/>
    <w:rPr>
      <w:szCs w:val="24"/>
    </w:rPr>
  </w:style>
  <w:style w:type="character" w:customStyle="1" w:styleId="CommentSubjectChar">
    <w:name w:val="Comment Subject Char"/>
    <w:basedOn w:val="CommentTextChar"/>
    <w:link w:val="CommentSubject"/>
    <w:rsid w:val="00AD4501"/>
    <w:rPr>
      <w:b/>
      <w:bCs/>
      <w:szCs w:val="24"/>
    </w:rPr>
  </w:style>
  <w:style w:type="character" w:customStyle="1" w:styleId="FootnoteTextChar">
    <w:name w:val="Footnote Text Char"/>
    <w:basedOn w:val="DefaultParagraphFont"/>
    <w:link w:val="FootnoteText"/>
    <w:rsid w:val="00C45E79"/>
  </w:style>
  <w:style w:type="paragraph" w:styleId="Revision">
    <w:name w:val="Revision"/>
    <w:hidden/>
    <w:uiPriority w:val="99"/>
    <w:semiHidden/>
    <w:rsid w:val="00B23AF6"/>
    <w:rPr>
      <w:sz w:val="24"/>
      <w:szCs w:val="24"/>
    </w:rPr>
  </w:style>
  <w:style w:type="character" w:styleId="Hyperlink">
    <w:name w:val="Hyperlink"/>
    <w:basedOn w:val="DefaultParagraphFont"/>
    <w:uiPriority w:val="99"/>
    <w:rsid w:val="00495B57"/>
    <w:rPr>
      <w:color w:val="78A22F" w:themeColor="hyperlink"/>
      <w:u w:val="single"/>
    </w:rPr>
  </w:style>
  <w:style w:type="character" w:customStyle="1" w:styleId="NoteChar">
    <w:name w:val="Note Char"/>
    <w:basedOn w:val="BodyTextChar"/>
    <w:link w:val="Note"/>
    <w:rsid w:val="00074475"/>
    <w:rPr>
      <w:rFonts w:ascii="Arial" w:hAnsi="Arial"/>
      <w:sz w:val="18"/>
    </w:rPr>
  </w:style>
  <w:style w:type="character" w:customStyle="1" w:styleId="FigureChar">
    <w:name w:val="Figure Char"/>
    <w:basedOn w:val="DefaultParagraphFont"/>
    <w:link w:val="Figure"/>
    <w:rsid w:val="001F2AE0"/>
    <w:rPr>
      <w:sz w:val="24"/>
    </w:rPr>
  </w:style>
  <w:style w:type="character" w:customStyle="1" w:styleId="ReferenceChar">
    <w:name w:val="Reference Char"/>
    <w:basedOn w:val="DefaultParagraphFont"/>
    <w:link w:val="Reference"/>
    <w:locked/>
    <w:rsid w:val="00003AA9"/>
    <w:rPr>
      <w:sz w:val="24"/>
    </w:rPr>
  </w:style>
  <w:style w:type="paragraph" w:styleId="ListParagraph">
    <w:name w:val="List Paragraph"/>
    <w:basedOn w:val="Normal"/>
    <w:uiPriority w:val="34"/>
    <w:qFormat/>
    <w:rsid w:val="00A9670B"/>
    <w:pPr>
      <w:spacing w:after="160" w:line="259" w:lineRule="auto"/>
      <w:ind w:left="720"/>
      <w:contextualSpacing/>
    </w:pPr>
    <w:rPr>
      <w:rFonts w:asciiTheme="minorHAnsi" w:eastAsiaTheme="minorHAnsi" w:hAnsiTheme="minorHAnsi" w:cstheme="minorBidi"/>
      <w:sz w:val="22"/>
      <w:szCs w:val="22"/>
      <w:lang w:val="en-US" w:eastAsia="en-US"/>
    </w:rPr>
  </w:style>
  <w:style w:type="paragraph" w:customStyle="1" w:styleId="Heading2NotTOC">
    <w:name w:val="Heading 2 Not TOC"/>
    <w:basedOn w:val="Heading2"/>
    <w:next w:val="BodyText"/>
    <w:rsid w:val="001C1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78715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230E9-6F65-4C3B-9C17-AB5DC9453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16</TotalTime>
  <Pages>36</Pages>
  <Words>12980</Words>
  <Characters>72157</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84968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Reforms of Rules of Origin</dc:subject>
  <dc:creator>Crook, Wayne</dc:creator>
  <dc:description>.</dc:description>
  <cp:lastModifiedBy>Leahan, Rebecca</cp:lastModifiedBy>
  <cp:revision>5</cp:revision>
  <cp:lastPrinted>2017-04-27T06:12:00Z</cp:lastPrinted>
  <dcterms:created xsi:type="dcterms:W3CDTF">2017-04-28T03:06:00Z</dcterms:created>
  <dcterms:modified xsi:type="dcterms:W3CDTF">2017-04-28T05:21:00Z</dcterms:modified>
</cp:coreProperties>
</file>