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DFD" w:rsidRPr="007455A2" w:rsidRDefault="00232BF3" w:rsidP="00327DFD">
      <w:pPr>
        <w:pStyle w:val="Heading1nochapterno"/>
        <w:spacing w:after="720"/>
        <w:rPr>
          <w:color w:val="FFFFFF" w:themeColor="background1"/>
          <w:sz w:val="16"/>
          <w:szCs w:val="16"/>
        </w:rPr>
      </w:pPr>
      <w:bookmarkStart w:id="0" w:name="_GoBack"/>
      <w:bookmarkEnd w:id="0"/>
      <w:r w:rsidRPr="007455A2">
        <w:rPr>
          <w:color w:val="FFFFFF" w:themeColor="background1"/>
          <w:sz w:val="16"/>
          <w:szCs w:val="16"/>
        </w:rPr>
        <w:t xml:space="preserve">Productivity Commission response to </w:t>
      </w:r>
      <w:r w:rsidR="00353C85" w:rsidRPr="007455A2">
        <w:rPr>
          <w:color w:val="FFFFFF" w:themeColor="background1"/>
          <w:sz w:val="16"/>
          <w:szCs w:val="16"/>
        </w:rPr>
        <w:t xml:space="preserve">a </w:t>
      </w:r>
      <w:r w:rsidRPr="007455A2">
        <w:rPr>
          <w:color w:val="FFFFFF" w:themeColor="background1"/>
          <w:sz w:val="16"/>
          <w:szCs w:val="16"/>
        </w:rPr>
        <w:t>Question on Notice</w:t>
      </w:r>
    </w:p>
    <w:p w:rsidR="00232BF3" w:rsidRPr="007455A2" w:rsidRDefault="00232BF3" w:rsidP="00353C85">
      <w:pPr>
        <w:pStyle w:val="Heading3"/>
        <w:rPr>
          <w:color w:val="FFFFFF" w:themeColor="background1"/>
          <w:sz w:val="16"/>
          <w:szCs w:val="16"/>
        </w:rPr>
      </w:pPr>
      <w:r w:rsidRPr="007455A2">
        <w:rPr>
          <w:color w:val="FFFFFF" w:themeColor="background1"/>
          <w:sz w:val="16"/>
          <w:szCs w:val="16"/>
        </w:rPr>
        <w:t>Joint Standing Committee on Trade and Investment Growth</w:t>
      </w:r>
      <w:r w:rsidR="00327DFD" w:rsidRPr="007455A2">
        <w:rPr>
          <w:color w:val="FFFFFF" w:themeColor="background1"/>
          <w:sz w:val="16"/>
          <w:szCs w:val="16"/>
        </w:rPr>
        <w:t xml:space="preserve">: </w:t>
      </w:r>
      <w:r w:rsidRPr="007455A2">
        <w:rPr>
          <w:color w:val="FFFFFF" w:themeColor="background1"/>
          <w:sz w:val="16"/>
          <w:szCs w:val="16"/>
        </w:rPr>
        <w:t>Inquiry into supporting Australia</w:t>
      </w:r>
      <w:r w:rsidR="00896B1B" w:rsidRPr="007455A2">
        <w:rPr>
          <w:color w:val="FFFFFF" w:themeColor="background1"/>
          <w:sz w:val="16"/>
          <w:szCs w:val="16"/>
        </w:rPr>
        <w:t>’</w:t>
      </w:r>
      <w:r w:rsidRPr="007455A2">
        <w:rPr>
          <w:color w:val="FFFFFF" w:themeColor="background1"/>
          <w:sz w:val="16"/>
          <w:szCs w:val="16"/>
        </w:rPr>
        <w:t>s exports and attracting investment</w:t>
      </w:r>
    </w:p>
    <w:p w:rsidR="00232BF3" w:rsidRPr="007455A2" w:rsidRDefault="00246108" w:rsidP="00327DFD">
      <w:pPr>
        <w:pStyle w:val="BodyText"/>
        <w:rPr>
          <w:b/>
          <w:i/>
          <w:color w:val="FFFFFF" w:themeColor="background1"/>
          <w:sz w:val="16"/>
          <w:szCs w:val="16"/>
        </w:rPr>
      </w:pPr>
      <w:r w:rsidRPr="007455A2">
        <w:rPr>
          <w:i/>
          <w:color w:val="FFFFFF" w:themeColor="background1"/>
          <w:sz w:val="16"/>
          <w:szCs w:val="16"/>
        </w:rPr>
        <w:t>24</w:t>
      </w:r>
      <w:r w:rsidR="00896B1B" w:rsidRPr="007455A2">
        <w:rPr>
          <w:i/>
          <w:color w:val="FFFFFF" w:themeColor="background1"/>
          <w:sz w:val="16"/>
          <w:szCs w:val="16"/>
        </w:rPr>
        <w:t> </w:t>
      </w:r>
      <w:r w:rsidR="00232BF3" w:rsidRPr="007455A2">
        <w:rPr>
          <w:i/>
          <w:color w:val="FFFFFF" w:themeColor="background1"/>
          <w:sz w:val="16"/>
          <w:szCs w:val="16"/>
        </w:rPr>
        <w:t>September 2019</w:t>
      </w:r>
      <w:r w:rsidR="007455A2">
        <w:rPr>
          <w:b/>
          <w:i/>
          <w:noProof/>
          <w:color w:val="FFFFFF" w:themeColor="background1"/>
          <w:sz w:val="16"/>
          <w:szCs w:val="16"/>
        </w:rPr>
        <w:drawing>
          <wp:anchor distT="0" distB="0" distL="114300" distR="114300" simplePos="0" relativeHeight="251658240" behindDoc="0" locked="0" layoutInCell="1" allowOverlap="0">
            <wp:simplePos x="829310" y="1346200"/>
            <wp:positionH relativeFrom="page">
              <wp:align>center</wp:align>
            </wp:positionH>
            <wp:positionV relativeFrom="page">
              <wp:align>center</wp:align>
            </wp:positionV>
            <wp:extent cx="7560000" cy="10692000"/>
            <wp:effectExtent l="0" t="0" r="3175" b="0"/>
            <wp:wrapNone/>
            <wp:docPr id="2" name="Picture 2" descr="Cover for: Submission to the Inquiry into supporting Australia's exports and attracting investment, Productivity Commission Submission. The Commission's response to a Question on Notice from the Joint Standing Committee on Trade and Investment Grow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bmission-supporting-exports-cover.png"/>
                    <pic:cNvPicPr/>
                  </pic:nvPicPr>
                  <pic:blipFill>
                    <a:blip r:embed="rId8">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rsidR="00232BF3" w:rsidRDefault="00232BF3">
      <w:pPr>
        <w:rPr>
          <w:rFonts w:ascii="Arial" w:hAnsi="Arial"/>
          <w:b/>
          <w:sz w:val="32"/>
          <w:szCs w:val="20"/>
        </w:rPr>
      </w:pPr>
      <w:r>
        <w:br w:type="page"/>
      </w:r>
    </w:p>
    <w:p w:rsidR="00203BBB" w:rsidRDefault="00203BBB" w:rsidP="00120072">
      <w:pPr>
        <w:pStyle w:val="BodyText"/>
      </w:pPr>
      <w:bookmarkStart w:id="1" w:name="begin"/>
      <w:bookmarkEnd w:id="1"/>
      <w:r>
        <w:lastRenderedPageBreak/>
        <w:t xml:space="preserve">The Committee requested that the Commission provide material </w:t>
      </w:r>
      <w:r w:rsidR="004F7A8B">
        <w:t xml:space="preserve">over the past five years </w:t>
      </w:r>
      <w:r>
        <w:t>relevant to export performance and foreign investment, whether these are through direct or indirect avenues.</w:t>
      </w:r>
    </w:p>
    <w:p w:rsidR="00203BBB" w:rsidRDefault="00203BBB" w:rsidP="00203BBB">
      <w:pPr>
        <w:pStyle w:val="BodyText"/>
      </w:pPr>
      <w:r>
        <w:t>At the outset, it is worthwhile emphasising that the kinds of measures that are relevant now are quite different from those that apparent 20 o</w:t>
      </w:r>
      <w:r w:rsidR="00EF0887">
        <w:t>r</w:t>
      </w:r>
      <w:r>
        <w:t xml:space="preserve"> more years ago. </w:t>
      </w:r>
      <w:r w:rsidR="00CE5AD8">
        <w:t xml:space="preserve">At that time, there were several big triggers available for government. </w:t>
      </w:r>
      <w:r>
        <w:t xml:space="preserve">Large policy shifts </w:t>
      </w:r>
      <w:r w:rsidR="00CE5AD8">
        <w:t xml:space="preserve">— </w:t>
      </w:r>
      <w:r>
        <w:t xml:space="preserve">most notably the </w:t>
      </w:r>
      <w:r w:rsidR="00CE5AD8">
        <w:t>introduction</w:t>
      </w:r>
      <w:r>
        <w:t xml:space="preserve"> of a floating exchange</w:t>
      </w:r>
      <w:r w:rsidR="00174EBF">
        <w:t xml:space="preserve"> </w:t>
      </w:r>
      <w:r>
        <w:t xml:space="preserve">and the </w:t>
      </w:r>
      <w:r w:rsidR="00EF0887">
        <w:t>(</w:t>
      </w:r>
      <w:r>
        <w:t>often unilateral</w:t>
      </w:r>
      <w:r w:rsidR="00EF0887">
        <w:t>)</w:t>
      </w:r>
      <w:r>
        <w:t xml:space="preserve"> dismantling of tariff and quota pro</w:t>
      </w:r>
      <w:r w:rsidR="00CE5AD8">
        <w:t>t</w:t>
      </w:r>
      <w:r>
        <w:t xml:space="preserve">ection of manufacturing </w:t>
      </w:r>
      <w:r w:rsidR="00CE5AD8">
        <w:t xml:space="preserve">— eliminated many of the structural barriers to exporters. Now </w:t>
      </w:r>
      <w:r w:rsidR="00174EBF">
        <w:t>the</w:t>
      </w:r>
      <w:r w:rsidR="00CE5AD8">
        <w:t xml:space="preserve"> two well</w:t>
      </w:r>
      <w:r w:rsidR="00CE5AD8">
        <w:noBreakHyphen/>
        <w:t>justified policy avenues that give businesses greater options to expand their sales</w:t>
      </w:r>
      <w:r w:rsidR="00F70A7A">
        <w:t xml:space="preserve"> through exporting</w:t>
      </w:r>
      <w:r w:rsidR="00174EBF">
        <w:t xml:space="preserve"> take a different form</w:t>
      </w:r>
      <w:r w:rsidR="00F70A7A">
        <w:t>.</w:t>
      </w:r>
    </w:p>
    <w:p w:rsidR="00CE5AD8" w:rsidRDefault="00F70A7A" w:rsidP="00203BBB">
      <w:pPr>
        <w:pStyle w:val="BodyText"/>
      </w:pPr>
      <w:r>
        <w:t>A</w:t>
      </w:r>
      <w:r w:rsidR="00CE5AD8">
        <w:t xml:space="preserve"> </w:t>
      </w:r>
      <w:r>
        <w:t>central</w:t>
      </w:r>
      <w:r w:rsidR="00CE5AD8">
        <w:t xml:space="preserve"> one is that a successful export sector relies mostly on the quality of the ‘fundamentals’ that drive productivity and efficiency in an economy – allocative, technical and dynamic.</w:t>
      </w:r>
      <w:r w:rsidR="00CE5AD8" w:rsidRPr="00CE5AD8">
        <w:t xml:space="preserve"> </w:t>
      </w:r>
      <w:r w:rsidR="00CE5AD8">
        <w:t xml:space="preserve">These fundamentals encompass </w:t>
      </w:r>
      <w:r w:rsidR="00CE5AD8" w:rsidRPr="003F7847">
        <w:t xml:space="preserve">effective </w:t>
      </w:r>
      <w:r w:rsidR="00CE5AD8">
        <w:t>(</w:t>
      </w:r>
      <w:r w:rsidR="00CE5AD8" w:rsidRPr="00174EBF">
        <w:rPr>
          <w:i/>
        </w:rPr>
        <w:t>not</w:t>
      </w:r>
      <w:r w:rsidR="00CE5AD8">
        <w:t xml:space="preserve"> no) </w:t>
      </w:r>
      <w:r w:rsidR="00CE5AD8" w:rsidRPr="003F7847">
        <w:t xml:space="preserve">regulation, competition policy, </w:t>
      </w:r>
      <w:r w:rsidR="00CE5AD8">
        <w:t>a high</w:t>
      </w:r>
      <w:r w:rsidR="00CE5AD8">
        <w:noBreakHyphen/>
        <w:t xml:space="preserve">quality </w:t>
      </w:r>
      <w:r w:rsidR="00CE5AD8" w:rsidRPr="003F7847">
        <w:t>skills</w:t>
      </w:r>
      <w:r w:rsidR="00CE5AD8">
        <w:t xml:space="preserve"> system</w:t>
      </w:r>
      <w:r w:rsidR="00CE5AD8" w:rsidRPr="003F7847">
        <w:t>, infrastructure</w:t>
      </w:r>
      <w:r w:rsidR="00CE5AD8">
        <w:t xml:space="preserve"> investment in areas that have the highest economic and social returns</w:t>
      </w:r>
      <w:r w:rsidR="00CE5AD8" w:rsidRPr="003F7847">
        <w:t xml:space="preserve">, </w:t>
      </w:r>
      <w:r w:rsidR="00CE5AD8">
        <w:t xml:space="preserve">competitive and innovative </w:t>
      </w:r>
      <w:r w:rsidR="00CE5AD8" w:rsidRPr="003F7847">
        <w:t xml:space="preserve">financial </w:t>
      </w:r>
      <w:r w:rsidR="00CE5AD8">
        <w:t>services</w:t>
      </w:r>
      <w:r w:rsidR="00CE5AD8" w:rsidRPr="003F7847">
        <w:t xml:space="preserve">, </w:t>
      </w:r>
      <w:r w:rsidR="00CE5AD8">
        <w:t>a well</w:t>
      </w:r>
      <w:r w:rsidR="00CE5AD8">
        <w:noBreakHyphen/>
        <w:t xml:space="preserve">developed </w:t>
      </w:r>
      <w:r w:rsidR="00CE5AD8" w:rsidRPr="003F7847">
        <w:t>innovation</w:t>
      </w:r>
      <w:r w:rsidR="00CE5AD8">
        <w:t xml:space="preserve"> system and a stable macroeconomic environment. While often not seen that way, these fundamentals are</w:t>
      </w:r>
      <w:r w:rsidR="00CE5AD8" w:rsidRPr="003F7847">
        <w:t xml:space="preserve"> the </w:t>
      </w:r>
      <w:r w:rsidR="00CE5AD8">
        <w:t>major</w:t>
      </w:r>
      <w:r w:rsidR="00CE5AD8" w:rsidRPr="003F7847">
        <w:t xml:space="preserve"> elements for efficient export ‘facilitation’</w:t>
      </w:r>
      <w:r w:rsidR="00520BAB">
        <w:t xml:space="preserve">, while being generally </w:t>
      </w:r>
      <w:r w:rsidR="0028060E">
        <w:t xml:space="preserve">simultaneously </w:t>
      </w:r>
      <w:r w:rsidR="00520BAB">
        <w:t xml:space="preserve">good for </w:t>
      </w:r>
      <w:r w:rsidR="00174EBF">
        <w:t xml:space="preserve">productivity and </w:t>
      </w:r>
      <w:r w:rsidR="00520BAB">
        <w:t xml:space="preserve">prosperity. </w:t>
      </w:r>
    </w:p>
    <w:p w:rsidR="007573C1" w:rsidRDefault="00F70A7A" w:rsidP="00203BBB">
      <w:pPr>
        <w:pStyle w:val="BodyText"/>
      </w:pPr>
      <w:r>
        <w:t>Second, policies (</w:t>
      </w:r>
      <w:r w:rsidR="000129C1">
        <w:t>in all likelihood,</w:t>
      </w:r>
      <w:r>
        <w:t xml:space="preserve"> many hundreds of them) that remedy </w:t>
      </w:r>
      <w:r w:rsidR="00CE5AD8">
        <w:t xml:space="preserve">the </w:t>
      </w:r>
      <w:r w:rsidR="00520BAB">
        <w:t>impact of a myriad of generally small irritants to efficiency in businesses and labour markets</w:t>
      </w:r>
      <w:r w:rsidR="007573C1">
        <w:t xml:space="preserve"> — either manifest as badly designed or policed regulations</w:t>
      </w:r>
      <w:r w:rsidR="000129C1">
        <w:t>,</w:t>
      </w:r>
      <w:r w:rsidR="007573C1">
        <w:t xml:space="preserve"> </w:t>
      </w:r>
      <w:r w:rsidR="000129C1">
        <w:t xml:space="preserve">poor regulatory culture, </w:t>
      </w:r>
      <w:r w:rsidR="007573C1">
        <w:t>or inadequate government service delivery</w:t>
      </w:r>
      <w:r>
        <w:t xml:space="preserve"> — can help</w:t>
      </w:r>
      <w:r w:rsidR="007573C1">
        <w:t>. There</w:t>
      </w:r>
      <w:r w:rsidR="00B835E9">
        <w:t xml:space="preserve"> are few</w:t>
      </w:r>
      <w:r w:rsidR="007573C1">
        <w:t xml:space="preserve"> big enough that </w:t>
      </w:r>
      <w:r w:rsidR="00B835E9">
        <w:t>they</w:t>
      </w:r>
      <w:r w:rsidR="007573C1">
        <w:t xml:space="preserve"> would </w:t>
      </w:r>
      <w:r>
        <w:t>be</w:t>
      </w:r>
      <w:r w:rsidR="00B835E9">
        <w:t xml:space="preserve"> reliably apparent</w:t>
      </w:r>
      <w:r>
        <w:t xml:space="preserve"> in </w:t>
      </w:r>
      <w:r w:rsidR="00B835E9">
        <w:t xml:space="preserve">observed trends </w:t>
      </w:r>
      <w:r w:rsidR="007573C1">
        <w:t xml:space="preserve">national income or </w:t>
      </w:r>
      <w:r w:rsidR="00013267">
        <w:t>gross domestic product (</w:t>
      </w:r>
      <w:r w:rsidR="0028060E">
        <w:t>GDP</w:t>
      </w:r>
      <w:r w:rsidR="00013267">
        <w:t>)</w:t>
      </w:r>
      <w:r w:rsidR="0028060E">
        <w:t xml:space="preserve">, but the sum of abundant </w:t>
      </w:r>
      <w:r w:rsidR="007573C1">
        <w:t xml:space="preserve">changes can be large. </w:t>
      </w:r>
      <w:r w:rsidR="000129C1">
        <w:t>T</w:t>
      </w:r>
      <w:r w:rsidR="008C1300">
        <w:t>hese reforms are the province of all levels of government — local, State and Territory, and Commonwealth.</w:t>
      </w:r>
      <w:r w:rsidR="00607096" w:rsidRPr="00607096">
        <w:t xml:space="preserve"> </w:t>
      </w:r>
    </w:p>
    <w:p w:rsidR="00F70A7A" w:rsidRDefault="00F70A7A" w:rsidP="00203BBB">
      <w:pPr>
        <w:pStyle w:val="BodyText"/>
      </w:pPr>
      <w:r>
        <w:t>The Commission’s inquiries and studies in recent years relate to both of these avenues for export growth</w:t>
      </w:r>
      <w:r w:rsidR="008C1300">
        <w:t xml:space="preserve"> — and their </w:t>
      </w:r>
      <w:r w:rsidR="000129C1">
        <w:t>relevant</w:t>
      </w:r>
      <w:r w:rsidR="008C1300">
        <w:t xml:space="preserve"> findings and </w:t>
      </w:r>
      <w:r w:rsidR="000129C1">
        <w:t>recommendations</w:t>
      </w:r>
      <w:r w:rsidR="008C1300">
        <w:t xml:space="preserve"> are set out below.</w:t>
      </w:r>
      <w:r w:rsidR="00852017">
        <w:t xml:space="preserve"> However, the Commission has not undertaken a holistic assessment of policy obstacles to exports or of initiatives or institutions whose goals is to stimulate them (such as the </w:t>
      </w:r>
      <w:r w:rsidR="00896B1B">
        <w:t>Export Market Development Grants Program</w:t>
      </w:r>
      <w:r w:rsidR="00852017">
        <w:t xml:space="preserve"> or Austrade).</w:t>
      </w:r>
      <w:r w:rsidR="00852017">
        <w:rPr>
          <w:rStyle w:val="FootnoteReference"/>
        </w:rPr>
        <w:footnoteReference w:id="1"/>
      </w:r>
      <w:r w:rsidR="00852017">
        <w:t xml:space="preserve"> </w:t>
      </w:r>
    </w:p>
    <w:p w:rsidR="001C0AC9" w:rsidRDefault="008C1300" w:rsidP="00120072">
      <w:pPr>
        <w:pStyle w:val="BodyText"/>
      </w:pPr>
      <w:r>
        <w:t>In large part, we confine o</w:t>
      </w:r>
      <w:r w:rsidR="00460377">
        <w:t>u</w:t>
      </w:r>
      <w:r>
        <w:t xml:space="preserve">r comments to </w:t>
      </w:r>
      <w:r w:rsidR="00D555BD">
        <w:t xml:space="preserve">factors influencing </w:t>
      </w:r>
      <w:r>
        <w:t>exports. In general, creating an efficient and well</w:t>
      </w:r>
      <w:r w:rsidR="00552DA3">
        <w:noBreakHyphen/>
      </w:r>
      <w:r>
        <w:t xml:space="preserve">regulated economy also facilitates foreign </w:t>
      </w:r>
      <w:r w:rsidR="00A56A09">
        <w:t xml:space="preserve">direct </w:t>
      </w:r>
      <w:r>
        <w:t xml:space="preserve">investments </w:t>
      </w:r>
      <w:r w:rsidR="00A56A09">
        <w:t xml:space="preserve">(FDI) </w:t>
      </w:r>
      <w:r>
        <w:t xml:space="preserve">(and, more broadly, the capacity to access foreign capital). </w:t>
      </w:r>
      <w:r w:rsidR="00D555BD">
        <w:t>Nonetheless</w:t>
      </w:r>
      <w:r>
        <w:t xml:space="preserve">, we have not undertaken much </w:t>
      </w:r>
      <w:r w:rsidR="00D555BD">
        <w:t xml:space="preserve">detailed </w:t>
      </w:r>
      <w:r>
        <w:t>analysis of FDI issues in recent years</w:t>
      </w:r>
      <w:r w:rsidR="00D555BD">
        <w:t>, with the exception that</w:t>
      </w:r>
      <w:r>
        <w:t xml:space="preserve"> </w:t>
      </w:r>
      <w:r w:rsidR="000032AE">
        <w:t xml:space="preserve">the Commission </w:t>
      </w:r>
      <w:r w:rsidR="0042655B">
        <w:t xml:space="preserve">made two recommendations in relation to FDI in its </w:t>
      </w:r>
      <w:r w:rsidR="00D555BD">
        <w:t xml:space="preserve">2016 </w:t>
      </w:r>
      <w:r w:rsidR="0042655B">
        <w:t xml:space="preserve">inquiry into </w:t>
      </w:r>
      <w:r w:rsidR="0042655B" w:rsidRPr="00D555BD">
        <w:rPr>
          <w:i/>
        </w:rPr>
        <w:t>Regulation of Agriculture</w:t>
      </w:r>
      <w:r w:rsidR="0042655B">
        <w:t xml:space="preserve">, </w:t>
      </w:r>
      <w:r w:rsidR="00E063DC">
        <w:t>namely that:</w:t>
      </w:r>
    </w:p>
    <w:p w:rsidR="00E063DC" w:rsidRDefault="00E063DC" w:rsidP="00244FE6">
      <w:pPr>
        <w:pStyle w:val="ListBullet"/>
      </w:pPr>
      <w:r>
        <w:lastRenderedPageBreak/>
        <w:t>The Australian Government should increase the screening thresholds for examination of</w:t>
      </w:r>
      <w:r w:rsidR="00244FE6">
        <w:t xml:space="preserve"> </w:t>
      </w:r>
      <w:r>
        <w:t>foreign</w:t>
      </w:r>
      <w:r w:rsidR="00244FE6">
        <w:t xml:space="preserve"> </w:t>
      </w:r>
      <w:r>
        <w:t>investment in agricultural land and agribusinesses</w:t>
      </w:r>
      <w:r w:rsidR="00244FE6">
        <w:t xml:space="preserve"> </w:t>
      </w:r>
      <w:r>
        <w:t>by</w:t>
      </w:r>
      <w:r w:rsidR="00244FE6">
        <w:t xml:space="preserve"> </w:t>
      </w:r>
      <w:r>
        <w:t>the</w:t>
      </w:r>
      <w:r w:rsidR="00244FE6">
        <w:t xml:space="preserve"> </w:t>
      </w:r>
      <w:r>
        <w:t>Foreign Investment Review Board to their previous level of $252 million (indexed annually and not cumulative).</w:t>
      </w:r>
      <w:r w:rsidRPr="00D555BD">
        <w:rPr>
          <w:i/>
        </w:rPr>
        <w:t>[rec. 13.1]</w:t>
      </w:r>
    </w:p>
    <w:p w:rsidR="00E063DC" w:rsidRDefault="00E063DC" w:rsidP="00244FE6">
      <w:pPr>
        <w:pStyle w:val="ListBullet"/>
      </w:pPr>
      <w:r>
        <w:t>The</w:t>
      </w:r>
      <w:r w:rsidR="00244FE6">
        <w:t xml:space="preserve"> </w:t>
      </w:r>
      <w:r>
        <w:t>Australian</w:t>
      </w:r>
      <w:r w:rsidR="00244FE6">
        <w:t xml:space="preserve"> </w:t>
      </w:r>
      <w:r>
        <w:t>Government</w:t>
      </w:r>
      <w:r w:rsidR="00244FE6">
        <w:t xml:space="preserve"> </w:t>
      </w:r>
      <w:r>
        <w:t>should</w:t>
      </w:r>
      <w:r w:rsidR="00244FE6">
        <w:t xml:space="preserve"> </w:t>
      </w:r>
      <w:r>
        <w:t>request</w:t>
      </w:r>
      <w:r w:rsidR="00244FE6">
        <w:t xml:space="preserve"> </w:t>
      </w:r>
      <w:r>
        <w:t>that</w:t>
      </w:r>
      <w:r w:rsidR="00244FE6">
        <w:t xml:space="preserve"> </w:t>
      </w:r>
      <w:r>
        <w:t>the</w:t>
      </w:r>
      <w:r w:rsidR="00244FE6">
        <w:t xml:space="preserve"> </w:t>
      </w:r>
      <w:r>
        <w:t>Productivity</w:t>
      </w:r>
      <w:r w:rsidR="00244FE6">
        <w:t xml:space="preserve"> </w:t>
      </w:r>
      <w:r>
        <w:t>Commission,</w:t>
      </w:r>
      <w:r w:rsidR="00244FE6">
        <w:t xml:space="preserve"> </w:t>
      </w:r>
      <w:r>
        <w:t>in</w:t>
      </w:r>
      <w:r w:rsidR="00244FE6">
        <w:t xml:space="preserve"> </w:t>
      </w:r>
      <w:r>
        <w:t>its annual Trade and Assistance Review, analyse and report on the trends, drivers and effects of foreign investment.</w:t>
      </w:r>
      <w:r w:rsidRPr="00D555BD">
        <w:rPr>
          <w:i/>
        </w:rPr>
        <w:t xml:space="preserve"> [rec 13.2]</w:t>
      </w:r>
    </w:p>
    <w:p w:rsidR="00E063DC" w:rsidRDefault="00244FE6" w:rsidP="00E063DC">
      <w:pPr>
        <w:pStyle w:val="BodyText"/>
      </w:pPr>
      <w:r>
        <w:t>The Australian Government’s response in 2019 accepted recommendation</w:t>
      </w:r>
      <w:r w:rsidR="0028060E">
        <w:t> </w:t>
      </w:r>
      <w:r>
        <w:t xml:space="preserve">13.2 (but not 13.1). In light of this, the Commission </w:t>
      </w:r>
      <w:r w:rsidR="0028060E">
        <w:t>is</w:t>
      </w:r>
      <w:r>
        <w:t xml:space="preserve"> includ</w:t>
      </w:r>
      <w:r w:rsidR="0028060E">
        <w:t>ing</w:t>
      </w:r>
      <w:r>
        <w:t xml:space="preserve"> an analysis of FDI in our upcoming Trade and Assistance Review 2018</w:t>
      </w:r>
      <w:r>
        <w:noBreakHyphen/>
        <w:t>19, which will be published in the first half of 2020.</w:t>
      </w:r>
      <w:r w:rsidR="00E063DC">
        <w:t xml:space="preserve"> </w:t>
      </w:r>
    </w:p>
    <w:p w:rsidR="00612552" w:rsidRDefault="00612552" w:rsidP="00612552">
      <w:pPr>
        <w:pStyle w:val="Heading3"/>
      </w:pPr>
      <w:r>
        <w:t xml:space="preserve">Growing the </w:t>
      </w:r>
      <w:r w:rsidR="005D714C">
        <w:t>D</w:t>
      </w:r>
      <w:r>
        <w:t>igital Economy</w:t>
      </w:r>
      <w:r w:rsidR="00073DAC">
        <w:t xml:space="preserve"> 2019</w:t>
      </w:r>
    </w:p>
    <w:p w:rsidR="0039067A" w:rsidRDefault="00612552" w:rsidP="0039067A">
      <w:pPr>
        <w:pStyle w:val="BodyText"/>
      </w:pPr>
      <w:r>
        <w:t>O</w:t>
      </w:r>
      <w:r w:rsidR="001C0AC9">
        <w:t xml:space="preserve">ur most recent work of direct relevance to the issues confronting </w:t>
      </w:r>
      <w:r w:rsidR="00B835E9">
        <w:t>the Committee’s</w:t>
      </w:r>
      <w:r w:rsidR="001C0AC9">
        <w:t xml:space="preserve"> inquiry was </w:t>
      </w:r>
      <w:r w:rsidR="00FF3FB2">
        <w:t xml:space="preserve">a </w:t>
      </w:r>
      <w:r w:rsidR="001C0AC9">
        <w:t xml:space="preserve">study undertaken jointly with the </w:t>
      </w:r>
      <w:r w:rsidR="00896B1B">
        <w:t>New Zealand</w:t>
      </w:r>
      <w:r w:rsidR="001C0AC9">
        <w:t xml:space="preserve"> Productivity Commission at the request of both </w:t>
      </w:r>
      <w:r w:rsidR="00FF3FB2">
        <w:t>G</w:t>
      </w:r>
      <w:r w:rsidR="001C0AC9">
        <w:t>overnments.</w:t>
      </w:r>
      <w:r w:rsidR="00FF3FB2">
        <w:rPr>
          <w:rStyle w:val="FootnoteReference"/>
        </w:rPr>
        <w:footnoteReference w:id="2"/>
      </w:r>
      <w:r w:rsidR="001C0AC9">
        <w:t xml:space="preserve"> </w:t>
      </w:r>
      <w:r w:rsidR="0039067A">
        <w:t>Overall, the study proposed a wide suite of changes to law and to the deployment of technology by governments to assist businesses and consumers (table 1).</w:t>
      </w:r>
    </w:p>
    <w:p w:rsidR="00D206A3" w:rsidRDefault="00612552" w:rsidP="00554995">
      <w:pPr>
        <w:pStyle w:val="BodyText"/>
      </w:pPr>
      <w:r>
        <w:t>The focus of that study was on growing the digital econo</w:t>
      </w:r>
      <w:r w:rsidR="003E14A5">
        <w:t xml:space="preserve">my in Australia and New Zealand, particularly through creating </w:t>
      </w:r>
      <w:r w:rsidR="00A02D96">
        <w:t xml:space="preserve">greater </w:t>
      </w:r>
      <w:r>
        <w:t xml:space="preserve">opportunities for SMEs. While that focus may seem relatively narrow, it has </w:t>
      </w:r>
      <w:r w:rsidR="00A02D96">
        <w:t xml:space="preserve">much broader </w:t>
      </w:r>
      <w:r>
        <w:t>relevance to pol</w:t>
      </w:r>
      <w:r w:rsidR="00A02D96">
        <w:t>icy about</w:t>
      </w:r>
      <w:r>
        <w:t xml:space="preserve"> digital trade with other countries</w:t>
      </w:r>
      <w:r w:rsidR="00A02D96">
        <w:t xml:space="preserve">, and to the efficiency of, and innovation in, government services that affect exports to all </w:t>
      </w:r>
      <w:r w:rsidR="003E14A5">
        <w:t>destinations</w:t>
      </w:r>
      <w:r>
        <w:t>.</w:t>
      </w:r>
      <w:r w:rsidR="00396F67">
        <w:t xml:space="preserve"> </w:t>
      </w:r>
    </w:p>
    <w:p w:rsidR="00094F26" w:rsidRDefault="00396F67" w:rsidP="00554995">
      <w:pPr>
        <w:pStyle w:val="BodyText"/>
      </w:pPr>
      <w:r>
        <w:t xml:space="preserve">The study found a variety of obstacles to the use of digital technologies. One of the biggest concerns was that </w:t>
      </w:r>
      <w:r w:rsidRPr="00396F67">
        <w:t xml:space="preserve">excessive risk aversion by regulators, </w:t>
      </w:r>
      <w:r>
        <w:t>r</w:t>
      </w:r>
      <w:r w:rsidRPr="00396F67">
        <w:t>egulatory capture, privacy rules that are unclear or unbalanced, and inappropriate standards can prevent the entry of new, innovative goods and services or make their diffusion unnecessarily slow and costly.</w:t>
      </w:r>
      <w:r w:rsidR="00491A4B">
        <w:t xml:space="preserve"> This is particularly </w:t>
      </w:r>
      <w:r w:rsidR="00001156">
        <w:t>problematic</w:t>
      </w:r>
      <w:r w:rsidR="00491A4B">
        <w:t xml:space="preserve"> as digital </w:t>
      </w:r>
      <w:r w:rsidR="00094F26">
        <w:t>technology is a growth market globally and domestically.</w:t>
      </w:r>
    </w:p>
    <w:p w:rsidR="0039067A" w:rsidRDefault="00094F26" w:rsidP="00554995">
      <w:pPr>
        <w:pStyle w:val="BodyText"/>
      </w:pPr>
      <w:r>
        <w:t xml:space="preserve">Not all regulators suffer from this inertia. </w:t>
      </w:r>
      <w:r w:rsidR="00124D2C">
        <w:t xml:space="preserve">As noted in the Commission’s testimony to the Committee, </w:t>
      </w:r>
      <w:r w:rsidR="00101537">
        <w:t xml:space="preserve">the </w:t>
      </w:r>
      <w:r w:rsidR="00896B1B">
        <w:t>Australian Security and Investment Commission</w:t>
      </w:r>
      <w:r w:rsidR="00124D2C">
        <w:t xml:space="preserve">’s </w:t>
      </w:r>
      <w:r w:rsidR="00101537">
        <w:t xml:space="preserve">(ASIC) </w:t>
      </w:r>
      <w:r w:rsidR="00124D2C">
        <w:t xml:space="preserve">regulatory sandbox provides an </w:t>
      </w:r>
      <w:r w:rsidR="00554995">
        <w:t>experimental</w:t>
      </w:r>
      <w:r w:rsidR="00124D2C">
        <w:t xml:space="preserve"> basis for testing new products without risk of significant consumer harm. </w:t>
      </w:r>
    </w:p>
    <w:p w:rsidR="0039067A" w:rsidRPr="00254D36" w:rsidRDefault="0039067A" w:rsidP="0039067A">
      <w:pPr>
        <w:pStyle w:val="BoxSpaceAbove"/>
        <w:rPr>
          <w:caps/>
        </w:rPr>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39067A" w:rsidTr="003B77B6">
        <w:trPr>
          <w:tblHeader/>
        </w:trPr>
        <w:tc>
          <w:tcPr>
            <w:tcW w:w="5000" w:type="pct"/>
            <w:tcBorders>
              <w:top w:val="single" w:sz="4" w:space="0" w:color="808080" w:themeColor="background1" w:themeShade="80"/>
              <w:left w:val="nil"/>
              <w:bottom w:val="nil"/>
              <w:right w:val="nil"/>
            </w:tcBorders>
            <w:shd w:val="clear" w:color="auto" w:fill="auto"/>
          </w:tcPr>
          <w:p w:rsidR="0039067A" w:rsidRPr="00784A05" w:rsidRDefault="0039067A" w:rsidP="00E71990">
            <w:pPr>
              <w:pStyle w:val="TableTitle"/>
            </w:pPr>
            <w:r>
              <w:rPr>
                <w:b w:val="0"/>
              </w:rPr>
              <w:t>Table</w:t>
            </w:r>
            <w:r w:rsidR="00E71990">
              <w:rPr>
                <w:b w:val="0"/>
              </w:rPr>
              <w:t> 1</w:t>
            </w:r>
            <w:r>
              <w:tab/>
              <w:t>Policies for increasing digital trade</w:t>
            </w:r>
          </w:p>
        </w:tc>
      </w:tr>
      <w:tr w:rsidR="0039067A" w:rsidTr="003B77B6">
        <w:tc>
          <w:tcPr>
            <w:tcW w:w="5000" w:type="pct"/>
            <w:tcBorders>
              <w:top w:val="nil"/>
              <w:left w:val="nil"/>
              <w:bottom w:val="nil"/>
              <w:right w:val="nil"/>
            </w:tcBorders>
            <w:shd w:val="clear" w:color="auto" w:fill="auto"/>
          </w:tcPr>
          <w:tbl>
            <w:tblPr>
              <w:tblW w:w="8647" w:type="dxa"/>
              <w:tblCellMar>
                <w:top w:w="28" w:type="dxa"/>
                <w:left w:w="0" w:type="dxa"/>
                <w:right w:w="0" w:type="dxa"/>
              </w:tblCellMar>
              <w:tblLook w:val="0000" w:firstRow="0" w:lastRow="0" w:firstColumn="0" w:lastColumn="0" w:noHBand="0" w:noVBand="0"/>
            </w:tblPr>
            <w:tblGrid>
              <w:gridCol w:w="2835"/>
              <w:gridCol w:w="3545"/>
              <w:gridCol w:w="2267"/>
            </w:tblGrid>
            <w:tr w:rsidR="0039067A" w:rsidTr="003B77B6">
              <w:trPr>
                <w:trHeight w:val="367"/>
                <w:tblHeader/>
              </w:trPr>
              <w:tc>
                <w:tcPr>
                  <w:tcW w:w="1639" w:type="pct"/>
                  <w:tcBorders>
                    <w:top w:val="single" w:sz="4" w:space="0" w:color="auto"/>
                    <w:bottom w:val="single" w:sz="4" w:space="0" w:color="auto"/>
                  </w:tcBorders>
                  <w:shd w:val="clear" w:color="auto" w:fill="auto"/>
                  <w:tcMar>
                    <w:top w:w="28" w:type="dxa"/>
                  </w:tcMar>
                </w:tcPr>
                <w:p w:rsidR="0039067A" w:rsidRDefault="0039067A" w:rsidP="003B77B6">
                  <w:pPr>
                    <w:pStyle w:val="TableColumnHeading"/>
                    <w:ind w:left="0"/>
                    <w:jc w:val="left"/>
                  </w:pPr>
                  <w:r>
                    <w:t>Issue</w:t>
                  </w:r>
                </w:p>
              </w:tc>
              <w:tc>
                <w:tcPr>
                  <w:tcW w:w="2050" w:type="pct"/>
                  <w:tcBorders>
                    <w:top w:val="single" w:sz="4" w:space="0" w:color="auto"/>
                    <w:bottom w:val="single" w:sz="4" w:space="0" w:color="auto"/>
                  </w:tcBorders>
                  <w:shd w:val="clear" w:color="auto" w:fill="auto"/>
                  <w:tcMar>
                    <w:top w:w="28" w:type="dxa"/>
                  </w:tcMar>
                </w:tcPr>
                <w:p w:rsidR="0039067A" w:rsidRDefault="0039067A" w:rsidP="003B77B6">
                  <w:pPr>
                    <w:pStyle w:val="TableColumnHeading"/>
                    <w:ind w:left="33"/>
                    <w:jc w:val="left"/>
                  </w:pPr>
                  <w:r>
                    <w:t>Action required</w:t>
                  </w:r>
                </w:p>
              </w:tc>
              <w:tc>
                <w:tcPr>
                  <w:tcW w:w="1311" w:type="pct"/>
                  <w:tcBorders>
                    <w:top w:val="single" w:sz="4" w:space="0" w:color="auto"/>
                    <w:bottom w:val="single" w:sz="4" w:space="0" w:color="auto"/>
                  </w:tcBorders>
                  <w:shd w:val="clear" w:color="auto" w:fill="auto"/>
                  <w:tcMar>
                    <w:top w:w="28" w:type="dxa"/>
                  </w:tcMar>
                </w:tcPr>
                <w:p w:rsidR="0039067A" w:rsidRDefault="0039067A" w:rsidP="003B77B6">
                  <w:pPr>
                    <w:pStyle w:val="TableColumnHeading"/>
                    <w:ind w:left="57" w:right="28"/>
                    <w:jc w:val="left"/>
                  </w:pPr>
                  <w:r>
                    <w:t>Expected benefits</w:t>
                  </w:r>
                </w:p>
              </w:tc>
            </w:tr>
            <w:tr w:rsidR="0039067A" w:rsidTr="003B77B6">
              <w:trPr>
                <w:trHeight w:val="367"/>
              </w:trPr>
              <w:tc>
                <w:tcPr>
                  <w:tcW w:w="1639" w:type="pct"/>
                  <w:tcBorders>
                    <w:top w:val="single" w:sz="4" w:space="0" w:color="auto"/>
                  </w:tcBorders>
                </w:tcPr>
                <w:p w:rsidR="0039067A" w:rsidRPr="00C43EDA" w:rsidRDefault="0039067A" w:rsidP="003B77B6">
                  <w:pPr>
                    <w:pStyle w:val="TableBodyText"/>
                    <w:jc w:val="left"/>
                    <w:rPr>
                      <w:b/>
                    </w:rPr>
                  </w:pPr>
                  <w:r w:rsidRPr="00C43EDA">
                    <w:rPr>
                      <w:b/>
                    </w:rPr>
                    <w:t>Data sharing</w:t>
                  </w:r>
                </w:p>
              </w:tc>
              <w:tc>
                <w:tcPr>
                  <w:tcW w:w="2050" w:type="pct"/>
                  <w:tcBorders>
                    <w:top w:val="single" w:sz="4" w:space="0" w:color="auto"/>
                  </w:tcBorders>
                </w:tcPr>
                <w:p w:rsidR="0039067A" w:rsidRPr="009C12FE" w:rsidRDefault="0039067A" w:rsidP="003B77B6">
                  <w:pPr>
                    <w:pStyle w:val="TableBodyText"/>
                    <w:jc w:val="left"/>
                  </w:pPr>
                </w:p>
              </w:tc>
              <w:tc>
                <w:tcPr>
                  <w:tcW w:w="1311" w:type="pct"/>
                  <w:tcBorders>
                    <w:top w:val="single" w:sz="4" w:space="0" w:color="auto"/>
                  </w:tcBorders>
                </w:tcPr>
                <w:p w:rsidR="0039067A" w:rsidRPr="009C12FE" w:rsidRDefault="0039067A" w:rsidP="003B77B6">
                  <w:pPr>
                    <w:pStyle w:val="TableBodyText"/>
                    <w:jc w:val="left"/>
                  </w:pPr>
                </w:p>
              </w:tc>
            </w:tr>
            <w:tr w:rsidR="0039067A" w:rsidTr="003B77B6">
              <w:trPr>
                <w:trHeight w:val="367"/>
              </w:trPr>
              <w:tc>
                <w:tcPr>
                  <w:tcW w:w="1639" w:type="pct"/>
                  <w:tcBorders>
                    <w:top w:val="single" w:sz="6" w:space="0" w:color="BFBFBF"/>
                  </w:tcBorders>
                </w:tcPr>
                <w:p w:rsidR="0039067A" w:rsidRPr="009C12FE" w:rsidRDefault="0039067A" w:rsidP="003B77B6">
                  <w:pPr>
                    <w:pStyle w:val="TableBodyText"/>
                    <w:jc w:val="left"/>
                  </w:pPr>
                  <w:r w:rsidRPr="009C12FE">
                    <w:t>Trans</w:t>
                  </w:r>
                  <w:r w:rsidR="00552DA3">
                    <w:noBreakHyphen/>
                  </w:r>
                  <w:r w:rsidRPr="009C12FE">
                    <w:t>Tasman sharing of credit information</w:t>
                  </w:r>
                </w:p>
              </w:tc>
              <w:tc>
                <w:tcPr>
                  <w:tcW w:w="2050" w:type="pct"/>
                  <w:tcBorders>
                    <w:top w:val="single" w:sz="6" w:space="0" w:color="BFBFBF"/>
                  </w:tcBorders>
                </w:tcPr>
                <w:p w:rsidR="0039067A" w:rsidRPr="009C12FE" w:rsidRDefault="0039067A" w:rsidP="003B77B6">
                  <w:pPr>
                    <w:pStyle w:val="TableBodyText"/>
                    <w:jc w:val="left"/>
                  </w:pPr>
                  <w:r w:rsidRPr="009C12FE">
                    <w:t>Minor changes and clarification to privacy legislation</w:t>
                  </w:r>
                </w:p>
              </w:tc>
              <w:tc>
                <w:tcPr>
                  <w:tcW w:w="1311" w:type="pct"/>
                  <w:tcBorders>
                    <w:top w:val="single" w:sz="6" w:space="0" w:color="BFBFBF"/>
                  </w:tcBorders>
                </w:tcPr>
                <w:p w:rsidR="0039067A" w:rsidRPr="009C12FE" w:rsidRDefault="0039067A" w:rsidP="003B77B6">
                  <w:pPr>
                    <w:pStyle w:val="TableBodyText"/>
                    <w:jc w:val="left"/>
                  </w:pPr>
                  <w:r w:rsidRPr="009C12FE">
                    <w:t>Improved access to finance for individuals and SMEs operating trans</w:t>
                  </w:r>
                  <w:r w:rsidR="00552DA3">
                    <w:noBreakHyphen/>
                  </w:r>
                  <w:r w:rsidRPr="009C12FE">
                    <w:t>Tasman</w:t>
                  </w:r>
                  <w:r w:rsidR="005950FD">
                    <w:t xml:space="preserve"> </w:t>
                  </w:r>
                </w:p>
              </w:tc>
            </w:tr>
            <w:tr w:rsidR="0039067A" w:rsidTr="003B77B6">
              <w:trPr>
                <w:trHeight w:val="367"/>
              </w:trPr>
              <w:tc>
                <w:tcPr>
                  <w:tcW w:w="1639" w:type="pct"/>
                  <w:tcBorders>
                    <w:top w:val="single" w:sz="6" w:space="0" w:color="BFBFBF"/>
                  </w:tcBorders>
                  <w:shd w:val="clear" w:color="auto" w:fill="D9D9D9" w:themeFill="background1" w:themeFillShade="D9"/>
                </w:tcPr>
                <w:p w:rsidR="0039067A" w:rsidRPr="009C12FE" w:rsidRDefault="0039067A" w:rsidP="003B77B6">
                  <w:pPr>
                    <w:pStyle w:val="TableBodyText"/>
                    <w:jc w:val="left"/>
                  </w:pPr>
                  <w:r w:rsidRPr="009C12FE">
                    <w:t>New Zealand researchers to be considered trusted users in Australia’s new data sharing and release framework</w:t>
                  </w:r>
                </w:p>
              </w:tc>
              <w:tc>
                <w:tcPr>
                  <w:tcW w:w="2050" w:type="pct"/>
                  <w:tcBorders>
                    <w:top w:val="single" w:sz="6" w:space="0" w:color="BFBFBF"/>
                  </w:tcBorders>
                  <w:shd w:val="clear" w:color="auto" w:fill="D9D9D9" w:themeFill="background1" w:themeFillShade="D9"/>
                </w:tcPr>
                <w:p w:rsidR="0039067A" w:rsidRPr="009C12FE" w:rsidRDefault="0039067A" w:rsidP="003B77B6">
                  <w:pPr>
                    <w:pStyle w:val="TableBodyText"/>
                    <w:jc w:val="left"/>
                  </w:pPr>
                  <w:r w:rsidRPr="009C12FE">
                    <w:t>The upcoming Australian Data Sharing and Release Act would include specific mechanisms to enable New Zealand researchers to become trusted users</w:t>
                  </w:r>
                </w:p>
              </w:tc>
              <w:tc>
                <w:tcPr>
                  <w:tcW w:w="1311" w:type="pct"/>
                  <w:tcBorders>
                    <w:top w:val="single" w:sz="6" w:space="0" w:color="BFBFBF"/>
                  </w:tcBorders>
                  <w:shd w:val="clear" w:color="auto" w:fill="D9D9D9" w:themeFill="background1" w:themeFillShade="D9"/>
                </w:tcPr>
                <w:p w:rsidR="0039067A" w:rsidRPr="009C12FE" w:rsidRDefault="0039067A" w:rsidP="003B77B6">
                  <w:pPr>
                    <w:pStyle w:val="TableBodyText"/>
                    <w:jc w:val="left"/>
                  </w:pPr>
                  <w:r w:rsidRPr="009C12FE">
                    <w:t>More trans</w:t>
                  </w:r>
                  <w:r w:rsidR="00552DA3">
                    <w:noBreakHyphen/>
                  </w:r>
                  <w:r w:rsidRPr="009C12FE">
                    <w:t>Tasman sharing of data and collaboration in research</w:t>
                  </w:r>
                </w:p>
              </w:tc>
            </w:tr>
            <w:tr w:rsidR="0039067A" w:rsidTr="003B77B6">
              <w:trPr>
                <w:trHeight w:val="367"/>
              </w:trPr>
              <w:tc>
                <w:tcPr>
                  <w:tcW w:w="1639" w:type="pct"/>
                  <w:tcBorders>
                    <w:top w:val="single" w:sz="6" w:space="0" w:color="BFBFBF"/>
                  </w:tcBorders>
                </w:tcPr>
                <w:p w:rsidR="0039067A" w:rsidRPr="00C43EDA" w:rsidRDefault="0039067A" w:rsidP="003B77B6">
                  <w:pPr>
                    <w:pStyle w:val="TableBodyText"/>
                    <w:jc w:val="left"/>
                    <w:rPr>
                      <w:b/>
                    </w:rPr>
                  </w:pPr>
                  <w:r w:rsidRPr="00C43EDA">
                    <w:rPr>
                      <w:b/>
                    </w:rPr>
                    <w:t>Digital financial services</w:t>
                  </w:r>
                </w:p>
              </w:tc>
              <w:tc>
                <w:tcPr>
                  <w:tcW w:w="2050" w:type="pct"/>
                  <w:tcBorders>
                    <w:top w:val="single" w:sz="6" w:space="0" w:color="BFBFBF"/>
                  </w:tcBorders>
                </w:tcPr>
                <w:p w:rsidR="0039067A" w:rsidRPr="009C12FE" w:rsidRDefault="0039067A" w:rsidP="003B77B6">
                  <w:pPr>
                    <w:pStyle w:val="TableBodyText"/>
                    <w:jc w:val="left"/>
                  </w:pPr>
                </w:p>
              </w:tc>
              <w:tc>
                <w:tcPr>
                  <w:tcW w:w="1311" w:type="pct"/>
                  <w:tcBorders>
                    <w:top w:val="single" w:sz="6" w:space="0" w:color="BFBFBF"/>
                  </w:tcBorders>
                </w:tcPr>
                <w:p w:rsidR="0039067A" w:rsidRPr="009C12FE" w:rsidRDefault="0039067A" w:rsidP="003B77B6">
                  <w:pPr>
                    <w:pStyle w:val="TableBodyText"/>
                    <w:jc w:val="left"/>
                  </w:pPr>
                </w:p>
              </w:tc>
            </w:tr>
            <w:tr w:rsidR="0039067A" w:rsidTr="003B77B6">
              <w:trPr>
                <w:trHeight w:val="367"/>
              </w:trPr>
              <w:tc>
                <w:tcPr>
                  <w:tcW w:w="1639" w:type="pct"/>
                  <w:tcBorders>
                    <w:top w:val="single" w:sz="6" w:space="0" w:color="BFBFBF"/>
                  </w:tcBorders>
                </w:tcPr>
                <w:p w:rsidR="0039067A" w:rsidRPr="009C12FE" w:rsidRDefault="0039067A" w:rsidP="003B77B6">
                  <w:pPr>
                    <w:pStyle w:val="TableBodyText"/>
                    <w:jc w:val="left"/>
                  </w:pPr>
                  <w:r w:rsidRPr="009C12FE">
                    <w:t>Joint open banking standards</w:t>
                  </w:r>
                </w:p>
              </w:tc>
              <w:tc>
                <w:tcPr>
                  <w:tcW w:w="2050" w:type="pct"/>
                  <w:tcBorders>
                    <w:top w:val="single" w:sz="6" w:space="0" w:color="BFBFBF"/>
                  </w:tcBorders>
                </w:tcPr>
                <w:p w:rsidR="0039067A" w:rsidRPr="009C12FE" w:rsidRDefault="0039067A" w:rsidP="003B77B6">
                  <w:pPr>
                    <w:pStyle w:val="TableBodyText"/>
                    <w:jc w:val="left"/>
                  </w:pPr>
                  <w:r w:rsidRPr="009C12FE">
                    <w:t>Including New Zealand representatives in the open banking working groups in Australia</w:t>
                  </w:r>
                </w:p>
              </w:tc>
              <w:tc>
                <w:tcPr>
                  <w:tcW w:w="1311" w:type="pct"/>
                  <w:tcBorders>
                    <w:top w:val="single" w:sz="6" w:space="0" w:color="BFBFBF"/>
                  </w:tcBorders>
                </w:tcPr>
                <w:p w:rsidR="0039067A" w:rsidRPr="009C12FE" w:rsidRDefault="0039067A" w:rsidP="003B77B6">
                  <w:pPr>
                    <w:pStyle w:val="TableBodyText"/>
                    <w:jc w:val="left"/>
                  </w:pPr>
                  <w:r w:rsidRPr="009C12FE">
                    <w:t>Improved trans</w:t>
                  </w:r>
                  <w:r w:rsidR="00552DA3">
                    <w:noBreakHyphen/>
                  </w:r>
                  <w:r w:rsidRPr="009C12FE">
                    <w:t>Tasman banking services; growth in the fintech sector</w:t>
                  </w:r>
                </w:p>
              </w:tc>
            </w:tr>
            <w:tr w:rsidR="0039067A" w:rsidTr="003B77B6">
              <w:trPr>
                <w:trHeight w:val="367"/>
              </w:trPr>
              <w:tc>
                <w:tcPr>
                  <w:tcW w:w="1639" w:type="pct"/>
                  <w:tcBorders>
                    <w:top w:val="single" w:sz="6" w:space="0" w:color="BFBFBF"/>
                  </w:tcBorders>
                  <w:shd w:val="clear" w:color="auto" w:fill="D9D9D9" w:themeFill="background1" w:themeFillShade="D9"/>
                </w:tcPr>
                <w:p w:rsidR="0039067A" w:rsidRPr="009C12FE" w:rsidRDefault="0039067A" w:rsidP="003B77B6">
                  <w:pPr>
                    <w:pStyle w:val="TableBodyText"/>
                    <w:jc w:val="left"/>
                  </w:pPr>
                  <w:r w:rsidRPr="009C12FE">
                    <w:t>Currency conversion</w:t>
                  </w:r>
                </w:p>
              </w:tc>
              <w:tc>
                <w:tcPr>
                  <w:tcW w:w="2050" w:type="pct"/>
                  <w:tcBorders>
                    <w:top w:val="single" w:sz="6" w:space="0" w:color="BFBFBF"/>
                  </w:tcBorders>
                  <w:shd w:val="clear" w:color="auto" w:fill="D9D9D9" w:themeFill="background1" w:themeFillShade="D9"/>
                </w:tcPr>
                <w:p w:rsidR="0039067A" w:rsidRPr="009C12FE" w:rsidRDefault="0039067A" w:rsidP="003B77B6">
                  <w:pPr>
                    <w:pStyle w:val="TableBodyText"/>
                    <w:jc w:val="left"/>
                  </w:pPr>
                  <w:r w:rsidRPr="009C12FE">
                    <w:t>New Zealand Government action to mirror the Australian Competition and Consumer Commission inquiry into foreign currency conversion costs</w:t>
                  </w:r>
                </w:p>
              </w:tc>
              <w:tc>
                <w:tcPr>
                  <w:tcW w:w="1311" w:type="pct"/>
                  <w:tcBorders>
                    <w:top w:val="single" w:sz="6" w:space="0" w:color="BFBFBF"/>
                  </w:tcBorders>
                  <w:shd w:val="clear" w:color="auto" w:fill="D9D9D9" w:themeFill="background1" w:themeFillShade="D9"/>
                </w:tcPr>
                <w:p w:rsidR="0039067A" w:rsidRPr="009C12FE" w:rsidRDefault="0039067A" w:rsidP="003B77B6">
                  <w:pPr>
                    <w:pStyle w:val="TableBodyText"/>
                    <w:jc w:val="left"/>
                  </w:pPr>
                  <w:r w:rsidRPr="009C12FE">
                    <w:t>Lower costs of trans</w:t>
                  </w:r>
                  <w:r w:rsidR="00552DA3">
                    <w:noBreakHyphen/>
                  </w:r>
                  <w:r w:rsidRPr="009C12FE">
                    <w:t>Tasman payments and funds transfers</w:t>
                  </w:r>
                </w:p>
              </w:tc>
            </w:tr>
            <w:tr w:rsidR="0039067A" w:rsidTr="003B77B6">
              <w:trPr>
                <w:trHeight w:val="367"/>
              </w:trPr>
              <w:tc>
                <w:tcPr>
                  <w:tcW w:w="1639" w:type="pct"/>
                  <w:tcBorders>
                    <w:top w:val="single" w:sz="6" w:space="0" w:color="BFBFBF"/>
                  </w:tcBorders>
                </w:tcPr>
                <w:p w:rsidR="0039067A" w:rsidRPr="00C43EDA" w:rsidRDefault="0039067A" w:rsidP="003B77B6">
                  <w:pPr>
                    <w:pStyle w:val="TableBodyText"/>
                    <w:jc w:val="left"/>
                    <w:rPr>
                      <w:b/>
                    </w:rPr>
                  </w:pPr>
                  <w:r w:rsidRPr="00C43EDA">
                    <w:rPr>
                      <w:b/>
                    </w:rPr>
                    <w:t>Digital trade</w:t>
                  </w:r>
                </w:p>
              </w:tc>
              <w:tc>
                <w:tcPr>
                  <w:tcW w:w="2050" w:type="pct"/>
                  <w:tcBorders>
                    <w:top w:val="single" w:sz="6" w:space="0" w:color="BFBFBF"/>
                  </w:tcBorders>
                </w:tcPr>
                <w:p w:rsidR="0039067A" w:rsidRPr="009C12FE" w:rsidRDefault="0039067A" w:rsidP="003B77B6">
                  <w:pPr>
                    <w:pStyle w:val="TableBodyText"/>
                    <w:jc w:val="left"/>
                  </w:pPr>
                </w:p>
              </w:tc>
              <w:tc>
                <w:tcPr>
                  <w:tcW w:w="1311" w:type="pct"/>
                  <w:tcBorders>
                    <w:top w:val="single" w:sz="6" w:space="0" w:color="BFBFBF"/>
                  </w:tcBorders>
                </w:tcPr>
                <w:p w:rsidR="0039067A" w:rsidRPr="009C12FE" w:rsidRDefault="0039067A" w:rsidP="003B77B6">
                  <w:pPr>
                    <w:pStyle w:val="TableBodyText"/>
                    <w:jc w:val="left"/>
                  </w:pPr>
                </w:p>
              </w:tc>
            </w:tr>
            <w:tr w:rsidR="0039067A" w:rsidTr="003B77B6">
              <w:trPr>
                <w:trHeight w:val="367"/>
              </w:trPr>
              <w:tc>
                <w:tcPr>
                  <w:tcW w:w="1639" w:type="pct"/>
                  <w:tcBorders>
                    <w:top w:val="single" w:sz="6" w:space="0" w:color="BFBFBF"/>
                  </w:tcBorders>
                </w:tcPr>
                <w:p w:rsidR="0039067A" w:rsidRPr="009C12FE" w:rsidRDefault="0039067A" w:rsidP="003B77B6">
                  <w:pPr>
                    <w:pStyle w:val="TableBodyText"/>
                    <w:jc w:val="left"/>
                  </w:pPr>
                  <w:r w:rsidRPr="009C12FE">
                    <w:t>Digitalising trade compliance processes</w:t>
                  </w:r>
                </w:p>
              </w:tc>
              <w:tc>
                <w:tcPr>
                  <w:tcW w:w="2050" w:type="pct"/>
                  <w:tcBorders>
                    <w:top w:val="single" w:sz="6" w:space="0" w:color="BFBFBF"/>
                  </w:tcBorders>
                </w:tcPr>
                <w:p w:rsidR="0039067A" w:rsidRPr="009C12FE" w:rsidRDefault="0039067A" w:rsidP="003B77B6">
                  <w:pPr>
                    <w:pStyle w:val="TableBodyText"/>
                    <w:jc w:val="left"/>
                  </w:pPr>
                  <w:r w:rsidRPr="009C12FE">
                    <w:t>Completing trials for mutual recognition of supply chain security and a secure trade lane, and moving to full implementation Aligning standards for the data collected from importers and exporters, such that data is collected once and shared across borders</w:t>
                  </w:r>
                </w:p>
              </w:tc>
              <w:tc>
                <w:tcPr>
                  <w:tcW w:w="1311" w:type="pct"/>
                  <w:tcBorders>
                    <w:top w:val="single" w:sz="6" w:space="0" w:color="BFBFBF"/>
                  </w:tcBorders>
                </w:tcPr>
                <w:p w:rsidR="0039067A" w:rsidRPr="009C12FE" w:rsidRDefault="0039067A" w:rsidP="003B77B6">
                  <w:pPr>
                    <w:pStyle w:val="TableBodyText"/>
                    <w:jc w:val="left"/>
                  </w:pPr>
                  <w:r w:rsidRPr="009C12FE">
                    <w:t>More efficient trans</w:t>
                  </w:r>
                  <w:r w:rsidR="00552DA3">
                    <w:noBreakHyphen/>
                  </w:r>
                  <w:r w:rsidRPr="009C12FE">
                    <w:t>Tasman trade; less paperwork; lower compliance costs for SMEs</w:t>
                  </w:r>
                </w:p>
              </w:tc>
            </w:tr>
            <w:tr w:rsidR="0039067A" w:rsidTr="003B77B6">
              <w:trPr>
                <w:trHeight w:val="367"/>
              </w:trPr>
              <w:tc>
                <w:tcPr>
                  <w:tcW w:w="1639" w:type="pct"/>
                  <w:tcBorders>
                    <w:top w:val="single" w:sz="6" w:space="0" w:color="BFBFBF"/>
                  </w:tcBorders>
                  <w:shd w:val="clear" w:color="auto" w:fill="D9D9D9" w:themeFill="background1" w:themeFillShade="D9"/>
                </w:tcPr>
                <w:p w:rsidR="0039067A" w:rsidRPr="009C12FE" w:rsidRDefault="0039067A" w:rsidP="003B77B6">
                  <w:pPr>
                    <w:pStyle w:val="TableBodyText"/>
                    <w:jc w:val="left"/>
                  </w:pPr>
                  <w:r w:rsidRPr="009C12FE">
                    <w:t>Trans</w:t>
                  </w:r>
                  <w:r w:rsidR="00552DA3">
                    <w:noBreakHyphen/>
                  </w:r>
                  <w:r w:rsidRPr="009C12FE">
                    <w:t>Tasman recognition of digital identity services</w:t>
                  </w:r>
                </w:p>
              </w:tc>
              <w:tc>
                <w:tcPr>
                  <w:tcW w:w="2050" w:type="pct"/>
                  <w:tcBorders>
                    <w:top w:val="single" w:sz="6" w:space="0" w:color="BFBFBF"/>
                  </w:tcBorders>
                  <w:shd w:val="clear" w:color="auto" w:fill="D9D9D9" w:themeFill="background1" w:themeFillShade="D9"/>
                </w:tcPr>
                <w:p w:rsidR="0039067A" w:rsidRPr="009C12FE" w:rsidRDefault="0039067A" w:rsidP="003B77B6">
                  <w:pPr>
                    <w:pStyle w:val="TableBodyText"/>
                    <w:jc w:val="left"/>
                  </w:pPr>
                  <w:r w:rsidRPr="009C12FE">
                    <w:t>Agreement between the Australian and New Zealand Governments to recognise digital identity services</w:t>
                  </w:r>
                </w:p>
              </w:tc>
              <w:tc>
                <w:tcPr>
                  <w:tcW w:w="1311" w:type="pct"/>
                  <w:tcBorders>
                    <w:top w:val="single" w:sz="6" w:space="0" w:color="BFBFBF"/>
                  </w:tcBorders>
                  <w:shd w:val="clear" w:color="auto" w:fill="D9D9D9" w:themeFill="background1" w:themeFillShade="D9"/>
                </w:tcPr>
                <w:p w:rsidR="0039067A" w:rsidRPr="009C12FE" w:rsidRDefault="0039067A" w:rsidP="003B77B6">
                  <w:pPr>
                    <w:pStyle w:val="TableBodyText"/>
                    <w:jc w:val="left"/>
                  </w:pPr>
                  <w:r w:rsidRPr="009C12FE">
                    <w:t>Streamlined online trans</w:t>
                  </w:r>
                  <w:r w:rsidR="00552DA3">
                    <w:noBreakHyphen/>
                  </w:r>
                  <w:r w:rsidRPr="009C12FE">
                    <w:t>Tasman interactions between individuals, firms and governments</w:t>
                  </w:r>
                </w:p>
              </w:tc>
            </w:tr>
            <w:tr w:rsidR="0039067A" w:rsidTr="003B77B6">
              <w:trPr>
                <w:trHeight w:val="367"/>
              </w:trPr>
              <w:tc>
                <w:tcPr>
                  <w:tcW w:w="1639" w:type="pct"/>
                  <w:tcBorders>
                    <w:top w:val="single" w:sz="6" w:space="0" w:color="BFBFBF"/>
                  </w:tcBorders>
                </w:tcPr>
                <w:p w:rsidR="0039067A" w:rsidRPr="009C12FE" w:rsidRDefault="0039067A" w:rsidP="003B77B6">
                  <w:pPr>
                    <w:pStyle w:val="TableBodyText"/>
                    <w:jc w:val="left"/>
                  </w:pPr>
                  <w:r w:rsidRPr="0028060E">
                    <w:t>Cross</w:t>
                  </w:r>
                  <w:r w:rsidR="00552DA3">
                    <w:noBreakHyphen/>
                  </w:r>
                  <w:r w:rsidRPr="0028060E">
                    <w:t>border consumer protection</w:t>
                  </w:r>
                </w:p>
              </w:tc>
              <w:tc>
                <w:tcPr>
                  <w:tcW w:w="2050" w:type="pct"/>
                  <w:tcBorders>
                    <w:top w:val="single" w:sz="6" w:space="0" w:color="BFBFBF"/>
                  </w:tcBorders>
                </w:tcPr>
                <w:p w:rsidR="0039067A" w:rsidRPr="009C12FE" w:rsidRDefault="0039067A" w:rsidP="003B77B6">
                  <w:pPr>
                    <w:pStyle w:val="TableBodyText"/>
                    <w:jc w:val="left"/>
                  </w:pPr>
                  <w:r w:rsidRPr="0028060E">
                    <w:t>Develop a consumer protect</w:t>
                  </w:r>
                  <w:r>
                    <w:t xml:space="preserve">ion framework that encompasses </w:t>
                  </w:r>
                  <w:r w:rsidRPr="0028060E">
                    <w:t>cross</w:t>
                  </w:r>
                  <w:r w:rsidR="00552DA3">
                    <w:noBreakHyphen/>
                  </w:r>
                  <w:r w:rsidRPr="0028060E">
                    <w:t>border transactions</w:t>
                  </w:r>
                </w:p>
              </w:tc>
              <w:tc>
                <w:tcPr>
                  <w:tcW w:w="1311" w:type="pct"/>
                  <w:tcBorders>
                    <w:top w:val="single" w:sz="6" w:space="0" w:color="BFBFBF"/>
                  </w:tcBorders>
                </w:tcPr>
                <w:p w:rsidR="0039067A" w:rsidRPr="009C12FE" w:rsidRDefault="0039067A" w:rsidP="003B77B6">
                  <w:pPr>
                    <w:pStyle w:val="TableBodyText"/>
                    <w:jc w:val="left"/>
                  </w:pPr>
                  <w:r w:rsidRPr="0028060E">
                    <w:t>More trans</w:t>
                  </w:r>
                  <w:r w:rsidR="00552DA3">
                    <w:noBreakHyphen/>
                  </w:r>
                  <w:r w:rsidRPr="0028060E">
                    <w:t>Tasman digital transactions; more effective consumer redress for unsatisfactory transactions</w:t>
                  </w:r>
                </w:p>
              </w:tc>
            </w:tr>
            <w:tr w:rsidR="0039067A" w:rsidTr="003B77B6">
              <w:trPr>
                <w:trHeight w:val="367"/>
              </w:trPr>
              <w:tc>
                <w:tcPr>
                  <w:tcW w:w="1639" w:type="pct"/>
                  <w:tcBorders>
                    <w:top w:val="single" w:sz="6" w:space="0" w:color="BFBFBF"/>
                  </w:tcBorders>
                  <w:shd w:val="clear" w:color="auto" w:fill="D9D9D9" w:themeFill="background1" w:themeFillShade="D9"/>
                </w:tcPr>
                <w:p w:rsidR="0039067A" w:rsidRPr="009C12FE" w:rsidRDefault="0039067A" w:rsidP="003B77B6">
                  <w:pPr>
                    <w:pStyle w:val="TableBodyText"/>
                    <w:jc w:val="left"/>
                  </w:pPr>
                  <w:r w:rsidRPr="0028060E">
                    <w:t>Addressing barriers to digital trade, such as shortcomings in int</w:t>
                  </w:r>
                  <w:r>
                    <w:t>ellectual property legislation (particularly ‘fair use’)</w:t>
                  </w:r>
                </w:p>
              </w:tc>
              <w:tc>
                <w:tcPr>
                  <w:tcW w:w="2050" w:type="pct"/>
                  <w:tcBorders>
                    <w:top w:val="single" w:sz="6" w:space="0" w:color="BFBFBF"/>
                  </w:tcBorders>
                  <w:shd w:val="clear" w:color="auto" w:fill="D9D9D9" w:themeFill="background1" w:themeFillShade="D9"/>
                </w:tcPr>
                <w:p w:rsidR="0039067A" w:rsidRPr="009C12FE" w:rsidRDefault="0039067A" w:rsidP="003B77B6">
                  <w:pPr>
                    <w:pStyle w:val="TableBodyText"/>
                    <w:jc w:val="left"/>
                  </w:pPr>
                  <w:r w:rsidRPr="0028060E">
                    <w:t>Updating intellectual property legislation in both countrie</w:t>
                  </w:r>
                  <w:r>
                    <w:t>s</w:t>
                  </w:r>
                </w:p>
              </w:tc>
              <w:tc>
                <w:tcPr>
                  <w:tcW w:w="1311" w:type="pct"/>
                  <w:tcBorders>
                    <w:top w:val="single" w:sz="6" w:space="0" w:color="BFBFBF"/>
                  </w:tcBorders>
                  <w:shd w:val="clear" w:color="auto" w:fill="D9D9D9" w:themeFill="background1" w:themeFillShade="D9"/>
                </w:tcPr>
                <w:p w:rsidR="0039067A" w:rsidRPr="009C12FE" w:rsidRDefault="0039067A" w:rsidP="003B77B6">
                  <w:pPr>
                    <w:pStyle w:val="TableBodyText"/>
                    <w:jc w:val="left"/>
                  </w:pPr>
                  <w:r w:rsidRPr="0028060E">
                    <w:t>Enable more innovation and trade as well as greater adoption of digital technology</w:t>
                  </w:r>
                </w:p>
              </w:tc>
            </w:tr>
            <w:tr w:rsidR="0039067A" w:rsidTr="003B77B6">
              <w:trPr>
                <w:trHeight w:val="367"/>
              </w:trPr>
              <w:tc>
                <w:tcPr>
                  <w:tcW w:w="1639" w:type="pct"/>
                  <w:tcBorders>
                    <w:bottom w:val="single" w:sz="6" w:space="0" w:color="BFBFBF"/>
                  </w:tcBorders>
                  <w:shd w:val="clear" w:color="auto" w:fill="auto"/>
                </w:tcPr>
                <w:p w:rsidR="0039067A" w:rsidRPr="009C12FE" w:rsidRDefault="0039067A" w:rsidP="003B77B6">
                  <w:pPr>
                    <w:pStyle w:val="TableBodyText"/>
                    <w:jc w:val="left"/>
                  </w:pPr>
                  <w:r w:rsidRPr="0028060E">
                    <w:t>Improving global digital trade rules</w:t>
                  </w:r>
                </w:p>
              </w:tc>
              <w:tc>
                <w:tcPr>
                  <w:tcW w:w="2050" w:type="pct"/>
                  <w:tcBorders>
                    <w:bottom w:val="single" w:sz="6" w:space="0" w:color="BFBFBF"/>
                  </w:tcBorders>
                  <w:shd w:val="clear" w:color="auto" w:fill="auto"/>
                </w:tcPr>
                <w:p w:rsidR="0039067A" w:rsidRPr="009C12FE" w:rsidRDefault="0039067A" w:rsidP="003B77B6">
                  <w:pPr>
                    <w:pStyle w:val="TableBodyText"/>
                    <w:jc w:val="left"/>
                  </w:pPr>
                  <w:r w:rsidRPr="009F06CE">
                    <w:t>Collaboration between the Australian and New Zealand Governments in international forums</w:t>
                  </w:r>
                </w:p>
              </w:tc>
              <w:tc>
                <w:tcPr>
                  <w:tcW w:w="1311" w:type="pct"/>
                  <w:tcBorders>
                    <w:bottom w:val="single" w:sz="6" w:space="0" w:color="BFBFBF"/>
                  </w:tcBorders>
                  <w:shd w:val="clear" w:color="auto" w:fill="auto"/>
                </w:tcPr>
                <w:p w:rsidR="0039067A" w:rsidRPr="009C12FE" w:rsidRDefault="0039067A" w:rsidP="003B77B6">
                  <w:pPr>
                    <w:pStyle w:val="TableBodyText"/>
                    <w:jc w:val="left"/>
                  </w:pPr>
                  <w:r w:rsidRPr="009F06CE">
                    <w:t>Reducing, eliminating or avoiding non</w:t>
                  </w:r>
                  <w:r w:rsidR="00552DA3">
                    <w:noBreakHyphen/>
                  </w:r>
                  <w:r w:rsidRPr="009F06CE">
                    <w:t>tariff barriers to international digital trade</w:t>
                  </w:r>
                </w:p>
              </w:tc>
            </w:tr>
          </w:tbl>
          <w:p w:rsidR="0039067A" w:rsidRDefault="0039067A" w:rsidP="003B77B6">
            <w:pPr>
              <w:pStyle w:val="Box"/>
              <w:jc w:val="left"/>
            </w:pPr>
          </w:p>
        </w:tc>
      </w:tr>
      <w:tr w:rsidR="0039067A" w:rsidTr="003B77B6">
        <w:tc>
          <w:tcPr>
            <w:tcW w:w="5000" w:type="pct"/>
            <w:tcBorders>
              <w:top w:val="nil"/>
              <w:left w:val="nil"/>
              <w:bottom w:val="nil"/>
              <w:right w:val="nil"/>
            </w:tcBorders>
            <w:shd w:val="clear" w:color="auto" w:fill="auto"/>
          </w:tcPr>
          <w:p w:rsidR="0039067A" w:rsidRDefault="0039067A" w:rsidP="003B77B6">
            <w:pPr>
              <w:pStyle w:val="Source"/>
            </w:pPr>
            <w:r>
              <w:rPr>
                <w:i/>
              </w:rPr>
              <w:t>Source</w:t>
            </w:r>
            <w:r w:rsidRPr="00167F06">
              <w:t xml:space="preserve">: </w:t>
            </w:r>
            <w:r>
              <w:t>Australian PC and New Zealand PC 2019, Growing the digital Economy, p. 5.</w:t>
            </w:r>
          </w:p>
        </w:tc>
      </w:tr>
      <w:tr w:rsidR="0039067A" w:rsidTr="003B77B6">
        <w:tc>
          <w:tcPr>
            <w:tcW w:w="5000" w:type="pct"/>
            <w:tcBorders>
              <w:top w:val="nil"/>
              <w:left w:val="nil"/>
              <w:bottom w:val="single" w:sz="6" w:space="0" w:color="78A22F"/>
              <w:right w:val="nil"/>
            </w:tcBorders>
            <w:shd w:val="clear" w:color="auto" w:fill="auto"/>
          </w:tcPr>
          <w:p w:rsidR="0039067A" w:rsidRDefault="0039067A" w:rsidP="003B77B6">
            <w:pPr>
              <w:pStyle w:val="Box"/>
              <w:spacing w:before="0" w:line="120" w:lineRule="exact"/>
            </w:pPr>
          </w:p>
        </w:tc>
      </w:tr>
      <w:tr w:rsidR="0039067A" w:rsidRPr="000863A5" w:rsidTr="003B77B6">
        <w:tc>
          <w:tcPr>
            <w:tcW w:w="5000" w:type="pct"/>
            <w:tcBorders>
              <w:top w:val="single" w:sz="6" w:space="0" w:color="78A22F"/>
              <w:left w:val="nil"/>
              <w:bottom w:val="nil"/>
              <w:right w:val="nil"/>
            </w:tcBorders>
          </w:tcPr>
          <w:p w:rsidR="0039067A" w:rsidRPr="00552DA3" w:rsidRDefault="0039067A" w:rsidP="003B77B6">
            <w:pPr>
              <w:pStyle w:val="BoxSpaceBelow"/>
            </w:pPr>
          </w:p>
        </w:tc>
      </w:tr>
    </w:tbl>
    <w:p w:rsidR="0039067A" w:rsidRDefault="0039067A" w:rsidP="00DF4EE1">
      <w:pPr>
        <w:pStyle w:val="BodyText"/>
      </w:pPr>
      <w:r>
        <w:t>T</w:t>
      </w:r>
      <w:r w:rsidRPr="00124D2C">
        <w:t xml:space="preserve">he regulatory sandbox </w:t>
      </w:r>
      <w:r>
        <w:t>is</w:t>
      </w:r>
      <w:r w:rsidRPr="00124D2C">
        <w:t xml:space="preserve"> open to services such as</w:t>
      </w:r>
      <w:r>
        <w:t xml:space="preserve"> listed or quoted Australian securities; </w:t>
      </w:r>
      <w:r w:rsidRPr="00554995">
        <w:t>simple managed investment schemes</w:t>
      </w:r>
      <w:r>
        <w:t xml:space="preserve">, deposit products; debentures, stocks or bonds issued or proposed to be issued by the Australian Government; deposit and payment products, some kinds of general insurance products; and </w:t>
      </w:r>
      <w:r w:rsidRPr="00554995">
        <w:t>payment products issued by ADIs</w:t>
      </w:r>
      <w:r>
        <w:t xml:space="preserve">. </w:t>
      </w:r>
      <w:r w:rsidRPr="00554995">
        <w:t xml:space="preserve">Eligible firms wishing to test their products and services in the sandbox must notify ASIC of their intent. </w:t>
      </w:r>
      <w:r w:rsidRPr="00554995">
        <w:lastRenderedPageBreak/>
        <w:t>They need no further approvals.</w:t>
      </w:r>
      <w:r>
        <w:rPr>
          <w:rStyle w:val="FootnoteReference"/>
        </w:rPr>
        <w:footnoteReference w:id="3"/>
      </w:r>
      <w:r w:rsidRPr="00554995">
        <w:t xml:space="preserve"> </w:t>
      </w:r>
      <w:r w:rsidRPr="00094F26">
        <w:t>The sandbox has been adjusted and expanded in response to a formal evaluation.</w:t>
      </w:r>
    </w:p>
    <w:p w:rsidR="00FF1543" w:rsidRDefault="00001156" w:rsidP="00DF4EE1">
      <w:pPr>
        <w:pStyle w:val="BodyText"/>
      </w:pPr>
      <w:r>
        <w:t>A further</w:t>
      </w:r>
      <w:r w:rsidR="001E044D">
        <w:t xml:space="preserve"> </w:t>
      </w:r>
      <w:r>
        <w:t>obstacle</w:t>
      </w:r>
      <w:r w:rsidR="001E044D">
        <w:t xml:space="preserve"> </w:t>
      </w:r>
      <w:r>
        <w:t xml:space="preserve">to efficient transactions between business and government, is that </w:t>
      </w:r>
      <w:r w:rsidR="001E044D">
        <w:t>government information provision to customers is often piecemeal and delivered by multiple agencies (as exemplified by the many places a</w:t>
      </w:r>
      <w:r w:rsidR="005950FD">
        <w:t xml:space="preserve"> </w:t>
      </w:r>
      <w:r w:rsidR="001E044D">
        <w:t>business may need to go when exporting — figure</w:t>
      </w:r>
      <w:r w:rsidR="00552DA3">
        <w:t> </w:t>
      </w:r>
      <w:r w:rsidR="001E044D">
        <w:t>1), a problem that can be resolved through digital technologies.</w:t>
      </w:r>
      <w:r w:rsidR="001E044D" w:rsidRPr="001E044D">
        <w:t xml:space="preserve"> </w:t>
      </w:r>
    </w:p>
    <w:p w:rsidR="00DF4EE1" w:rsidRPr="00552DA3" w:rsidRDefault="00DF4EE1" w:rsidP="00DF4EE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F4EE1" w:rsidTr="003B77B6">
        <w:trPr>
          <w:tblHeader/>
        </w:trPr>
        <w:tc>
          <w:tcPr>
            <w:tcW w:w="5000" w:type="pct"/>
            <w:tcBorders>
              <w:top w:val="single" w:sz="6" w:space="0" w:color="78A22F"/>
              <w:left w:val="nil"/>
              <w:bottom w:val="nil"/>
              <w:right w:val="nil"/>
            </w:tcBorders>
            <w:shd w:val="clear" w:color="auto" w:fill="auto"/>
          </w:tcPr>
          <w:p w:rsidR="00DF4EE1" w:rsidRDefault="00DF4EE1" w:rsidP="003B77B6">
            <w:pPr>
              <w:pStyle w:val="FigureTitle"/>
            </w:pPr>
            <w:r w:rsidRPr="00784A05">
              <w:rPr>
                <w:b w:val="0"/>
              </w:rPr>
              <w:t>Figure</w:t>
            </w:r>
            <w:r w:rsidR="00E71990">
              <w:rPr>
                <w:b w:val="0"/>
              </w:rPr>
              <w:t> 1</w:t>
            </w:r>
            <w:r>
              <w:tab/>
              <w:t>Exporting information overload</w:t>
            </w:r>
          </w:p>
          <w:p w:rsidR="00DF4EE1" w:rsidRDefault="00DF4EE1" w:rsidP="003B77B6">
            <w:pPr>
              <w:pStyle w:val="Subtitle"/>
            </w:pPr>
            <w:r>
              <w:t xml:space="preserve">The many destinations users are directed to when seeking government </w:t>
            </w:r>
          </w:p>
          <w:p w:rsidR="00DF4EE1" w:rsidRPr="00176D3F" w:rsidRDefault="00DF4EE1" w:rsidP="003B77B6">
            <w:pPr>
              <w:pStyle w:val="Subtitle"/>
            </w:pPr>
            <w:r>
              <w:t>information on exporting from Australia</w:t>
            </w:r>
          </w:p>
        </w:tc>
      </w:tr>
      <w:tr w:rsidR="00DF4EE1" w:rsidTr="003B77B6">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DF4EE1" w:rsidRPr="00B1465D" w:rsidTr="003B77B6">
              <w:trPr>
                <w:tblHeader/>
                <w:jc w:val="center"/>
              </w:trPr>
              <w:tc>
                <w:tcPr>
                  <w:tcW w:w="5000" w:type="pct"/>
                  <w:tcBorders>
                    <w:top w:val="nil"/>
                    <w:bottom w:val="nil"/>
                  </w:tcBorders>
                </w:tcPr>
                <w:p w:rsidR="00DF4EE1" w:rsidRPr="00B1465D" w:rsidRDefault="00DF4EE1" w:rsidP="003B77B6">
                  <w:pPr>
                    <w:pStyle w:val="Figure"/>
                    <w:spacing w:before="60" w:after="60"/>
                    <w:rPr>
                      <w:rFonts w:ascii="Arial" w:hAnsi="Arial" w:cs="Arial"/>
                      <w:sz w:val="18"/>
                      <w:szCs w:val="18"/>
                    </w:rPr>
                  </w:pPr>
                  <w:r>
                    <w:rPr>
                      <w:noProof/>
                    </w:rPr>
                    <w:drawing>
                      <wp:inline distT="0" distB="0" distL="0" distR="0" wp14:anchorId="15DF50C6" wp14:editId="332A7E3E">
                        <wp:extent cx="3852907" cy="4742815"/>
                        <wp:effectExtent l="0" t="0" r="0" b="635"/>
                        <wp:docPr id="1" name="Picture 1" descr="This diagram shows the large numbers of agencies a business can be directed to when seeking information on exporting, broken down between the Australian Government and States and Territories. It shows that at the Commoinwealth Government level, there are 22 destintaions that firms could be directed to by Austrade, and 3 by other arms of the Commonwealth. Much the same pattern holds for State and Territiry Governments." title="Exporting Information over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66779" cy="4759891"/>
                                </a:xfrm>
                                <a:prstGeom prst="rect">
                                  <a:avLst/>
                                </a:prstGeom>
                              </pic:spPr>
                            </pic:pic>
                          </a:graphicData>
                        </a:graphic>
                      </wp:inline>
                    </w:drawing>
                  </w:r>
                </w:p>
              </w:tc>
            </w:tr>
          </w:tbl>
          <w:p w:rsidR="00DF4EE1" w:rsidRDefault="00DF4EE1" w:rsidP="003B77B6">
            <w:pPr>
              <w:pStyle w:val="Figure"/>
            </w:pPr>
          </w:p>
        </w:tc>
      </w:tr>
      <w:tr w:rsidR="00DF4EE1" w:rsidRPr="00176D3F" w:rsidTr="003B77B6">
        <w:tc>
          <w:tcPr>
            <w:tcW w:w="5000" w:type="pct"/>
            <w:tcBorders>
              <w:top w:val="nil"/>
              <w:left w:val="nil"/>
              <w:bottom w:val="nil"/>
              <w:right w:val="nil"/>
            </w:tcBorders>
            <w:shd w:val="clear" w:color="auto" w:fill="auto"/>
          </w:tcPr>
          <w:p w:rsidR="00DF4EE1" w:rsidRPr="00176D3F" w:rsidRDefault="00DF4EE1" w:rsidP="003B77B6">
            <w:pPr>
              <w:pStyle w:val="Source"/>
            </w:pPr>
            <w:r>
              <w:rPr>
                <w:i/>
              </w:rPr>
              <w:t>S</w:t>
            </w:r>
            <w:r w:rsidRPr="00784A05">
              <w:rPr>
                <w:i/>
              </w:rPr>
              <w:t>ource</w:t>
            </w:r>
            <w:r w:rsidRPr="00176D3F">
              <w:t xml:space="preserve">: </w:t>
            </w:r>
            <w:r>
              <w:t>Australian PC and New Zealand PC 2019, Growing the digital Economy, p. 73.</w:t>
            </w:r>
          </w:p>
        </w:tc>
      </w:tr>
      <w:tr w:rsidR="00DF4EE1" w:rsidTr="003B77B6">
        <w:tc>
          <w:tcPr>
            <w:tcW w:w="5000" w:type="pct"/>
            <w:tcBorders>
              <w:top w:val="nil"/>
              <w:left w:val="nil"/>
              <w:bottom w:val="single" w:sz="6" w:space="0" w:color="78A22F"/>
              <w:right w:val="nil"/>
            </w:tcBorders>
            <w:shd w:val="clear" w:color="auto" w:fill="auto"/>
          </w:tcPr>
          <w:p w:rsidR="00DF4EE1" w:rsidRDefault="00DF4EE1" w:rsidP="003B77B6">
            <w:pPr>
              <w:pStyle w:val="Figurespace"/>
            </w:pPr>
          </w:p>
        </w:tc>
      </w:tr>
      <w:tr w:rsidR="00DF4EE1" w:rsidRPr="000863A5" w:rsidTr="003B77B6">
        <w:tc>
          <w:tcPr>
            <w:tcW w:w="5000" w:type="pct"/>
            <w:tcBorders>
              <w:top w:val="single" w:sz="6" w:space="0" w:color="78A22F"/>
              <w:left w:val="nil"/>
              <w:bottom w:val="nil"/>
              <w:right w:val="nil"/>
            </w:tcBorders>
          </w:tcPr>
          <w:p w:rsidR="00DF4EE1" w:rsidRPr="00552DA3" w:rsidRDefault="00DF4EE1" w:rsidP="003B77B6">
            <w:pPr>
              <w:pStyle w:val="BoxSpaceBelow"/>
            </w:pPr>
          </w:p>
        </w:tc>
      </w:tr>
    </w:tbl>
    <w:p w:rsidR="00DF4EE1" w:rsidRDefault="00DF4EE1" w:rsidP="00DF4EE1">
      <w:pPr>
        <w:pStyle w:val="BodyText"/>
      </w:pPr>
      <w:r>
        <w:lastRenderedPageBreak/>
        <w:t>There have been some improvements in governments’ interactions with exporters, as in measures to address the major inefficiencies in trade compliance. For example, the Department of Home Affairs has committed to the development of a single digital trade window (SDTW) for export and import compliance.</w:t>
      </w:r>
    </w:p>
    <w:p w:rsidR="00DF4EE1" w:rsidRDefault="00DF4EE1" w:rsidP="00DF4EE1">
      <w:pPr>
        <w:pStyle w:val="BodyText"/>
      </w:pPr>
      <w:r>
        <w:t xml:space="preserve">In other instances, regulation is stifling new products and services. Narrow ‘fair use’ provisions in copyright law exemplify archaic provisions that risk affecting new domestic and export markets (a point also emphasised in the Commission’s 5 year productivity review, </w:t>
      </w:r>
      <w:r w:rsidRPr="00B969FB">
        <w:rPr>
          <w:i/>
        </w:rPr>
        <w:t>Shifting the Dial</w:t>
      </w:r>
      <w:r>
        <w:t xml:space="preserve"> and its inquiry into intellectual property.</w:t>
      </w:r>
      <w:r>
        <w:rPr>
          <w:rStyle w:val="FootnoteReference"/>
        </w:rPr>
        <w:footnoteReference w:id="4"/>
      </w:r>
      <w:r>
        <w:t xml:space="preserve"> Moving</w:t>
      </w:r>
      <w:r w:rsidR="005950FD">
        <w:t xml:space="preserve"> </w:t>
      </w:r>
      <w:r>
        <w:t>from</w:t>
      </w:r>
      <w:r w:rsidR="005950FD">
        <w:t xml:space="preserve"> </w:t>
      </w:r>
      <w:r>
        <w:t>the</w:t>
      </w:r>
      <w:r w:rsidR="005950FD">
        <w:t xml:space="preserve"> </w:t>
      </w:r>
      <w:r>
        <w:t>current</w:t>
      </w:r>
      <w:r w:rsidR="005950FD">
        <w:t xml:space="preserve"> </w:t>
      </w:r>
      <w:r>
        <w:t>legislated</w:t>
      </w:r>
      <w:r w:rsidR="005950FD">
        <w:t xml:space="preserve"> </w:t>
      </w:r>
      <w:r>
        <w:t>mechanisms</w:t>
      </w:r>
      <w:r w:rsidR="005950FD">
        <w:t xml:space="preserve"> </w:t>
      </w:r>
      <w:r>
        <w:t>that</w:t>
      </w:r>
      <w:r w:rsidR="005950FD">
        <w:t xml:space="preserve"> </w:t>
      </w:r>
      <w:r>
        <w:t>only</w:t>
      </w:r>
      <w:r w:rsidR="005950FD">
        <w:t xml:space="preserve"> </w:t>
      </w:r>
      <w:r>
        <w:t>enable</w:t>
      </w:r>
      <w:r w:rsidR="005950FD">
        <w:t xml:space="preserve"> </w:t>
      </w:r>
      <w:r>
        <w:t>use</w:t>
      </w:r>
      <w:r w:rsidR="005950FD">
        <w:t xml:space="preserve"> </w:t>
      </w:r>
      <w:r>
        <w:t>of</w:t>
      </w:r>
      <w:r w:rsidR="005950FD">
        <w:t xml:space="preserve"> </w:t>
      </w:r>
      <w:r>
        <w:t>copyright</w:t>
      </w:r>
      <w:r w:rsidR="005950FD">
        <w:t xml:space="preserve"> </w:t>
      </w:r>
      <w:r>
        <w:t>material</w:t>
      </w:r>
      <w:r w:rsidR="005950FD">
        <w:t xml:space="preserve"> </w:t>
      </w:r>
      <w:r>
        <w:t>in</w:t>
      </w:r>
      <w:r w:rsidR="005950FD">
        <w:t xml:space="preserve"> </w:t>
      </w:r>
      <w:r>
        <w:t>tightly defined situations (‘fair dealing’ exceptions) to a principles</w:t>
      </w:r>
      <w:r w:rsidR="00552DA3">
        <w:noBreakHyphen/>
      </w:r>
      <w:r>
        <w:t xml:space="preserve">based system, which considers whether use of copyright material would harm the right holder’s interests (‘fair use’), would allow Australia’s copyright arrangements to adapt to new circumstances, technologies and uses over time. For example, Australia’s </w:t>
      </w:r>
      <w:r w:rsidRPr="0089266A">
        <w:t>overly</w:t>
      </w:r>
      <w:r w:rsidR="00552DA3">
        <w:noBreakHyphen/>
      </w:r>
      <w:r w:rsidRPr="0089266A">
        <w:t xml:space="preserve">restrictive ‘fair use’ provisions </w:t>
      </w:r>
      <w:r>
        <w:t>limit</w:t>
      </w:r>
      <w:r w:rsidRPr="0089266A">
        <w:t xml:space="preserve"> the ability of local higher education providers to deliver massive online open courses (MOOCs) and compete </w:t>
      </w:r>
      <w:r>
        <w:t>in the cross</w:t>
      </w:r>
      <w:r w:rsidR="00552DA3">
        <w:noBreakHyphen/>
      </w:r>
      <w:r>
        <w:t xml:space="preserve">border delivery of </w:t>
      </w:r>
      <w:r w:rsidRPr="0089266A">
        <w:t>education.</w:t>
      </w:r>
    </w:p>
    <w:p w:rsidR="00916D18" w:rsidRDefault="00916D18" w:rsidP="00916D18">
      <w:pPr>
        <w:pStyle w:val="Heading3"/>
      </w:pPr>
      <w:r>
        <w:t xml:space="preserve">The 5 Year </w:t>
      </w:r>
      <w:r w:rsidR="00C95B22">
        <w:t>P</w:t>
      </w:r>
      <w:r>
        <w:t>roductivity Review: Shifting the Dial</w:t>
      </w:r>
    </w:p>
    <w:p w:rsidR="00916D18" w:rsidRDefault="00916D18" w:rsidP="00DF4EE1">
      <w:pPr>
        <w:pStyle w:val="BodyText"/>
      </w:pPr>
      <w:r>
        <w:t>Much of this report was concerned with improving the non</w:t>
      </w:r>
      <w:r>
        <w:noBreakHyphen/>
        <w:t>market sector — particularly Australia’s healthcare and education systems — given their importance for people’s wellbeing, labour force participation and earnings</w:t>
      </w:r>
      <w:r w:rsidR="00205035">
        <w:t xml:space="preserve"> (chapters </w:t>
      </w:r>
      <w:r w:rsidR="00185709">
        <w:t>2</w:t>
      </w:r>
      <w:r w:rsidR="00205035">
        <w:t xml:space="preserve"> and </w:t>
      </w:r>
      <w:r w:rsidR="00185709">
        <w:t>3</w:t>
      </w:r>
      <w:r w:rsidR="00205035">
        <w:t>)</w:t>
      </w:r>
      <w:r>
        <w:t xml:space="preserve">. A high quality skill </w:t>
      </w:r>
      <w:r w:rsidR="00205035">
        <w:t>formation</w:t>
      </w:r>
      <w:r>
        <w:t xml:space="preserve"> system is also important for Australia’s export sector — as these are often the most innovative and skills</w:t>
      </w:r>
      <w:r>
        <w:noBreakHyphen/>
        <w:t xml:space="preserve">dependent of industries (as in Australia’s resources sector). </w:t>
      </w:r>
    </w:p>
    <w:p w:rsidR="00916D18" w:rsidRDefault="00916D18" w:rsidP="00DF4EE1">
      <w:pPr>
        <w:pStyle w:val="BodyText"/>
      </w:pPr>
      <w:r>
        <w:t xml:space="preserve">The review recognised that Australian cities were growing in relative importance as a source of economic activity, but that there were major frictions </w:t>
      </w:r>
      <w:r w:rsidR="00205035">
        <w:t>that reduced their efficiency (chapter 4). These inefficiencies have adverse impacts on any productive activities, including those that are inputs to, or outputs of, exporters. T</w:t>
      </w:r>
      <w:r>
        <w:t>he</w:t>
      </w:r>
      <w:r w:rsidR="00205035">
        <w:t xml:space="preserve"> policy problems</w:t>
      </w:r>
      <w:r>
        <w:t xml:space="preserve"> included </w:t>
      </w:r>
      <w:r w:rsidR="00205035">
        <w:t>arcane and archaic zonin</w:t>
      </w:r>
      <w:r>
        <w:t>g</w:t>
      </w:r>
      <w:r w:rsidR="00205035">
        <w:t xml:space="preserve"> </w:t>
      </w:r>
      <w:r>
        <w:t xml:space="preserve">and planning </w:t>
      </w:r>
      <w:r w:rsidR="00205035">
        <w:t>restrictions</w:t>
      </w:r>
      <w:r>
        <w:t xml:space="preserve">, road funding mechanisms that would be </w:t>
      </w:r>
      <w:r w:rsidR="00205035">
        <w:t>soon</w:t>
      </w:r>
      <w:r>
        <w:t xml:space="preserve"> rend</w:t>
      </w:r>
      <w:r w:rsidR="00205035">
        <w:t>e</w:t>
      </w:r>
      <w:r>
        <w:t xml:space="preserve">red redundant by the trend towards electric vehicles, poor </w:t>
      </w:r>
      <w:r w:rsidR="00205035">
        <w:t>infrastructure</w:t>
      </w:r>
      <w:r>
        <w:t xml:space="preserve"> decision</w:t>
      </w:r>
      <w:r>
        <w:noBreakHyphen/>
      </w:r>
      <w:r w:rsidR="00205035">
        <w:t>making, and taxes that reduced labour mobility — all of which can be remedied.</w:t>
      </w:r>
    </w:p>
    <w:p w:rsidR="00916D18" w:rsidRDefault="00EF5E1F" w:rsidP="00DF4EE1">
      <w:pPr>
        <w:pStyle w:val="BodyText"/>
      </w:pPr>
      <w:r>
        <w:t xml:space="preserve">More generally, the Commission </w:t>
      </w:r>
      <w:r w:rsidR="00347AB4">
        <w:t>recommended</w:t>
      </w:r>
      <w:r w:rsidR="006C5104">
        <w:t xml:space="preserve"> </w:t>
      </w:r>
      <w:r>
        <w:t xml:space="preserve">taking out the </w:t>
      </w:r>
      <w:r w:rsidR="006C5104">
        <w:t>‘</w:t>
      </w:r>
      <w:r>
        <w:t>microeconomic garbage’ — the collection of motley impediments to efficiency and innovation that ha</w:t>
      </w:r>
      <w:r w:rsidR="00347AB4">
        <w:t>ve</w:t>
      </w:r>
      <w:r>
        <w:t xml:space="preserve"> yet gone unresolved</w:t>
      </w:r>
      <w:r w:rsidR="00185709">
        <w:t xml:space="preserve"> (chapter 5 and particularly appendix B, but also supporting paper 11 on energy; supporting paper 12 on innovation policy, and supporting paper 13 on regulation in the digital age)</w:t>
      </w:r>
      <w:r>
        <w:t>.</w:t>
      </w:r>
      <w:r w:rsidR="008430CD">
        <w:t xml:space="preserve"> Table 2 concentrates on reforms that would lower the costs and increase the capacities of exporters.</w:t>
      </w:r>
    </w:p>
    <w:p w:rsidR="00EF5E1F" w:rsidRPr="00552DA3" w:rsidRDefault="00EF5E1F" w:rsidP="004267DB">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F5E1F" w:rsidTr="00750BE2">
        <w:trPr>
          <w:tblHeader/>
        </w:trPr>
        <w:tc>
          <w:tcPr>
            <w:tcW w:w="5000" w:type="pct"/>
            <w:tcBorders>
              <w:top w:val="single" w:sz="6" w:space="0" w:color="78A22F"/>
              <w:left w:val="nil"/>
              <w:bottom w:val="nil"/>
              <w:right w:val="nil"/>
            </w:tcBorders>
            <w:shd w:val="clear" w:color="auto" w:fill="auto"/>
          </w:tcPr>
          <w:p w:rsidR="00EF5E1F" w:rsidRPr="00784A05" w:rsidRDefault="00EF5E1F" w:rsidP="00E71990">
            <w:pPr>
              <w:pStyle w:val="TableTitle"/>
            </w:pPr>
            <w:r>
              <w:rPr>
                <w:b w:val="0"/>
              </w:rPr>
              <w:t>Table</w:t>
            </w:r>
            <w:r w:rsidR="00E71990">
              <w:rPr>
                <w:b w:val="0"/>
              </w:rPr>
              <w:t> 2</w:t>
            </w:r>
            <w:r>
              <w:tab/>
            </w:r>
            <w:r w:rsidR="00347AB4">
              <w:t>Some key microeconomic reforms</w:t>
            </w:r>
          </w:p>
        </w:tc>
      </w:tr>
      <w:tr w:rsidR="00EF5E1F" w:rsidTr="005B1382">
        <w:tc>
          <w:tcPr>
            <w:tcW w:w="5000" w:type="pct"/>
            <w:tcBorders>
              <w:top w:val="nil"/>
              <w:left w:val="nil"/>
              <w:bottom w:val="nil"/>
              <w:right w:val="nil"/>
            </w:tcBorders>
            <w:shd w:val="clear" w:color="auto" w:fill="auto"/>
          </w:tcPr>
          <w:tbl>
            <w:tblPr>
              <w:tblW w:w="8505" w:type="dxa"/>
              <w:tblCellMar>
                <w:top w:w="28" w:type="dxa"/>
                <w:left w:w="0" w:type="dxa"/>
                <w:right w:w="0" w:type="dxa"/>
              </w:tblCellMar>
              <w:tblLook w:val="0000" w:firstRow="0" w:lastRow="0" w:firstColumn="0" w:lastColumn="0" w:noHBand="0" w:noVBand="0"/>
            </w:tblPr>
            <w:tblGrid>
              <w:gridCol w:w="4252"/>
              <w:gridCol w:w="4253"/>
            </w:tblGrid>
            <w:tr w:rsidR="00E412E9" w:rsidTr="00347AB4">
              <w:trPr>
                <w:tblHeader/>
              </w:trPr>
              <w:tc>
                <w:tcPr>
                  <w:tcW w:w="2500" w:type="pct"/>
                  <w:tcBorders>
                    <w:top w:val="single" w:sz="6" w:space="0" w:color="BFBFBF"/>
                    <w:bottom w:val="single" w:sz="6" w:space="0" w:color="BFBFBF"/>
                  </w:tcBorders>
                  <w:shd w:val="clear" w:color="auto" w:fill="000000" w:themeFill="text1"/>
                  <w:tcMar>
                    <w:top w:w="28" w:type="dxa"/>
                  </w:tcMar>
                </w:tcPr>
                <w:p w:rsidR="00E412E9" w:rsidRDefault="00E412E9" w:rsidP="00347AB4">
                  <w:pPr>
                    <w:pStyle w:val="TableUnitsRow"/>
                    <w:jc w:val="left"/>
                  </w:pPr>
                  <w:r>
                    <w:t>Problem</w:t>
                  </w:r>
                </w:p>
              </w:tc>
              <w:tc>
                <w:tcPr>
                  <w:tcW w:w="2500" w:type="pct"/>
                  <w:tcBorders>
                    <w:top w:val="single" w:sz="6" w:space="0" w:color="BFBFBF"/>
                    <w:bottom w:val="single" w:sz="6" w:space="0" w:color="BFBFBF"/>
                  </w:tcBorders>
                  <w:shd w:val="clear" w:color="auto" w:fill="000000" w:themeFill="text1"/>
                  <w:tcMar>
                    <w:top w:w="28" w:type="dxa"/>
                  </w:tcMar>
                </w:tcPr>
                <w:p w:rsidR="00E412E9" w:rsidRDefault="00C11A94" w:rsidP="00347AB4">
                  <w:pPr>
                    <w:pStyle w:val="TableUnitsRow"/>
                    <w:jc w:val="left"/>
                  </w:pPr>
                  <w:r>
                    <w:t>Solution</w:t>
                  </w:r>
                </w:p>
              </w:tc>
            </w:tr>
            <w:tr w:rsidR="00347AB4" w:rsidTr="00347AB4">
              <w:tc>
                <w:tcPr>
                  <w:tcW w:w="2500" w:type="pct"/>
                  <w:tcBorders>
                    <w:top w:val="single" w:sz="6" w:space="0" w:color="BFBFBF"/>
                  </w:tcBorders>
                  <w:shd w:val="clear" w:color="auto" w:fill="D9D9D9" w:themeFill="background1" w:themeFillShade="D9"/>
                </w:tcPr>
                <w:p w:rsidR="00347AB4" w:rsidRDefault="00347AB4" w:rsidP="00347AB4">
                  <w:pPr>
                    <w:pStyle w:val="TableUnitsRow"/>
                    <w:jc w:val="left"/>
                  </w:pPr>
                  <w:r>
                    <w:t>I</w:t>
                  </w:r>
                  <w:r w:rsidRPr="00BB34B4">
                    <w:t>nternational liner shipping</w:t>
                  </w:r>
                  <w:r>
                    <w:t xml:space="preserve"> is exempt from competition law, with risks for cargo pricing collusion</w:t>
                  </w:r>
                </w:p>
              </w:tc>
              <w:tc>
                <w:tcPr>
                  <w:tcW w:w="2500" w:type="pct"/>
                  <w:tcBorders>
                    <w:top w:val="single" w:sz="6" w:space="0" w:color="BFBFBF"/>
                  </w:tcBorders>
                  <w:shd w:val="clear" w:color="auto" w:fill="D9D9D9" w:themeFill="background1" w:themeFillShade="D9"/>
                </w:tcPr>
                <w:p w:rsidR="00347AB4" w:rsidRDefault="00347AB4" w:rsidP="00347AB4">
                  <w:pPr>
                    <w:pStyle w:val="TableUnitsRow"/>
                    <w:jc w:val="left"/>
                  </w:pPr>
                  <w:r>
                    <w:t>Remove exemption</w:t>
                  </w:r>
                </w:p>
              </w:tc>
            </w:tr>
            <w:tr w:rsidR="00347AB4" w:rsidTr="00347AB4">
              <w:tc>
                <w:tcPr>
                  <w:tcW w:w="2500" w:type="pct"/>
                  <w:tcBorders>
                    <w:top w:val="single" w:sz="6" w:space="0" w:color="BFBFBF"/>
                  </w:tcBorders>
                </w:tcPr>
                <w:p w:rsidR="00347AB4" w:rsidRDefault="00347AB4" w:rsidP="0086362E">
                  <w:pPr>
                    <w:pStyle w:val="TableUnitsRow"/>
                    <w:jc w:val="left"/>
                  </w:pPr>
                  <w:r>
                    <w:t>Restrictions on cabotage and entry of foreign shipping increase freight rates</w:t>
                  </w:r>
                </w:p>
              </w:tc>
              <w:tc>
                <w:tcPr>
                  <w:tcW w:w="2500" w:type="pct"/>
                  <w:tcBorders>
                    <w:top w:val="single" w:sz="6" w:space="0" w:color="BFBFBF"/>
                  </w:tcBorders>
                </w:tcPr>
                <w:p w:rsidR="00347AB4" w:rsidRDefault="00347AB4" w:rsidP="00347AB4">
                  <w:pPr>
                    <w:pStyle w:val="TableUnitsRow"/>
                    <w:jc w:val="left"/>
                  </w:pPr>
                  <w:r>
                    <w:t>Remove restrictions</w:t>
                  </w:r>
                </w:p>
              </w:tc>
            </w:tr>
            <w:tr w:rsidR="00347AB4" w:rsidTr="00347AB4">
              <w:tc>
                <w:tcPr>
                  <w:tcW w:w="2500" w:type="pct"/>
                  <w:tcBorders>
                    <w:top w:val="single" w:sz="6" w:space="0" w:color="BFBFBF"/>
                  </w:tcBorders>
                  <w:shd w:val="clear" w:color="auto" w:fill="D9D9D9" w:themeFill="background1" w:themeFillShade="D9"/>
                </w:tcPr>
                <w:p w:rsidR="00347AB4" w:rsidRDefault="00347AB4" w:rsidP="00971376">
                  <w:pPr>
                    <w:pStyle w:val="TableUnitsRow"/>
                    <w:jc w:val="left"/>
                  </w:pPr>
                  <w:r>
                    <w:t>Restrictive air service agreements</w:t>
                  </w:r>
                </w:p>
              </w:tc>
              <w:tc>
                <w:tcPr>
                  <w:tcW w:w="2500" w:type="pct"/>
                  <w:tcBorders>
                    <w:top w:val="single" w:sz="6" w:space="0" w:color="BFBFBF"/>
                  </w:tcBorders>
                  <w:shd w:val="clear" w:color="auto" w:fill="D9D9D9" w:themeFill="background1" w:themeFillShade="D9"/>
                </w:tcPr>
                <w:p w:rsidR="00347AB4" w:rsidRDefault="00347AB4" w:rsidP="00347AB4">
                  <w:pPr>
                    <w:pStyle w:val="TableUnitsRow"/>
                    <w:jc w:val="left"/>
                  </w:pPr>
                  <w:r>
                    <w:t>Remove</w:t>
                  </w:r>
                </w:p>
              </w:tc>
            </w:tr>
            <w:tr w:rsidR="00347AB4" w:rsidTr="00347AB4">
              <w:tc>
                <w:tcPr>
                  <w:tcW w:w="2500" w:type="pct"/>
                  <w:tcBorders>
                    <w:top w:val="single" w:sz="6" w:space="0" w:color="BFBFBF"/>
                  </w:tcBorders>
                </w:tcPr>
                <w:p w:rsidR="00347AB4" w:rsidRDefault="00347AB4" w:rsidP="00C13389">
                  <w:pPr>
                    <w:pStyle w:val="TableUnitsRow"/>
                    <w:jc w:val="left"/>
                  </w:pPr>
                  <w:r>
                    <w:t>Bans on genetically</w:t>
                  </w:r>
                  <w:r w:rsidR="00552DA3">
                    <w:noBreakHyphen/>
                  </w:r>
                  <w:r>
                    <w:t>modified crops raise costs</w:t>
                  </w:r>
                </w:p>
              </w:tc>
              <w:tc>
                <w:tcPr>
                  <w:tcW w:w="2500" w:type="pct"/>
                  <w:tcBorders>
                    <w:top w:val="single" w:sz="6" w:space="0" w:color="BFBFBF"/>
                  </w:tcBorders>
                </w:tcPr>
                <w:p w:rsidR="00347AB4" w:rsidRDefault="00347AB4" w:rsidP="00347AB4">
                  <w:pPr>
                    <w:pStyle w:val="TableUnitsRow"/>
                    <w:jc w:val="left"/>
                  </w:pPr>
                  <w:r>
                    <w:t>Remove regulations unless scientific evidence suggests harm</w:t>
                  </w:r>
                </w:p>
              </w:tc>
            </w:tr>
            <w:tr w:rsidR="00347AB4" w:rsidTr="00347AB4">
              <w:tc>
                <w:tcPr>
                  <w:tcW w:w="2500" w:type="pct"/>
                  <w:tcBorders>
                    <w:top w:val="single" w:sz="6" w:space="0" w:color="BFBFBF"/>
                  </w:tcBorders>
                  <w:shd w:val="clear" w:color="auto" w:fill="D9D9D9" w:themeFill="background1" w:themeFillShade="D9"/>
                </w:tcPr>
                <w:p w:rsidR="00347AB4" w:rsidRDefault="00347AB4" w:rsidP="00816368">
                  <w:pPr>
                    <w:pStyle w:val="TableUnitsRow"/>
                    <w:jc w:val="left"/>
                  </w:pPr>
                  <w:r>
                    <w:t>C</w:t>
                  </w:r>
                  <w:r w:rsidRPr="005F3330">
                    <w:t>aps, curfews and other restrictions on how infrastructure is operated</w:t>
                  </w:r>
                  <w:r>
                    <w:t xml:space="preserve"> decreases productivity and raises costs</w:t>
                  </w:r>
                </w:p>
              </w:tc>
              <w:tc>
                <w:tcPr>
                  <w:tcW w:w="2500" w:type="pct"/>
                  <w:tcBorders>
                    <w:top w:val="single" w:sz="6" w:space="0" w:color="BFBFBF"/>
                  </w:tcBorders>
                  <w:shd w:val="clear" w:color="auto" w:fill="D9D9D9" w:themeFill="background1" w:themeFillShade="D9"/>
                </w:tcPr>
                <w:p w:rsidR="00347AB4" w:rsidRDefault="00347AB4" w:rsidP="00347AB4">
                  <w:pPr>
                    <w:pStyle w:val="TableUnitsRow"/>
                    <w:jc w:val="left"/>
                  </w:pPr>
                  <w:r>
                    <w:t>Only apply such restrictions where there is a sufficient offsetting public benefit</w:t>
                  </w:r>
                </w:p>
              </w:tc>
            </w:tr>
            <w:tr w:rsidR="00347AB4" w:rsidTr="001F1E92">
              <w:tc>
                <w:tcPr>
                  <w:tcW w:w="2500" w:type="pct"/>
                  <w:tcBorders>
                    <w:top w:val="single" w:sz="6" w:space="0" w:color="BFBFBF"/>
                  </w:tcBorders>
                </w:tcPr>
                <w:p w:rsidR="00347AB4" w:rsidRDefault="00347AB4" w:rsidP="001F1E92">
                  <w:pPr>
                    <w:pStyle w:val="TableUnitsRow"/>
                    <w:jc w:val="left"/>
                  </w:pPr>
                  <w:r>
                    <w:t>Government procurement decisions can waste valuable resources and public funds</w:t>
                  </w:r>
                </w:p>
              </w:tc>
              <w:tc>
                <w:tcPr>
                  <w:tcW w:w="2500" w:type="pct"/>
                  <w:tcBorders>
                    <w:top w:val="single" w:sz="6" w:space="0" w:color="BFBFBF"/>
                  </w:tcBorders>
                </w:tcPr>
                <w:p w:rsidR="00347AB4" w:rsidRDefault="00347AB4" w:rsidP="00347AB4">
                  <w:pPr>
                    <w:pStyle w:val="TableUnitsRow"/>
                    <w:jc w:val="left"/>
                  </w:pPr>
                  <w:r>
                    <w:t>Better procurement processes aimed at public value</w:t>
                  </w:r>
                </w:p>
              </w:tc>
            </w:tr>
            <w:tr w:rsidR="00347AB4" w:rsidTr="00347AB4">
              <w:tc>
                <w:tcPr>
                  <w:tcW w:w="2500" w:type="pct"/>
                  <w:tcBorders>
                    <w:top w:val="single" w:sz="6" w:space="0" w:color="BFBFBF"/>
                  </w:tcBorders>
                  <w:shd w:val="clear" w:color="auto" w:fill="D9D9D9" w:themeFill="background1" w:themeFillShade="D9"/>
                </w:tcPr>
                <w:p w:rsidR="00347AB4" w:rsidRDefault="00347AB4" w:rsidP="00BB4400">
                  <w:pPr>
                    <w:pStyle w:val="TableUnitsRow"/>
                    <w:jc w:val="left"/>
                  </w:pPr>
                  <w:r>
                    <w:t>Regulatory impact assessment is present in theory, but not in culture or practice</w:t>
                  </w:r>
                </w:p>
              </w:tc>
              <w:tc>
                <w:tcPr>
                  <w:tcW w:w="2500" w:type="pct"/>
                  <w:tcBorders>
                    <w:top w:val="single" w:sz="6" w:space="0" w:color="BFBFBF"/>
                  </w:tcBorders>
                  <w:shd w:val="clear" w:color="auto" w:fill="D9D9D9" w:themeFill="background1" w:themeFillShade="D9"/>
                </w:tcPr>
                <w:p w:rsidR="00347AB4" w:rsidRDefault="00347AB4" w:rsidP="00347AB4">
                  <w:pPr>
                    <w:pStyle w:val="TableUnitsRow"/>
                    <w:jc w:val="left"/>
                  </w:pPr>
                  <w:r>
                    <w:t>Institutional change to embed RIA as a regulatory development tool</w:t>
                  </w:r>
                </w:p>
              </w:tc>
            </w:tr>
            <w:tr w:rsidR="00347AB4" w:rsidTr="00BD790C">
              <w:tc>
                <w:tcPr>
                  <w:tcW w:w="2500" w:type="pct"/>
                  <w:tcBorders>
                    <w:top w:val="single" w:sz="6" w:space="0" w:color="BFBFBF"/>
                  </w:tcBorders>
                </w:tcPr>
                <w:p w:rsidR="00347AB4" w:rsidRDefault="00347AB4" w:rsidP="00BD790C">
                  <w:pPr>
                    <w:pStyle w:val="TableUnitsRow"/>
                    <w:jc w:val="left"/>
                  </w:pPr>
                  <w:r>
                    <w:t>Mandatory product standards that stifle competition</w:t>
                  </w:r>
                </w:p>
              </w:tc>
              <w:tc>
                <w:tcPr>
                  <w:tcW w:w="2500" w:type="pct"/>
                  <w:tcBorders>
                    <w:top w:val="single" w:sz="6" w:space="0" w:color="BFBFBF"/>
                  </w:tcBorders>
                </w:tcPr>
                <w:p w:rsidR="00347AB4" w:rsidRDefault="00347AB4" w:rsidP="00347AB4">
                  <w:pPr>
                    <w:pStyle w:val="TableUnitsRow"/>
                    <w:jc w:val="left"/>
                  </w:pPr>
                  <w:r>
                    <w:t>Adopt suitable international standards where these meet the objectives of the standards</w:t>
                  </w:r>
                </w:p>
              </w:tc>
            </w:tr>
            <w:tr w:rsidR="00347AB4" w:rsidTr="00347AB4">
              <w:tc>
                <w:tcPr>
                  <w:tcW w:w="2500" w:type="pct"/>
                  <w:tcBorders>
                    <w:top w:val="single" w:sz="6" w:space="0" w:color="BFBFBF"/>
                  </w:tcBorders>
                  <w:shd w:val="clear" w:color="auto" w:fill="D9D9D9" w:themeFill="background1" w:themeFillShade="D9"/>
                </w:tcPr>
                <w:p w:rsidR="00347AB4" w:rsidRDefault="00347AB4" w:rsidP="0006081D">
                  <w:pPr>
                    <w:pStyle w:val="TableUnitsRow"/>
                    <w:jc w:val="left"/>
                  </w:pPr>
                  <w:r>
                    <w:t>Excessive professional and occupational licensing raises business and consumer costs</w:t>
                  </w:r>
                </w:p>
              </w:tc>
              <w:tc>
                <w:tcPr>
                  <w:tcW w:w="2500" w:type="pct"/>
                  <w:tcBorders>
                    <w:top w:val="single" w:sz="6" w:space="0" w:color="BFBFBF"/>
                  </w:tcBorders>
                  <w:shd w:val="clear" w:color="auto" w:fill="D9D9D9" w:themeFill="background1" w:themeFillShade="D9"/>
                </w:tcPr>
                <w:p w:rsidR="00347AB4" w:rsidRDefault="00347AB4" w:rsidP="00347AB4">
                  <w:pPr>
                    <w:pStyle w:val="TableUnitsRow"/>
                    <w:jc w:val="left"/>
                  </w:pPr>
                  <w:r>
                    <w:t xml:space="preserve">Review on a case by case basis with preservation of any desirable goals of the regulation </w:t>
                  </w:r>
                </w:p>
              </w:tc>
            </w:tr>
            <w:tr w:rsidR="00347AB4" w:rsidTr="00AA0473">
              <w:tc>
                <w:tcPr>
                  <w:tcW w:w="2500" w:type="pct"/>
                  <w:tcBorders>
                    <w:top w:val="single" w:sz="6" w:space="0" w:color="BFBFBF"/>
                  </w:tcBorders>
                </w:tcPr>
                <w:p w:rsidR="00347AB4" w:rsidRDefault="00347AB4" w:rsidP="00347AB4">
                  <w:pPr>
                    <w:pStyle w:val="TableUnitsRow"/>
                    <w:jc w:val="left"/>
                  </w:pPr>
                  <w:r>
                    <w:t>Non</w:t>
                  </w:r>
                  <w:r w:rsidR="00552DA3">
                    <w:noBreakHyphen/>
                  </w:r>
                  <w:r>
                    <w:t>harmonised variations in licenses add to costs</w:t>
                  </w:r>
                </w:p>
              </w:tc>
              <w:tc>
                <w:tcPr>
                  <w:tcW w:w="2500" w:type="pct"/>
                  <w:tcBorders>
                    <w:top w:val="single" w:sz="6" w:space="0" w:color="BFBFBF"/>
                  </w:tcBorders>
                </w:tcPr>
                <w:p w:rsidR="00347AB4" w:rsidRDefault="00347AB4" w:rsidP="00347AB4">
                  <w:pPr>
                    <w:pStyle w:val="TableUnitsRow"/>
                    <w:jc w:val="left"/>
                  </w:pPr>
                  <w:r w:rsidRPr="005F3330">
                    <w:t>Take an opportunistic approach to mutual recognition for occupations</w:t>
                  </w:r>
                  <w:r>
                    <w:t>, recognising that harmonisation is costly in its own right</w:t>
                  </w:r>
                </w:p>
              </w:tc>
            </w:tr>
            <w:tr w:rsidR="00347AB4" w:rsidTr="00347AB4">
              <w:tc>
                <w:tcPr>
                  <w:tcW w:w="2500" w:type="pct"/>
                  <w:tcBorders>
                    <w:top w:val="single" w:sz="6" w:space="0" w:color="BFBFBF"/>
                  </w:tcBorders>
                  <w:shd w:val="clear" w:color="auto" w:fill="D9D9D9" w:themeFill="background1" w:themeFillShade="D9"/>
                </w:tcPr>
                <w:p w:rsidR="00347AB4" w:rsidRDefault="00347AB4" w:rsidP="008B2A11">
                  <w:pPr>
                    <w:pStyle w:val="TableUnitsRow"/>
                    <w:jc w:val="left"/>
                  </w:pPr>
                  <w:r>
                    <w:t xml:space="preserve">Environmental assessment processes can be inconsistent </w:t>
                  </w:r>
                </w:p>
              </w:tc>
              <w:tc>
                <w:tcPr>
                  <w:tcW w:w="2500" w:type="pct"/>
                  <w:tcBorders>
                    <w:top w:val="single" w:sz="6" w:space="0" w:color="BFBFBF"/>
                  </w:tcBorders>
                  <w:shd w:val="clear" w:color="auto" w:fill="D9D9D9" w:themeFill="background1" w:themeFillShade="D9"/>
                </w:tcPr>
                <w:p w:rsidR="00347AB4" w:rsidRDefault="00347AB4" w:rsidP="0068762C">
                  <w:pPr>
                    <w:pStyle w:val="TableUnitsRow"/>
                    <w:jc w:val="left"/>
                  </w:pPr>
                  <w:r>
                    <w:t xml:space="preserve">Matter will be covered in the Commission’s </w:t>
                  </w:r>
                  <w:r w:rsidR="0068762C">
                    <w:t>study</w:t>
                  </w:r>
                  <w:r>
                    <w:t xml:space="preserve"> into the resources sector</w:t>
                  </w:r>
                </w:p>
              </w:tc>
            </w:tr>
            <w:tr w:rsidR="00347AB4" w:rsidRPr="00347AB4" w:rsidTr="00347AB4">
              <w:tc>
                <w:tcPr>
                  <w:tcW w:w="2500" w:type="pct"/>
                  <w:tcBorders>
                    <w:top w:val="single" w:sz="6" w:space="0" w:color="BFBFBF"/>
                  </w:tcBorders>
                </w:tcPr>
                <w:p w:rsidR="00347AB4" w:rsidRDefault="00347AB4" w:rsidP="00347AB4">
                  <w:pPr>
                    <w:pStyle w:val="TableUnitsRow"/>
                    <w:jc w:val="left"/>
                  </w:pPr>
                  <w:r>
                    <w:t>Lack of clarity over future emission costs</w:t>
                  </w:r>
                </w:p>
              </w:tc>
              <w:tc>
                <w:tcPr>
                  <w:tcW w:w="2500" w:type="pct"/>
                  <w:tcBorders>
                    <w:top w:val="single" w:sz="6" w:space="0" w:color="BFBFBF"/>
                  </w:tcBorders>
                </w:tcPr>
                <w:p w:rsidR="00347AB4" w:rsidRDefault="00347AB4" w:rsidP="00347AB4">
                  <w:pPr>
                    <w:pStyle w:val="TableUnitsRow"/>
                    <w:jc w:val="left"/>
                  </w:pPr>
                  <w:r>
                    <w:t>Pricing mechanisms and well</w:t>
                  </w:r>
                  <w:r>
                    <w:noBreakHyphen/>
                    <w:t>understood stable governance arrangements across a</w:t>
                  </w:r>
                  <w:r w:rsidR="0068762C">
                    <w:t>l</w:t>
                  </w:r>
                  <w:r>
                    <w:t>l levels of government</w:t>
                  </w:r>
                </w:p>
              </w:tc>
            </w:tr>
            <w:tr w:rsidR="00347AB4" w:rsidRPr="00347AB4" w:rsidTr="00347AB4">
              <w:tc>
                <w:tcPr>
                  <w:tcW w:w="2500" w:type="pct"/>
                  <w:tcBorders>
                    <w:top w:val="single" w:sz="6" w:space="0" w:color="BFBFBF"/>
                  </w:tcBorders>
                  <w:shd w:val="clear" w:color="auto" w:fill="D9D9D9" w:themeFill="background1" w:themeFillShade="D9"/>
                </w:tcPr>
                <w:p w:rsidR="00347AB4" w:rsidRDefault="00347AB4" w:rsidP="00347AB4">
                  <w:pPr>
                    <w:pStyle w:val="TableUnitsRow"/>
                    <w:jc w:val="left"/>
                  </w:pPr>
                  <w:r>
                    <w:t>Ancillary frequency service charges not fully met by generators</w:t>
                  </w:r>
                </w:p>
              </w:tc>
              <w:tc>
                <w:tcPr>
                  <w:tcW w:w="2500" w:type="pct"/>
                  <w:tcBorders>
                    <w:top w:val="single" w:sz="6" w:space="0" w:color="BFBFBF"/>
                  </w:tcBorders>
                  <w:shd w:val="clear" w:color="auto" w:fill="D9D9D9" w:themeFill="background1" w:themeFillShade="D9"/>
                </w:tcPr>
                <w:p w:rsidR="00347AB4" w:rsidRDefault="00347AB4" w:rsidP="00347AB4">
                  <w:pPr>
                    <w:pStyle w:val="TableUnitsRow"/>
                    <w:jc w:val="left"/>
                  </w:pPr>
                  <w:r>
                    <w:t>Such services should be part of generation costs</w:t>
                  </w:r>
                </w:p>
              </w:tc>
            </w:tr>
            <w:tr w:rsidR="00347AB4" w:rsidRPr="00347AB4" w:rsidTr="00347AB4">
              <w:tc>
                <w:tcPr>
                  <w:tcW w:w="2500" w:type="pct"/>
                  <w:tcBorders>
                    <w:top w:val="single" w:sz="6" w:space="0" w:color="BFBFBF"/>
                  </w:tcBorders>
                </w:tcPr>
                <w:p w:rsidR="00347AB4" w:rsidRDefault="00347AB4" w:rsidP="00347AB4">
                  <w:pPr>
                    <w:pStyle w:val="TableUnitsRow"/>
                    <w:jc w:val="left"/>
                  </w:pPr>
                  <w:r>
                    <w:t>Blanket moratoria on gas exploration and development</w:t>
                  </w:r>
                </w:p>
              </w:tc>
              <w:tc>
                <w:tcPr>
                  <w:tcW w:w="2500" w:type="pct"/>
                  <w:tcBorders>
                    <w:top w:val="single" w:sz="6" w:space="0" w:color="BFBFBF"/>
                  </w:tcBorders>
                </w:tcPr>
                <w:p w:rsidR="00347AB4" w:rsidRDefault="00347AB4" w:rsidP="00347AB4">
                  <w:pPr>
                    <w:pStyle w:val="TableUnitsRow"/>
                    <w:jc w:val="left"/>
                  </w:pPr>
                  <w:r>
                    <w:t>Remove restrictions where they apply, but ensure proper safety and environmental regulation</w:t>
                  </w:r>
                </w:p>
              </w:tc>
            </w:tr>
            <w:tr w:rsidR="00347AB4" w:rsidRPr="00347AB4" w:rsidTr="00347AB4">
              <w:tc>
                <w:tcPr>
                  <w:tcW w:w="2500" w:type="pct"/>
                  <w:tcBorders>
                    <w:top w:val="single" w:sz="6" w:space="0" w:color="BFBFBF"/>
                  </w:tcBorders>
                  <w:shd w:val="clear" w:color="auto" w:fill="D9D9D9" w:themeFill="background1" w:themeFillShade="D9"/>
                </w:tcPr>
                <w:p w:rsidR="00347AB4" w:rsidRDefault="00347AB4" w:rsidP="00347AB4">
                  <w:pPr>
                    <w:pStyle w:val="TableUnitsRow"/>
                    <w:jc w:val="left"/>
                  </w:pPr>
                  <w:r>
                    <w:t>Insufficient use of demand management of energy use</w:t>
                  </w:r>
                </w:p>
              </w:tc>
              <w:tc>
                <w:tcPr>
                  <w:tcW w:w="2500" w:type="pct"/>
                  <w:tcBorders>
                    <w:top w:val="single" w:sz="6" w:space="0" w:color="BFBFBF"/>
                  </w:tcBorders>
                  <w:shd w:val="clear" w:color="auto" w:fill="D9D9D9" w:themeFill="background1" w:themeFillShade="D9"/>
                </w:tcPr>
                <w:p w:rsidR="00347AB4" w:rsidRDefault="00347AB4" w:rsidP="00347AB4">
                  <w:pPr>
                    <w:pStyle w:val="TableUnitsRow"/>
                    <w:jc w:val="left"/>
                  </w:pPr>
                  <w:r>
                    <w:t>Introduce price incentives and complementary technologies for managing peak demand</w:t>
                  </w:r>
                </w:p>
              </w:tc>
            </w:tr>
            <w:tr w:rsidR="00347AB4" w:rsidTr="00347AB4">
              <w:tc>
                <w:tcPr>
                  <w:tcW w:w="2500" w:type="pct"/>
                  <w:tcBorders>
                    <w:top w:val="single" w:sz="6" w:space="0" w:color="BFBFBF"/>
                    <w:bottom w:val="single" w:sz="6" w:space="0" w:color="BFBFBF"/>
                  </w:tcBorders>
                </w:tcPr>
                <w:p w:rsidR="00347AB4" w:rsidRDefault="00347AB4" w:rsidP="00347AB4">
                  <w:pPr>
                    <w:pStyle w:val="TableUnitsRow"/>
                    <w:jc w:val="left"/>
                  </w:pPr>
                  <w:r>
                    <w:t>IP system has systemic faults</w:t>
                  </w:r>
                </w:p>
              </w:tc>
              <w:tc>
                <w:tcPr>
                  <w:tcW w:w="2500" w:type="pct"/>
                  <w:tcBorders>
                    <w:top w:val="single" w:sz="6" w:space="0" w:color="BFBFBF"/>
                    <w:bottom w:val="single" w:sz="6" w:space="0" w:color="BFBFBF"/>
                  </w:tcBorders>
                </w:tcPr>
                <w:p w:rsidR="00347AB4" w:rsidRDefault="00347AB4" w:rsidP="00347AB4">
                  <w:pPr>
                    <w:pStyle w:val="TableUnitsRow"/>
                    <w:jc w:val="left"/>
                  </w:pPr>
                  <w:r>
                    <w:t>Raise the inventiveness test, reform extensions of term, restructure renewal fees, change copyright law from fair dealing to fair use, and reform plant breeders rights</w:t>
                  </w:r>
                </w:p>
              </w:tc>
            </w:tr>
            <w:tr w:rsidR="00347AB4" w:rsidTr="00347AB4">
              <w:tc>
                <w:tcPr>
                  <w:tcW w:w="2500" w:type="pct"/>
                  <w:tcBorders>
                    <w:top w:val="single" w:sz="6" w:space="0" w:color="BFBFBF"/>
                    <w:bottom w:val="single" w:sz="4" w:space="0" w:color="auto"/>
                  </w:tcBorders>
                  <w:shd w:val="clear" w:color="auto" w:fill="D9D9D9" w:themeFill="background1" w:themeFillShade="D9"/>
                </w:tcPr>
                <w:p w:rsidR="00347AB4" w:rsidRDefault="00347AB4" w:rsidP="00BF63D8">
                  <w:pPr>
                    <w:pStyle w:val="TableUnitsRow"/>
                    <w:jc w:val="left"/>
                  </w:pPr>
                  <w:r>
                    <w:t>Barriers to collection and use of public data lose innovative products and public value</w:t>
                  </w:r>
                </w:p>
              </w:tc>
              <w:tc>
                <w:tcPr>
                  <w:tcW w:w="2500" w:type="pct"/>
                  <w:tcBorders>
                    <w:top w:val="single" w:sz="6" w:space="0" w:color="BFBFBF"/>
                    <w:bottom w:val="single" w:sz="4" w:space="0" w:color="auto"/>
                  </w:tcBorders>
                  <w:shd w:val="clear" w:color="auto" w:fill="D9D9D9" w:themeFill="background1" w:themeFillShade="D9"/>
                </w:tcPr>
                <w:p w:rsidR="00347AB4" w:rsidRDefault="00347AB4" w:rsidP="00347AB4">
                  <w:pPr>
                    <w:pStyle w:val="TableUnitsRow"/>
                    <w:jc w:val="left"/>
                  </w:pPr>
                  <w:r>
                    <w:t xml:space="preserve">Linked data available to users, and where sensitive, subject to secure privacy protections </w:t>
                  </w:r>
                </w:p>
              </w:tc>
            </w:tr>
          </w:tbl>
          <w:p w:rsidR="00EF5E1F" w:rsidRDefault="00EF5E1F" w:rsidP="00347AB4">
            <w:pPr>
              <w:pStyle w:val="TableUnitsRow"/>
              <w:jc w:val="left"/>
            </w:pPr>
          </w:p>
        </w:tc>
      </w:tr>
      <w:tr w:rsidR="00EF5E1F" w:rsidTr="005B1382">
        <w:tc>
          <w:tcPr>
            <w:tcW w:w="5000" w:type="pct"/>
            <w:tcBorders>
              <w:top w:val="nil"/>
              <w:left w:val="nil"/>
              <w:bottom w:val="nil"/>
              <w:right w:val="nil"/>
            </w:tcBorders>
            <w:shd w:val="clear" w:color="auto" w:fill="auto"/>
          </w:tcPr>
          <w:p w:rsidR="00EF5E1F" w:rsidRDefault="00EF5E1F" w:rsidP="00347AB4">
            <w:pPr>
              <w:pStyle w:val="Source"/>
            </w:pPr>
            <w:r>
              <w:rPr>
                <w:i/>
              </w:rPr>
              <w:t>Source</w:t>
            </w:r>
            <w:r w:rsidRPr="00167F06">
              <w:t xml:space="preserve">: </w:t>
            </w:r>
            <w:r w:rsidR="00347AB4">
              <w:t xml:space="preserve">PC 2017, </w:t>
            </w:r>
            <w:r w:rsidR="00347AB4" w:rsidRPr="00B03133">
              <w:rPr>
                <w:i/>
              </w:rPr>
              <w:t>Shifting the Dial</w:t>
            </w:r>
            <w:r w:rsidR="00347AB4">
              <w:t>, Appendix B</w:t>
            </w:r>
            <w:r>
              <w:t>.</w:t>
            </w:r>
          </w:p>
        </w:tc>
      </w:tr>
      <w:tr w:rsidR="00EF5E1F" w:rsidTr="005B1382">
        <w:tc>
          <w:tcPr>
            <w:tcW w:w="5000" w:type="pct"/>
            <w:tcBorders>
              <w:top w:val="nil"/>
              <w:left w:val="nil"/>
              <w:bottom w:val="single" w:sz="6" w:space="0" w:color="78A22F"/>
              <w:right w:val="nil"/>
            </w:tcBorders>
            <w:shd w:val="clear" w:color="auto" w:fill="auto"/>
          </w:tcPr>
          <w:p w:rsidR="00EF5E1F" w:rsidRDefault="00EF5E1F" w:rsidP="00846637">
            <w:pPr>
              <w:pStyle w:val="Box"/>
              <w:spacing w:before="0" w:line="120" w:lineRule="exact"/>
            </w:pPr>
          </w:p>
        </w:tc>
      </w:tr>
      <w:tr w:rsidR="00EF5E1F" w:rsidRPr="000863A5" w:rsidTr="005B1382">
        <w:tc>
          <w:tcPr>
            <w:tcW w:w="5000" w:type="pct"/>
            <w:tcBorders>
              <w:top w:val="single" w:sz="6" w:space="0" w:color="78A22F"/>
              <w:left w:val="nil"/>
              <w:bottom w:val="nil"/>
              <w:right w:val="nil"/>
            </w:tcBorders>
          </w:tcPr>
          <w:p w:rsidR="00EF5E1F" w:rsidRPr="00552DA3" w:rsidRDefault="00EF5E1F" w:rsidP="00784A05">
            <w:pPr>
              <w:pStyle w:val="BoxSpaceBelow"/>
            </w:pPr>
          </w:p>
        </w:tc>
      </w:tr>
    </w:tbl>
    <w:p w:rsidR="00EF5E1F" w:rsidRDefault="00EF5E1F" w:rsidP="00DF4EE1">
      <w:pPr>
        <w:pStyle w:val="BodyText"/>
      </w:pPr>
    </w:p>
    <w:p w:rsidR="00591A41" w:rsidRDefault="00591A41" w:rsidP="00591A41">
      <w:pPr>
        <w:pStyle w:val="Heading3"/>
      </w:pPr>
      <w:r>
        <w:lastRenderedPageBreak/>
        <w:t>The Trade and Assistance Review 2017</w:t>
      </w:r>
      <w:r w:rsidR="005D714C">
        <w:noBreakHyphen/>
      </w:r>
      <w:r>
        <w:t>18</w:t>
      </w:r>
    </w:p>
    <w:p w:rsidR="00591A41" w:rsidRDefault="00591A41" w:rsidP="00591A41">
      <w:pPr>
        <w:pStyle w:val="BodyText"/>
      </w:pPr>
      <w:r>
        <w:t>The Commission is required in its Act to examine trade and assistance annually. As in past reports, the 2017</w:t>
      </w:r>
      <w:r w:rsidR="00001156">
        <w:noBreakHyphen/>
      </w:r>
      <w:r>
        <w:t>18 review identified some positive and negative aspects to Australia’s trading environment, as well as presenting facts about Australia’s assistance to industries and sectors, including the export sector.</w:t>
      </w:r>
    </w:p>
    <w:p w:rsidR="00591A41" w:rsidRDefault="00591A41" w:rsidP="00591A41">
      <w:pPr>
        <w:pStyle w:val="BodyText"/>
      </w:pPr>
      <w:r>
        <w:t>The matters most relevant to Australian exports are:</w:t>
      </w:r>
    </w:p>
    <w:p w:rsidR="00591A41" w:rsidRDefault="000646CC" w:rsidP="00591A41">
      <w:pPr>
        <w:pStyle w:val="ListBullet"/>
      </w:pPr>
      <w:r>
        <w:t xml:space="preserve">tariff </w:t>
      </w:r>
      <w:r w:rsidR="00591A41">
        <w:t>assistance to Australian industry are now close to zero, reflecting decades of both unilateral lowering of barriers to trade and the results of negotiations in various trade agreements</w:t>
      </w:r>
      <w:r w:rsidR="00001156">
        <w:t xml:space="preserve"> (figure 2)</w:t>
      </w:r>
      <w:r w:rsidR="00591A41">
        <w:t>. This is important for export industries because import restrictions raise the costs of inputs for Australia’s major exporting industries.</w:t>
      </w:r>
    </w:p>
    <w:p w:rsidR="000646CC" w:rsidRDefault="000646CC" w:rsidP="000646CC">
      <w:pPr>
        <w:pStyle w:val="ListBullet"/>
      </w:pPr>
      <w:r>
        <w:t>that assistance to exports — primarily through the Export Marketing Development Grants Program and Austrade — have remained relatively constant from 2012</w:t>
      </w:r>
      <w:r>
        <w:noBreakHyphen/>
        <w:t>13 to 2017</w:t>
      </w:r>
      <w:r>
        <w:noBreakHyphen/>
        <w:t>18 (figure 2). There are also several relatively small assistance arrangements in place that directly or indirectly support specific exports</w:t>
      </w:r>
      <w:r w:rsidR="00552DA3">
        <w:t xml:space="preserve"> </w:t>
      </w:r>
      <w:r>
        <w:t>— such as the</w:t>
      </w:r>
      <w:r w:rsidRPr="000542BB">
        <w:t xml:space="preserve"> Export and Regional Wine Support Package</w:t>
      </w:r>
    </w:p>
    <w:p w:rsidR="00591A41" w:rsidRDefault="00591A41" w:rsidP="00591A41">
      <w:pPr>
        <w:pStyle w:val="ListBullet"/>
      </w:pPr>
      <w:r>
        <w:t>agricultural export subsidies (which were always narrowly applied</w:t>
      </w:r>
      <w:r w:rsidR="000646CC">
        <w:t>)</w:t>
      </w:r>
      <w:r>
        <w:t xml:space="preserve"> have been abolished</w:t>
      </w:r>
    </w:p>
    <w:p w:rsidR="00591A41" w:rsidRDefault="00591A41" w:rsidP="00591A41">
      <w:pPr>
        <w:pStyle w:val="ListBullet"/>
      </w:pPr>
      <w:r>
        <w:t>customs processes are being re</w:t>
      </w:r>
      <w:r w:rsidR="00552DA3">
        <w:noBreakHyphen/>
      </w:r>
      <w:r>
        <w:t>designed to facilitate trade</w:t>
      </w:r>
      <w:r w:rsidR="000646CC">
        <w:t>.</w:t>
      </w:r>
    </w:p>
    <w:p w:rsidR="00D322AD" w:rsidRDefault="00D322AD" w:rsidP="000646CC">
      <w:pPr>
        <w:pStyle w:val="ListBullet"/>
      </w:pPr>
      <w:r w:rsidRPr="000646CC">
        <w:t xml:space="preserve">that disruption to the world trading environment represents the biggest risk to Australia’s export sector. As the Commission notes ‘The world trading system is under greater strain than at any time since the 1930s’. The trade tensions between the </w:t>
      </w:r>
      <w:r w:rsidR="00101537">
        <w:t>United States</w:t>
      </w:r>
      <w:r w:rsidRPr="000646CC">
        <w:t xml:space="preserve"> and China and in turn between the </w:t>
      </w:r>
      <w:r w:rsidR="00101537">
        <w:t>European Union</w:t>
      </w:r>
      <w:r w:rsidRPr="000646CC">
        <w:t xml:space="preserve">, </w:t>
      </w:r>
      <w:r w:rsidR="00101537">
        <w:t>the United States</w:t>
      </w:r>
      <w:r w:rsidRPr="000646CC">
        <w:t xml:space="preserve"> and China have led to the imposition of tariffs and counter</w:t>
      </w:r>
      <w:r w:rsidR="00552DA3">
        <w:noBreakHyphen/>
      </w:r>
      <w:r w:rsidRPr="000646CC">
        <w:t xml:space="preserve">tariffs. This has global effects on </w:t>
      </w:r>
      <w:r w:rsidR="00013267">
        <w:t>GDP</w:t>
      </w:r>
      <w:r w:rsidRPr="000646CC">
        <w:t>, which affects demand for Australian exports, and we may too be caught up in the imposition of measures that protect other countries import</w:t>
      </w:r>
      <w:r w:rsidRPr="000646CC">
        <w:noBreakHyphen/>
        <w:t>competing industries. So far we have largely escaped this contagion risk. Another, dynamic concern is that for businesses making long</w:t>
      </w:r>
      <w:r w:rsidR="00552DA3">
        <w:noBreakHyphen/>
      </w:r>
      <w:r w:rsidRPr="000646CC">
        <w:t xml:space="preserve">lasting investments, there is considerable uncertainty about where the trading system will go given policy volatility. </w:t>
      </w:r>
    </w:p>
    <w:p w:rsidR="0039067A" w:rsidRDefault="0039067A" w:rsidP="0039067A">
      <w:pPr>
        <w:pStyle w:val="BodyText"/>
      </w:pPr>
      <w:r>
        <w:t xml:space="preserve">In respect of the latter point, the Commission’s view is that Australia should keep its own borders open to trade and investment and to continue working towards freer markets, including through trade agreements where we can find willing partners. </w:t>
      </w:r>
    </w:p>
    <w:p w:rsidR="00001156" w:rsidRPr="00552DA3" w:rsidRDefault="00001156" w:rsidP="003B77B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4394"/>
        <w:gridCol w:w="4395"/>
      </w:tblGrid>
      <w:tr w:rsidR="00001156" w:rsidTr="003B77B6">
        <w:trPr>
          <w:tblHeader/>
        </w:trPr>
        <w:tc>
          <w:tcPr>
            <w:tcW w:w="5000" w:type="pct"/>
            <w:gridSpan w:val="2"/>
            <w:tcBorders>
              <w:top w:val="single" w:sz="6" w:space="0" w:color="78A22F"/>
              <w:left w:val="nil"/>
              <w:bottom w:val="nil"/>
              <w:right w:val="nil"/>
            </w:tcBorders>
            <w:shd w:val="clear" w:color="auto" w:fill="auto"/>
          </w:tcPr>
          <w:p w:rsidR="00001156" w:rsidRPr="00176D3F" w:rsidRDefault="00001156" w:rsidP="00E71990">
            <w:pPr>
              <w:pStyle w:val="FigureTitle"/>
            </w:pPr>
            <w:r w:rsidRPr="00784A05">
              <w:rPr>
                <w:b w:val="0"/>
              </w:rPr>
              <w:t>Figure</w:t>
            </w:r>
            <w:r w:rsidR="00E71990">
              <w:rPr>
                <w:b w:val="0"/>
              </w:rPr>
              <w:t> 2</w:t>
            </w:r>
            <w:r>
              <w:tab/>
            </w:r>
            <w:r w:rsidR="00B518C2">
              <w:t>Budgetary and tariff assistance</w:t>
            </w:r>
            <w:r w:rsidR="006E3D49">
              <w:t xml:space="preserve"> </w:t>
            </w:r>
          </w:p>
        </w:tc>
      </w:tr>
      <w:tr w:rsidR="00B518C2" w:rsidTr="00B518C2">
        <w:tc>
          <w:tcPr>
            <w:tcW w:w="2500" w:type="pct"/>
            <w:tcBorders>
              <w:top w:val="nil"/>
              <w:left w:val="nil"/>
              <w:bottom w:val="nil"/>
              <w:right w:val="nil"/>
            </w:tcBorders>
            <w:shd w:val="clear" w:color="auto" w:fill="auto"/>
            <w:tcMar>
              <w:top w:w="28" w:type="dxa"/>
              <w:bottom w:w="28" w:type="dxa"/>
            </w:tcMar>
          </w:tcPr>
          <w:p w:rsidR="00B518C2" w:rsidRPr="00B518C2" w:rsidRDefault="00B518C2" w:rsidP="00B518C2">
            <w:pPr>
              <w:pStyle w:val="Figure"/>
              <w:spacing w:before="60" w:after="60"/>
              <w:rPr>
                <w:rFonts w:ascii="Arial" w:hAnsi="Arial" w:cs="Arial"/>
                <w:noProof/>
                <w:sz w:val="18"/>
                <w:szCs w:val="18"/>
              </w:rPr>
            </w:pPr>
            <w:r>
              <w:rPr>
                <w:rFonts w:ascii="Arial" w:hAnsi="Arial" w:cs="Arial"/>
                <w:noProof/>
                <w:sz w:val="18"/>
                <w:szCs w:val="18"/>
              </w:rPr>
              <w:t>Budgetary export assistance is stable</w:t>
            </w:r>
          </w:p>
        </w:tc>
        <w:tc>
          <w:tcPr>
            <w:tcW w:w="2500" w:type="pct"/>
            <w:tcBorders>
              <w:top w:val="nil"/>
              <w:left w:val="nil"/>
              <w:bottom w:val="nil"/>
              <w:right w:val="nil"/>
            </w:tcBorders>
            <w:shd w:val="clear" w:color="auto" w:fill="auto"/>
          </w:tcPr>
          <w:p w:rsidR="00B518C2" w:rsidRPr="00B518C2" w:rsidRDefault="00B518C2" w:rsidP="003B77B6">
            <w:pPr>
              <w:pStyle w:val="Figure"/>
              <w:spacing w:before="60" w:after="60"/>
              <w:rPr>
                <w:rFonts w:ascii="Arial" w:hAnsi="Arial" w:cs="Arial"/>
                <w:noProof/>
                <w:sz w:val="18"/>
                <w:szCs w:val="18"/>
              </w:rPr>
            </w:pPr>
            <w:r>
              <w:rPr>
                <w:rFonts w:ascii="Arial" w:hAnsi="Arial" w:cs="Arial"/>
                <w:noProof/>
                <w:sz w:val="18"/>
                <w:szCs w:val="18"/>
              </w:rPr>
              <w:t xml:space="preserve">Tariff rates on imports </w:t>
            </w:r>
            <w:r w:rsidR="00B835E9">
              <w:rPr>
                <w:rFonts w:ascii="Arial" w:hAnsi="Arial" w:cs="Arial"/>
                <w:noProof/>
                <w:sz w:val="18"/>
                <w:szCs w:val="18"/>
              </w:rPr>
              <w:t xml:space="preserve">are </w:t>
            </w:r>
            <w:r>
              <w:rPr>
                <w:rFonts w:ascii="Arial" w:hAnsi="Arial" w:cs="Arial"/>
                <w:noProof/>
                <w:sz w:val="18"/>
                <w:szCs w:val="18"/>
              </w:rPr>
              <w:t>close to zero</w:t>
            </w:r>
          </w:p>
        </w:tc>
      </w:tr>
      <w:tr w:rsidR="00001156" w:rsidTr="003B77B6">
        <w:tc>
          <w:tcPr>
            <w:tcW w:w="5000" w:type="pct"/>
            <w:gridSpan w:val="2"/>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001156" w:rsidRPr="00B1465D" w:rsidTr="003B77B6">
              <w:trPr>
                <w:tblHeader/>
                <w:jc w:val="center"/>
              </w:trPr>
              <w:tc>
                <w:tcPr>
                  <w:tcW w:w="5000" w:type="pct"/>
                  <w:tcBorders>
                    <w:top w:val="nil"/>
                    <w:bottom w:val="nil"/>
                  </w:tcBorders>
                </w:tcPr>
                <w:p w:rsidR="00001156" w:rsidRPr="00B1465D" w:rsidRDefault="00B518C2" w:rsidP="003B77B6">
                  <w:pPr>
                    <w:pStyle w:val="Figure"/>
                    <w:spacing w:before="60" w:after="60"/>
                    <w:rPr>
                      <w:rFonts w:ascii="Arial" w:hAnsi="Arial" w:cs="Arial"/>
                      <w:sz w:val="18"/>
                      <w:szCs w:val="18"/>
                    </w:rPr>
                  </w:pPr>
                  <w:r w:rsidRPr="00B518C2">
                    <w:rPr>
                      <w:rFonts w:ascii="Arial" w:hAnsi="Arial" w:cs="Arial"/>
                      <w:noProof/>
                      <w:sz w:val="18"/>
                      <w:szCs w:val="18"/>
                    </w:rPr>
                    <w:drawing>
                      <wp:inline distT="0" distB="0" distL="0" distR="0" wp14:anchorId="6DA569D6" wp14:editId="7DDA27A8">
                        <wp:extent cx="5389880" cy="2650761"/>
                        <wp:effectExtent l="0" t="0" r="0" b="0"/>
                        <wp:docPr id="4" name="Picture 4" descr="There are two graphs shown here. The left hand side garph shows the different kinds of activities that receive budgetary assistance - comprising exports, R&amp;D, sectoral assistance, small business, industry specific assistance, regional assistance and other. Exports recieve a very small and roughly constant amount over the period from 2012‑13 to 2017-18.&#10;&#10;The right hand side garoh shows import tariff rates over time. They have fallen dramatically to be around zero in 2017-18." title="Assistance lev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99930" cy="2655704"/>
                                </a:xfrm>
                                <a:prstGeom prst="rect">
                                  <a:avLst/>
                                </a:prstGeom>
                                <a:noFill/>
                                <a:ln>
                                  <a:noFill/>
                                </a:ln>
                              </pic:spPr>
                            </pic:pic>
                          </a:graphicData>
                        </a:graphic>
                      </wp:inline>
                    </w:drawing>
                  </w:r>
                </w:p>
              </w:tc>
            </w:tr>
          </w:tbl>
          <w:p w:rsidR="00001156" w:rsidRDefault="00001156" w:rsidP="003B77B6">
            <w:pPr>
              <w:pStyle w:val="Figure"/>
            </w:pPr>
          </w:p>
        </w:tc>
      </w:tr>
      <w:tr w:rsidR="00001156" w:rsidRPr="00176D3F" w:rsidTr="003B77B6">
        <w:tc>
          <w:tcPr>
            <w:tcW w:w="5000" w:type="pct"/>
            <w:gridSpan w:val="2"/>
            <w:tcBorders>
              <w:top w:val="nil"/>
              <w:left w:val="nil"/>
              <w:bottom w:val="nil"/>
              <w:right w:val="nil"/>
            </w:tcBorders>
            <w:shd w:val="clear" w:color="auto" w:fill="auto"/>
          </w:tcPr>
          <w:p w:rsidR="00001156" w:rsidRPr="00176D3F" w:rsidRDefault="000646CC" w:rsidP="000646CC">
            <w:pPr>
              <w:pStyle w:val="Source"/>
            </w:pPr>
            <w:r>
              <w:rPr>
                <w:i/>
              </w:rPr>
              <w:t>S</w:t>
            </w:r>
            <w:r w:rsidR="00001156" w:rsidRPr="00784A05">
              <w:rPr>
                <w:i/>
              </w:rPr>
              <w:t>ource</w:t>
            </w:r>
            <w:r w:rsidR="00001156" w:rsidRPr="00176D3F">
              <w:t xml:space="preserve">: </w:t>
            </w:r>
            <w:r>
              <w:t xml:space="preserve">PC 2019, </w:t>
            </w:r>
            <w:r w:rsidRPr="000646CC">
              <w:rPr>
                <w:i/>
              </w:rPr>
              <w:t>Trade and Assistance Review 2017</w:t>
            </w:r>
            <w:r w:rsidRPr="000646CC">
              <w:rPr>
                <w:i/>
              </w:rPr>
              <w:noBreakHyphen/>
              <w:t>18</w:t>
            </w:r>
            <w:r>
              <w:t>, p. 29 and 41.</w:t>
            </w:r>
          </w:p>
        </w:tc>
      </w:tr>
      <w:tr w:rsidR="00001156" w:rsidTr="003B77B6">
        <w:tc>
          <w:tcPr>
            <w:tcW w:w="5000" w:type="pct"/>
            <w:gridSpan w:val="2"/>
            <w:tcBorders>
              <w:top w:val="nil"/>
              <w:left w:val="nil"/>
              <w:bottom w:val="single" w:sz="6" w:space="0" w:color="78A22F"/>
              <w:right w:val="nil"/>
            </w:tcBorders>
            <w:shd w:val="clear" w:color="auto" w:fill="auto"/>
          </w:tcPr>
          <w:p w:rsidR="00001156" w:rsidRDefault="00001156" w:rsidP="003B77B6">
            <w:pPr>
              <w:pStyle w:val="Figurespace"/>
            </w:pPr>
          </w:p>
        </w:tc>
      </w:tr>
      <w:tr w:rsidR="00001156" w:rsidRPr="000863A5" w:rsidTr="003B77B6">
        <w:tc>
          <w:tcPr>
            <w:tcW w:w="5000" w:type="pct"/>
            <w:gridSpan w:val="2"/>
            <w:tcBorders>
              <w:top w:val="single" w:sz="6" w:space="0" w:color="78A22F"/>
              <w:left w:val="nil"/>
              <w:bottom w:val="nil"/>
              <w:right w:val="nil"/>
            </w:tcBorders>
          </w:tcPr>
          <w:p w:rsidR="00001156" w:rsidRPr="00552DA3" w:rsidRDefault="00001156" w:rsidP="003B77B6">
            <w:pPr>
              <w:pStyle w:val="BoxSpaceBelow"/>
            </w:pPr>
          </w:p>
        </w:tc>
      </w:tr>
    </w:tbl>
    <w:p w:rsidR="006D777F" w:rsidRDefault="007C4157" w:rsidP="0039067A">
      <w:pPr>
        <w:pStyle w:val="BodyText"/>
      </w:pPr>
      <w:r>
        <w:t xml:space="preserve">In an accommodating trade environment, broad multilateral trade agreements best suit Australia’s </w:t>
      </w:r>
      <w:r w:rsidR="00B35DFB">
        <w:t xml:space="preserve">(and other countries’) </w:t>
      </w:r>
      <w:r>
        <w:t xml:space="preserve">needs. </w:t>
      </w:r>
      <w:r w:rsidR="00DA17B6">
        <w:t xml:space="preserve">In contrast to broad agreements, regional and bilateral agreements run the risk of trade diversion, costly rules of origin, may preserve distorting tariff peaks and have sometimes not been seen in Australia’s interest. (In the latter respect, greater community consultation and transparency of such draft trade agreements would help to achieve better </w:t>
      </w:r>
      <w:r w:rsidR="00DA17B6" w:rsidRPr="003B77B6">
        <w:t>outcomes from our trade and investment agreements.</w:t>
      </w:r>
      <w:r w:rsidR="00DA17B6">
        <w:t xml:space="preserve">) </w:t>
      </w:r>
    </w:p>
    <w:p w:rsidR="00DA17B6" w:rsidRDefault="00B835E9" w:rsidP="0039067A">
      <w:pPr>
        <w:pStyle w:val="BodyText"/>
      </w:pPr>
      <w:r>
        <w:t xml:space="preserve">However, while </w:t>
      </w:r>
      <w:r w:rsidR="006D777F">
        <w:t>multilateral agreements</w:t>
      </w:r>
      <w:r>
        <w:t xml:space="preserve"> are in principle the best approach</w:t>
      </w:r>
      <w:r w:rsidR="00DA17B6">
        <w:t xml:space="preserve">, the current trade environment is inimical to broad deals, and more generally, the Commission notes that the </w:t>
      </w:r>
      <w:r w:rsidR="00B67C34">
        <w:t>World Trade Organi</w:t>
      </w:r>
      <w:r w:rsidR="00A56A09">
        <w:t>z</w:t>
      </w:r>
      <w:r w:rsidR="00B67C34">
        <w:t>ation (WTO</w:t>
      </w:r>
      <w:r w:rsidR="005950FD">
        <w:t xml:space="preserve"> </w:t>
      </w:r>
      <w:r w:rsidR="00DA17B6">
        <w:t>has</w:t>
      </w:r>
      <w:r w:rsidR="005950FD">
        <w:t xml:space="preserve"> </w:t>
      </w:r>
      <w:r w:rsidR="00DA17B6">
        <w:t>failed to keep pace with the changing nature of trade, including the rise of sophisticated</w:t>
      </w:r>
      <w:r w:rsidR="005950FD">
        <w:t xml:space="preserve"> </w:t>
      </w:r>
      <w:r w:rsidR="00DA17B6">
        <w:t>global</w:t>
      </w:r>
      <w:r w:rsidR="005950FD">
        <w:t xml:space="preserve"> </w:t>
      </w:r>
      <w:r w:rsidR="00DA17B6">
        <w:t>supply</w:t>
      </w:r>
      <w:r w:rsidR="005950FD">
        <w:t xml:space="preserve"> </w:t>
      </w:r>
      <w:r w:rsidR="00DA17B6">
        <w:t>chains</w:t>
      </w:r>
      <w:r w:rsidR="005950FD">
        <w:t xml:space="preserve"> </w:t>
      </w:r>
      <w:r w:rsidR="00DA17B6">
        <w:t>and</w:t>
      </w:r>
      <w:r w:rsidR="005950FD">
        <w:t xml:space="preserve"> </w:t>
      </w:r>
      <w:r w:rsidR="00DA17B6">
        <w:t>digital</w:t>
      </w:r>
      <w:r w:rsidR="005950FD">
        <w:t xml:space="preserve"> </w:t>
      </w:r>
      <w:r w:rsidR="00DA17B6">
        <w:t>trade.</w:t>
      </w:r>
    </w:p>
    <w:p w:rsidR="00B35DFB" w:rsidRDefault="006D777F" w:rsidP="0039067A">
      <w:pPr>
        <w:pStyle w:val="BodyText"/>
      </w:pPr>
      <w:r>
        <w:t>Accordingly</w:t>
      </w:r>
      <w:r w:rsidR="00DA17B6">
        <w:t xml:space="preserve">, </w:t>
      </w:r>
      <w:r w:rsidR="00B35DFB">
        <w:t>many</w:t>
      </w:r>
      <w:r w:rsidR="005950FD">
        <w:t xml:space="preserve"> </w:t>
      </w:r>
      <w:r w:rsidR="00E713EE">
        <w:t>countries</w:t>
      </w:r>
      <w:r w:rsidR="005950FD">
        <w:t xml:space="preserve"> </w:t>
      </w:r>
      <w:r w:rsidR="00B35DFB">
        <w:t xml:space="preserve">are negotiating on a bilateral basis to make progress where they are able. Australia has been a player in this trend, and now has </w:t>
      </w:r>
      <w:r w:rsidR="00E713EE">
        <w:t>a significant number</w:t>
      </w:r>
      <w:r w:rsidR="00B35DFB">
        <w:t xml:space="preserve"> </w:t>
      </w:r>
      <w:r w:rsidR="00E713EE">
        <w:t xml:space="preserve">of </w:t>
      </w:r>
      <w:r w:rsidR="00B35DFB">
        <w:t>preferential trade agreements in force</w:t>
      </w:r>
      <w:r w:rsidR="00E713EE">
        <w:t xml:space="preserve"> or agreed. (Since our 2016</w:t>
      </w:r>
      <w:r w:rsidR="00E713EE">
        <w:noBreakHyphen/>
        <w:t xml:space="preserve">17 </w:t>
      </w:r>
      <w:r w:rsidR="00FE59E3" w:rsidRPr="00FE59E3">
        <w:rPr>
          <w:i/>
        </w:rPr>
        <w:t>Trade and Assistance Review</w:t>
      </w:r>
      <w:r w:rsidR="00E713EE">
        <w:t>, Australia has concluded bilateral</w:t>
      </w:r>
      <w:r w:rsidR="005950FD">
        <w:t xml:space="preserve"> </w:t>
      </w:r>
      <w:r w:rsidR="00E713EE">
        <w:t>trade agreements with Hong Kong and Indonesia.) T</w:t>
      </w:r>
      <w:r w:rsidR="00B35DFB">
        <w:t xml:space="preserve">he more recent ones </w:t>
      </w:r>
      <w:r w:rsidR="0039067A">
        <w:t>have</w:t>
      </w:r>
      <w:r w:rsidR="00B35DFB">
        <w:t xml:space="preserve"> provisions covering areas like regulatory co</w:t>
      </w:r>
      <w:r w:rsidR="00552DA3">
        <w:noBreakHyphen/>
      </w:r>
      <w:r w:rsidR="00B35DFB">
        <w:t>operation, standards and government procurement.</w:t>
      </w:r>
      <w:r w:rsidR="0039067A">
        <w:t xml:space="preserve"> More broadly, Australia has played a role in progressing regional trade agreements</w:t>
      </w:r>
      <w:r w:rsidR="00485378">
        <w:t xml:space="preserve"> (such as the </w:t>
      </w:r>
      <w:r w:rsidR="00485378" w:rsidRPr="00485378">
        <w:t>Comprehensive</w:t>
      </w:r>
      <w:r w:rsidR="005950FD">
        <w:t xml:space="preserve"> </w:t>
      </w:r>
      <w:r w:rsidR="00485378" w:rsidRPr="00485378">
        <w:t>and</w:t>
      </w:r>
      <w:r w:rsidR="005950FD">
        <w:t xml:space="preserve"> </w:t>
      </w:r>
      <w:r w:rsidR="00485378" w:rsidRPr="00485378">
        <w:t>Progressive</w:t>
      </w:r>
      <w:r w:rsidR="005950FD">
        <w:t xml:space="preserve"> </w:t>
      </w:r>
      <w:r w:rsidR="00485378" w:rsidRPr="00485378">
        <w:t>Agreement</w:t>
      </w:r>
      <w:r w:rsidR="005950FD">
        <w:t xml:space="preserve"> </w:t>
      </w:r>
      <w:r w:rsidR="00485378" w:rsidRPr="00485378">
        <w:t>for</w:t>
      </w:r>
      <w:r w:rsidR="005950FD">
        <w:t xml:space="preserve"> </w:t>
      </w:r>
      <w:r w:rsidR="00485378" w:rsidRPr="00485378">
        <w:t>Trans</w:t>
      </w:r>
      <w:r w:rsidR="00552DA3">
        <w:noBreakHyphen/>
      </w:r>
      <w:r w:rsidR="00485378" w:rsidRPr="00485378">
        <w:t>Pacific</w:t>
      </w:r>
      <w:r w:rsidR="005950FD">
        <w:t xml:space="preserve"> </w:t>
      </w:r>
      <w:r w:rsidR="00485378">
        <w:t>Partnership)</w:t>
      </w:r>
      <w:r w:rsidR="0039067A">
        <w:t xml:space="preserve"> which over time may positively influence the shape of future WTO negotiations</w:t>
      </w:r>
      <w:r w:rsidR="00485378">
        <w:t>.</w:t>
      </w:r>
    </w:p>
    <w:p w:rsidR="00D322AD" w:rsidRDefault="000646CC" w:rsidP="00D322AD">
      <w:pPr>
        <w:pStyle w:val="BodyText"/>
      </w:pPr>
      <w:r>
        <w:t xml:space="preserve">The Commission </w:t>
      </w:r>
      <w:r w:rsidR="00404652">
        <w:t xml:space="preserve">emphasised that </w:t>
      </w:r>
      <w:r w:rsidR="00D322AD">
        <w:t>Australia should also continue to work with other countries to build consensus on how to resolve long</w:t>
      </w:r>
      <w:r w:rsidR="00552DA3">
        <w:noBreakHyphen/>
      </w:r>
      <w:r w:rsidR="00D322AD">
        <w:t xml:space="preserve">standing and escalating challenges </w:t>
      </w:r>
      <w:r w:rsidR="00D322AD">
        <w:lastRenderedPageBreak/>
        <w:t>facing the WTO. There is a need to reinvigorate the negotiation function of the WTO, including plurilateral, sectoral and regional agreements that allow, or work towards ‘most favoured nation’ treatment and resolving the deadlock on ‘speci</w:t>
      </w:r>
      <w:r w:rsidR="0039067A">
        <w:t xml:space="preserve">al and differential treatment’. </w:t>
      </w:r>
      <w:r w:rsidR="00D322AD">
        <w:t>There is also a need to strengthen compliance with notification procedures and review and refresh the rules to handle issues relating, inter alia, to state owned enterprises, regulatory cooperation, digital trade and intellectual property.</w:t>
      </w:r>
    </w:p>
    <w:p w:rsidR="00F974AC" w:rsidRDefault="00F974AC" w:rsidP="00F974AC">
      <w:pPr>
        <w:pStyle w:val="Heading3"/>
      </w:pPr>
      <w:r>
        <w:t>A report on Rising Protectionism 2017</w:t>
      </w:r>
    </w:p>
    <w:p w:rsidR="00F974AC" w:rsidRDefault="00F974AC" w:rsidP="00F974AC">
      <w:pPr>
        <w:pStyle w:val="BodyText"/>
      </w:pPr>
      <w:r>
        <w:t xml:space="preserve">This is a complement to the </w:t>
      </w:r>
      <w:r w:rsidR="00A56A09">
        <w:t xml:space="preserve">Productivity Commission’s </w:t>
      </w:r>
      <w:r>
        <w:t>2017</w:t>
      </w:r>
      <w:r>
        <w:noBreakHyphen/>
        <w:t xml:space="preserve">18 </w:t>
      </w:r>
      <w:r w:rsidR="00A56A09" w:rsidRPr="00A56A09">
        <w:rPr>
          <w:i/>
        </w:rPr>
        <w:t>Trade and Assistance Review</w:t>
      </w:r>
      <w:r>
        <w:t>. It also examined the growing global trend to protectionism over the last decade. It found that</w:t>
      </w:r>
      <w:r w:rsidR="00FD305E">
        <w:t>,</w:t>
      </w:r>
      <w:r>
        <w:t xml:space="preserve"> </w:t>
      </w:r>
      <w:r w:rsidR="00FD305E">
        <w:t xml:space="preserve">since October 2008, </w:t>
      </w:r>
      <w:r>
        <w:t xml:space="preserve">G20 countries have been adopting new trade restrictive measures more quickly than they have been removing old ones. </w:t>
      </w:r>
    </w:p>
    <w:p w:rsidR="00A118DE" w:rsidRDefault="00A118DE" w:rsidP="00A118DE">
      <w:pPr>
        <w:pStyle w:val="BodyText"/>
      </w:pPr>
      <w:r>
        <w:t xml:space="preserve">The report </w:t>
      </w:r>
      <w:r w:rsidR="00F974AC">
        <w:t xml:space="preserve">uses advanced quantitative modelling to indicate the scale of global effects on growth of various scenarios in growing protectionism. </w:t>
      </w:r>
      <w:r>
        <w:t>The Commission developed a multi</w:t>
      </w:r>
      <w:r w:rsidR="00552DA3">
        <w:noBreakHyphen/>
      </w:r>
      <w:r>
        <w:t>region computable general equilibrium model designed to analyse global trade policy.</w:t>
      </w:r>
      <w:r>
        <w:rPr>
          <w:rStyle w:val="FootnoteReference"/>
        </w:rPr>
        <w:footnoteReference w:id="5"/>
      </w:r>
    </w:p>
    <w:p w:rsidR="00F974AC" w:rsidRDefault="00205BCC" w:rsidP="00205BCC">
      <w:pPr>
        <w:pStyle w:val="BodyText"/>
      </w:pPr>
      <w:r>
        <w:t xml:space="preserve">The most bleak outcome is that were the world to adopt trade policies akin to </w:t>
      </w:r>
      <w:r w:rsidR="00FD305E">
        <w:t xml:space="preserve">those </w:t>
      </w:r>
      <w:r>
        <w:t>applied in the 1930s, the</w:t>
      </w:r>
      <w:r w:rsidR="005950FD">
        <w:t xml:space="preserve"> </w:t>
      </w:r>
      <w:r w:rsidR="00FD305E">
        <w:t xml:space="preserve">consequent </w:t>
      </w:r>
      <w:r>
        <w:t>economic</w:t>
      </w:r>
      <w:r w:rsidR="005950FD">
        <w:t xml:space="preserve"> </w:t>
      </w:r>
      <w:r>
        <w:t>dislocation would</w:t>
      </w:r>
      <w:r w:rsidR="005950FD">
        <w:t xml:space="preserve"> </w:t>
      </w:r>
      <w:r>
        <w:t>have</w:t>
      </w:r>
      <w:r w:rsidR="005950FD">
        <w:t xml:space="preserve"> </w:t>
      </w:r>
      <w:r>
        <w:t>the</w:t>
      </w:r>
      <w:r w:rsidR="005950FD">
        <w:t xml:space="preserve"> </w:t>
      </w:r>
      <w:r>
        <w:t>capacity</w:t>
      </w:r>
      <w:r w:rsidR="005950FD">
        <w:t xml:space="preserve"> </w:t>
      </w:r>
      <w:r>
        <w:t>to</w:t>
      </w:r>
      <w:r w:rsidR="005950FD">
        <w:t xml:space="preserve"> </w:t>
      </w:r>
      <w:r>
        <w:t>cause</w:t>
      </w:r>
      <w:r w:rsidR="005950FD">
        <w:t xml:space="preserve"> </w:t>
      </w:r>
      <w:r>
        <w:t>a</w:t>
      </w:r>
      <w:r w:rsidR="005950FD">
        <w:t xml:space="preserve"> </w:t>
      </w:r>
      <w:r>
        <w:t>global</w:t>
      </w:r>
      <w:r w:rsidR="005950FD">
        <w:t xml:space="preserve"> </w:t>
      </w:r>
      <w:r>
        <w:t>recession</w:t>
      </w:r>
      <w:r w:rsidR="00FD305E">
        <w:t>, and to have enduring adverse impacts</w:t>
      </w:r>
      <w:r>
        <w:t>. Australia would not escape unscathed. Over one per cent of GDP every year and close to 100</w:t>
      </w:r>
      <w:r w:rsidR="00552DA3">
        <w:t> </w:t>
      </w:r>
      <w:r>
        <w:t>000 jobs would be lost, and up to 5 per cent of our capital stock could be mothballed. Living</w:t>
      </w:r>
      <w:r w:rsidR="005950FD">
        <w:t xml:space="preserve"> </w:t>
      </w:r>
      <w:r>
        <w:t>standards would</w:t>
      </w:r>
      <w:r w:rsidR="005950FD">
        <w:t xml:space="preserve"> </w:t>
      </w:r>
      <w:r>
        <w:t>fall</w:t>
      </w:r>
      <w:r w:rsidR="005950FD">
        <w:t xml:space="preserve"> </w:t>
      </w:r>
      <w:r>
        <w:t>across</w:t>
      </w:r>
      <w:r w:rsidR="005950FD">
        <w:t xml:space="preserve"> </w:t>
      </w:r>
      <w:r>
        <w:t>the</w:t>
      </w:r>
      <w:r w:rsidR="005950FD">
        <w:t xml:space="preserve"> </w:t>
      </w:r>
      <w:r>
        <w:t>income distribution. A household</w:t>
      </w:r>
      <w:r w:rsidR="005950FD">
        <w:t xml:space="preserve"> </w:t>
      </w:r>
      <w:r>
        <w:t>with the median weekly income would be worse off by nearly $1500 a year.</w:t>
      </w:r>
    </w:p>
    <w:p w:rsidR="00205BCC" w:rsidRDefault="00205BCC" w:rsidP="00205BCC">
      <w:pPr>
        <w:pStyle w:val="BodyText"/>
      </w:pPr>
      <w:r>
        <w:t xml:space="preserve">This report provides </w:t>
      </w:r>
      <w:r w:rsidR="00FD305E">
        <w:t>solid evidence about the repercussions to a small open economy like Australia’s to instability in the global trading environment — which poses the biggest single risk to Australia’s export industries.</w:t>
      </w:r>
    </w:p>
    <w:p w:rsidR="00D322AD" w:rsidRDefault="00460377" w:rsidP="00D322AD">
      <w:pPr>
        <w:pStyle w:val="Heading3"/>
      </w:pPr>
      <w:r>
        <w:t xml:space="preserve">Regulation of </w:t>
      </w:r>
      <w:r w:rsidR="00D322AD">
        <w:t xml:space="preserve">Agriculture </w:t>
      </w:r>
      <w:r w:rsidR="00552DA3">
        <w:t>i</w:t>
      </w:r>
      <w:r w:rsidR="00D322AD">
        <w:t>nquiry 2017</w:t>
      </w:r>
    </w:p>
    <w:p w:rsidR="00D322AD" w:rsidRDefault="00D322AD" w:rsidP="00D322AD">
      <w:pPr>
        <w:pStyle w:val="BodyText"/>
      </w:pPr>
      <w:r>
        <w:t>The focus of this inquiry were on regulations that generally impeded the efficiency of the industry or whose objectives were not being effectively met. These are of general relevance to trade because agriculture is one of Australia’s major exporting industries, and faces a global market where demand is highly responsive to price variations. Small reductions in costs therefore have the potential to substantially increase long</w:t>
      </w:r>
      <w:r>
        <w:noBreakHyphen/>
        <w:t xml:space="preserve">run exports. </w:t>
      </w:r>
    </w:p>
    <w:p w:rsidR="00D322AD" w:rsidRDefault="00D322AD" w:rsidP="00D322AD">
      <w:pPr>
        <w:pStyle w:val="BodyText"/>
      </w:pPr>
      <w:r>
        <w:t>Apart from that general consideration of regulation in this sector, some matters related specifically to exports.</w:t>
      </w:r>
    </w:p>
    <w:p w:rsidR="00D322AD" w:rsidRPr="007A51B8" w:rsidRDefault="00D322AD" w:rsidP="00D322AD">
      <w:pPr>
        <w:pStyle w:val="ListBullet"/>
      </w:pPr>
      <w:r>
        <w:lastRenderedPageBreak/>
        <w:t xml:space="preserve">Problems </w:t>
      </w:r>
      <w:r w:rsidRPr="007A51B8">
        <w:t>relat</w:t>
      </w:r>
      <w:r>
        <w:t>ing</w:t>
      </w:r>
      <w:r w:rsidRPr="007A51B8">
        <w:t xml:space="preserve"> to market access issues associated with so</w:t>
      </w:r>
      <w:r w:rsidR="00552DA3">
        <w:noBreakHyphen/>
      </w:r>
      <w:r w:rsidRPr="007A51B8">
        <w:t>called ‘technical’ barriers to trade (biosecurity, food safety, environmental protection). It is possible to address technical issues in ways that reduce their impact on trade – usually progressed through trade negotiations (a successful example is exports of goat meat to India). Negotiation can also address duplication in regulation between exporting and importing countries(eg through mutual recognition)</w:t>
      </w:r>
    </w:p>
    <w:p w:rsidR="00D322AD" w:rsidRDefault="00D322AD" w:rsidP="00D322AD">
      <w:pPr>
        <w:pStyle w:val="ListBullet"/>
      </w:pPr>
      <w:r>
        <w:t>W</w:t>
      </w:r>
      <w:r w:rsidRPr="007A51B8">
        <w:t xml:space="preserve">hile accepted as a necessity, producers thought </w:t>
      </w:r>
      <w:r>
        <w:t xml:space="preserve">certification </w:t>
      </w:r>
      <w:r w:rsidRPr="007A51B8">
        <w:t>arrangements were unwieldy and sometimes too slow.</w:t>
      </w:r>
      <w:r>
        <w:t xml:space="preserve"> At the time, e</w:t>
      </w:r>
      <w:r w:rsidRPr="007A51B8">
        <w:t xml:space="preserve">xport certification </w:t>
      </w:r>
      <w:r>
        <w:t>was</w:t>
      </w:r>
      <w:r w:rsidRPr="007A51B8">
        <w:t xml:space="preserve"> often required in paper form</w:t>
      </w:r>
      <w:r>
        <w:t xml:space="preserve">, which the Commission considered out of date. Since the report, the Department of Agriculture has implemented an Export Documentation system (EXDOC), which allows electronic certification for most products. </w:t>
      </w:r>
    </w:p>
    <w:p w:rsidR="00D322AD" w:rsidRDefault="00D322AD" w:rsidP="00D322AD">
      <w:pPr>
        <w:pStyle w:val="ListBullet"/>
      </w:pPr>
      <w:r w:rsidRPr="007A51B8">
        <w:t>Australian standards may be higher than needed to meet importing country requirements</w:t>
      </w:r>
      <w:r>
        <w:t>.</w:t>
      </w:r>
    </w:p>
    <w:p w:rsidR="006D651F" w:rsidRDefault="00460377" w:rsidP="00CC5504">
      <w:pPr>
        <w:pStyle w:val="Heading3"/>
      </w:pPr>
      <w:r>
        <w:t xml:space="preserve">Marine </w:t>
      </w:r>
      <w:r w:rsidR="006D651F">
        <w:t xml:space="preserve">Fisheries </w:t>
      </w:r>
      <w:r>
        <w:t xml:space="preserve">and Aquaculture </w:t>
      </w:r>
      <w:r w:rsidR="00552DA3">
        <w:t>i</w:t>
      </w:r>
      <w:r w:rsidR="006D651F">
        <w:t>nquiry 2017</w:t>
      </w:r>
    </w:p>
    <w:p w:rsidR="006D651F" w:rsidRDefault="00B82865" w:rsidP="007A51B8">
      <w:pPr>
        <w:pStyle w:val="BodyText"/>
      </w:pPr>
      <w:r>
        <w:t>Seafood exports are a relatively small share of total primary</w:t>
      </w:r>
      <w:r w:rsidR="003B3043">
        <w:t xml:space="preserve"> exports, </w:t>
      </w:r>
      <w:r>
        <w:t>valued at around $1.3 </w:t>
      </w:r>
      <w:r w:rsidR="006D651F">
        <w:t>billion in 2014</w:t>
      </w:r>
      <w:r w:rsidR="002170B3">
        <w:noBreakHyphen/>
      </w:r>
      <w:r w:rsidR="006D651F">
        <w:t>15</w:t>
      </w:r>
      <w:r>
        <w:t xml:space="preserve"> and lower than its volume and value at the start of the new millennium</w:t>
      </w:r>
      <w:r w:rsidR="006D651F">
        <w:t xml:space="preserve">. </w:t>
      </w:r>
      <w:r w:rsidR="00E01FB3">
        <w:t xml:space="preserve">It has not changed much since (DAWR 2018). </w:t>
      </w:r>
      <w:r w:rsidR="003B3043">
        <w:t xml:space="preserve">Nevertheless, </w:t>
      </w:r>
      <w:r w:rsidR="00665DBD">
        <w:t>r</w:t>
      </w:r>
      <w:r w:rsidR="00BF105D">
        <w:t>egulatory</w:t>
      </w:r>
      <w:r w:rsidR="006D651F">
        <w:t xml:space="preserve"> impedimen</w:t>
      </w:r>
      <w:r>
        <w:t>ts to the industry affect costs and therefore, to some degree, expo</w:t>
      </w:r>
      <w:r w:rsidR="006D651F">
        <w:t xml:space="preserve">rt prospects. </w:t>
      </w:r>
      <w:r w:rsidR="00665DBD">
        <w:t>T</w:t>
      </w:r>
      <w:r w:rsidR="00BF105D">
        <w:t>he most relevant regulatory issues are:</w:t>
      </w:r>
    </w:p>
    <w:p w:rsidR="00BF105D" w:rsidRDefault="00BF105D" w:rsidP="00120E17">
      <w:pPr>
        <w:pStyle w:val="ListBullet"/>
      </w:pPr>
      <w:r>
        <w:t>c</w:t>
      </w:r>
      <w:r w:rsidRPr="00BF105D">
        <w:t>ontrols over fishing methods (an input control) is an inefficient approach to limiting overall catch. Tradeable quotas are preferred</w:t>
      </w:r>
      <w:r w:rsidR="00B835E9">
        <w:t xml:space="preserve">. </w:t>
      </w:r>
      <w:r w:rsidR="00120E17">
        <w:t>As noted in the report, a study of the Tasmanian southern rock lobster fishery found that after the introduction of individual tradeable quotas, fishing</w:t>
      </w:r>
      <w:r w:rsidR="005950FD">
        <w:t xml:space="preserve"> </w:t>
      </w:r>
      <w:r w:rsidR="00120E17">
        <w:t>effort moved</w:t>
      </w:r>
      <w:r w:rsidR="005950FD">
        <w:t xml:space="preserve"> </w:t>
      </w:r>
      <w:r w:rsidR="00120E17">
        <w:t>to</w:t>
      </w:r>
      <w:r w:rsidR="005950FD">
        <w:t xml:space="preserve"> </w:t>
      </w:r>
      <w:r w:rsidR="00120E17">
        <w:t>areas</w:t>
      </w:r>
      <w:r w:rsidR="005950FD">
        <w:t xml:space="preserve"> </w:t>
      </w:r>
      <w:r w:rsidR="00120E17">
        <w:t>where</w:t>
      </w:r>
      <w:r w:rsidR="005950FD">
        <w:t xml:space="preserve"> </w:t>
      </w:r>
      <w:r w:rsidR="00120E17">
        <w:t>the</w:t>
      </w:r>
      <w:r w:rsidR="005950FD">
        <w:t xml:space="preserve"> </w:t>
      </w:r>
      <w:r w:rsidR="00120E17">
        <w:t>catch</w:t>
      </w:r>
      <w:r w:rsidR="005950FD">
        <w:t xml:space="preserve"> </w:t>
      </w:r>
      <w:r w:rsidR="00120E17">
        <w:t>had</w:t>
      </w:r>
      <w:r w:rsidR="005950FD">
        <w:t xml:space="preserve"> </w:t>
      </w:r>
      <w:r w:rsidR="00120E17">
        <w:t>attributes</w:t>
      </w:r>
      <w:r w:rsidR="005950FD">
        <w:t xml:space="preserve"> </w:t>
      </w:r>
      <w:r w:rsidR="00120E17">
        <w:t>that</w:t>
      </w:r>
      <w:r w:rsidR="005950FD">
        <w:t xml:space="preserve"> </w:t>
      </w:r>
      <w:r w:rsidR="00120E17">
        <w:t>were</w:t>
      </w:r>
      <w:r w:rsidR="005950FD">
        <w:t xml:space="preserve"> </w:t>
      </w:r>
      <w:r w:rsidR="00120E17">
        <w:t>more</w:t>
      </w:r>
      <w:r w:rsidR="005950FD">
        <w:t xml:space="preserve"> </w:t>
      </w:r>
      <w:r w:rsidR="00120E17">
        <w:t>highly valued by the export market — in particular, moving to shallower waters where the colour of lobsters caught is more likely to attract a price premium on international markets</w:t>
      </w:r>
    </w:p>
    <w:p w:rsidR="003B3043" w:rsidRPr="00BF105D" w:rsidRDefault="003B3043" w:rsidP="00120E17">
      <w:pPr>
        <w:pStyle w:val="ListBullet"/>
      </w:pPr>
      <w:r>
        <w:t xml:space="preserve">regulations were often not the most efficient way of achieving their objectives, with regular reviews needed to ensure regulatory efficiency, not the abandonment of regulations per se </w:t>
      </w:r>
    </w:p>
    <w:p w:rsidR="00BF105D" w:rsidRPr="00BF105D" w:rsidRDefault="00BF105D" w:rsidP="00BF105D">
      <w:pPr>
        <w:pStyle w:val="ListBullet"/>
      </w:pPr>
      <w:r>
        <w:t>the need for g</w:t>
      </w:r>
      <w:r w:rsidRPr="00BF105D">
        <w:t>reater certainty on access and permitted intensity of fishing</w:t>
      </w:r>
    </w:p>
    <w:p w:rsidR="00BF105D" w:rsidRPr="00BF105D" w:rsidRDefault="00BF105D" w:rsidP="00BF105D">
      <w:pPr>
        <w:pStyle w:val="ListBullet"/>
      </w:pPr>
      <w:r>
        <w:t>s</w:t>
      </w:r>
      <w:r w:rsidRPr="00BF105D">
        <w:t>treamlining some environmental approvals, delegating more operational decisions to fishery managers and limiting cost recovery to cover only efficient costs</w:t>
      </w:r>
      <w:r w:rsidR="00120E17">
        <w:t xml:space="preserve"> (noting there are significant differences in charges for licenses and accreditation across jurisdictions that do not reflect regulators’ costs) </w:t>
      </w:r>
    </w:p>
    <w:p w:rsidR="006D651F" w:rsidRDefault="00BF105D" w:rsidP="00BF105D">
      <w:pPr>
        <w:pStyle w:val="ListBullet"/>
      </w:pPr>
      <w:r>
        <w:t>b</w:t>
      </w:r>
      <w:r w:rsidRPr="00BF105D">
        <w:t>etter (cooperative) management of c</w:t>
      </w:r>
      <w:r>
        <w:t>ross</w:t>
      </w:r>
      <w:r w:rsidR="00552DA3">
        <w:noBreakHyphen/>
      </w:r>
      <w:r>
        <w:t>jurisdictional fisheries (reflecting that f</w:t>
      </w:r>
      <w:r w:rsidRPr="00BF105D">
        <w:t>ish move</w:t>
      </w:r>
      <w:r>
        <w:t xml:space="preserve"> across the fisheries under control of each jurisdiction</w:t>
      </w:r>
      <w:r w:rsidRPr="00BF105D">
        <w:t>)</w:t>
      </w:r>
      <w:r>
        <w:t>.</w:t>
      </w:r>
    </w:p>
    <w:p w:rsidR="0035267F" w:rsidRDefault="00D6718F" w:rsidP="00CC5504">
      <w:pPr>
        <w:pStyle w:val="Heading3"/>
      </w:pPr>
      <w:r>
        <w:lastRenderedPageBreak/>
        <w:t>Workp</w:t>
      </w:r>
      <w:r w:rsidR="0035267F">
        <w:t>lace Relations 2015</w:t>
      </w:r>
    </w:p>
    <w:p w:rsidR="00566AD9" w:rsidRDefault="0035267F" w:rsidP="007A51B8">
      <w:pPr>
        <w:pStyle w:val="BodyText"/>
      </w:pPr>
      <w:r>
        <w:t xml:space="preserve">The </w:t>
      </w:r>
      <w:r w:rsidR="00665DBD">
        <w:t>workplace relations</w:t>
      </w:r>
      <w:r>
        <w:t xml:space="preserve"> system affects the efficiency of the use of labour and capital throughout the economy</w:t>
      </w:r>
      <w:r w:rsidR="00665DBD">
        <w:t>. It is also intended to achieve certain social outcomes, such as avoiding unfair dismissal and bullying, and ensuring that there is an acceptable balance of bargaining power between employees and employers</w:t>
      </w:r>
      <w:r>
        <w:t xml:space="preserve">. </w:t>
      </w:r>
      <w:r w:rsidR="00665DBD">
        <w:t xml:space="preserve">Notwithstanding some impressions at the time, the Commission did not find the system ‘dysfunctional’. That said, </w:t>
      </w:r>
      <w:r w:rsidR="00B835E9">
        <w:t>the workplace relation</w:t>
      </w:r>
      <w:r w:rsidR="005950FD">
        <w:t>s</w:t>
      </w:r>
      <w:r w:rsidR="00B835E9">
        <w:t xml:space="preserve"> system affects labour markets throughout Australia and can affect</w:t>
      </w:r>
      <w:r w:rsidR="0039067A">
        <w:t xml:space="preserve"> </w:t>
      </w:r>
      <w:r>
        <w:t>production costs and productivity</w:t>
      </w:r>
      <w:r w:rsidR="00B835E9">
        <w:t>, with</w:t>
      </w:r>
      <w:r>
        <w:t xml:space="preserve"> implications for Australia’s </w:t>
      </w:r>
      <w:r w:rsidR="00520EE8">
        <w:t xml:space="preserve">export </w:t>
      </w:r>
      <w:r w:rsidR="00B835E9">
        <w:t>capability</w:t>
      </w:r>
      <w:r>
        <w:t xml:space="preserve">. </w:t>
      </w:r>
    </w:p>
    <w:p w:rsidR="003F1D16" w:rsidRDefault="0035267F" w:rsidP="007A51B8">
      <w:pPr>
        <w:pStyle w:val="BodyText"/>
      </w:pPr>
      <w:r>
        <w:t xml:space="preserve">The Commission identified a host of (often modest) </w:t>
      </w:r>
      <w:r w:rsidR="00D6718F">
        <w:t>improvements</w:t>
      </w:r>
      <w:r>
        <w:t xml:space="preserve"> in the system. </w:t>
      </w:r>
      <w:r w:rsidR="00665DBD">
        <w:t>T</w:t>
      </w:r>
      <w:r>
        <w:t xml:space="preserve">he ones with the greatest implications for exports relate to the efficiency of </w:t>
      </w:r>
      <w:r w:rsidR="00D6718F">
        <w:t>enterprise</w:t>
      </w:r>
      <w:r>
        <w:t xml:space="preserve"> </w:t>
      </w:r>
      <w:r w:rsidR="00D6718F">
        <w:t>bargaining</w:t>
      </w:r>
      <w:r>
        <w:t>.</w:t>
      </w:r>
      <w:r w:rsidR="00520EE8">
        <w:rPr>
          <w:rStyle w:val="FootnoteReference"/>
        </w:rPr>
        <w:footnoteReference w:id="6"/>
      </w:r>
      <w:r>
        <w:t xml:space="preserve"> This is important to export industries as </w:t>
      </w:r>
      <w:r w:rsidR="00D6718F">
        <w:t xml:space="preserve">holdups in the </w:t>
      </w:r>
      <w:r w:rsidR="000E030F">
        <w:t>infrastructure</w:t>
      </w:r>
      <w:r w:rsidR="00D6718F">
        <w:t xml:space="preserve"> construction phase of a </w:t>
      </w:r>
      <w:r w:rsidR="000E030F">
        <w:t>large</w:t>
      </w:r>
      <w:r w:rsidR="00D6718F">
        <w:t xml:space="preserve"> </w:t>
      </w:r>
      <w:r w:rsidR="003F1D16">
        <w:t xml:space="preserve">new </w:t>
      </w:r>
      <w:r w:rsidR="00AF4A27">
        <w:t>capital</w:t>
      </w:r>
      <w:r w:rsidR="00552DA3">
        <w:noBreakHyphen/>
      </w:r>
      <w:r w:rsidR="00AF4A27">
        <w:t xml:space="preserve">intensive </w:t>
      </w:r>
      <w:r w:rsidR="00D6718F">
        <w:t xml:space="preserve">project </w:t>
      </w:r>
      <w:r w:rsidR="000E030F">
        <w:t xml:space="preserve">due to slow negotiations </w:t>
      </w:r>
      <w:r w:rsidR="003F1D16">
        <w:t xml:space="preserve">for a greenfields enterprise agreement </w:t>
      </w:r>
      <w:r w:rsidR="00D6718F">
        <w:t xml:space="preserve">can impose large costs on the resource industry. </w:t>
      </w:r>
    </w:p>
    <w:p w:rsidR="003F1D16" w:rsidRDefault="003F1D16" w:rsidP="003F1D16">
      <w:pPr>
        <w:pStyle w:val="BodyText"/>
      </w:pPr>
      <w:r>
        <w:t>The main concerns are that large capital</w:t>
      </w:r>
      <w:r w:rsidR="00552DA3">
        <w:noBreakHyphen/>
      </w:r>
      <w:r>
        <w:t>intensive projects require some certainty about the start date of the project to secure finance, to plan the project, and to more generally manage</w:t>
      </w:r>
      <w:r w:rsidR="005950FD">
        <w:t xml:space="preserve"> </w:t>
      </w:r>
      <w:r>
        <w:t>risk. Unions’</w:t>
      </w:r>
      <w:r w:rsidR="00566AD9">
        <w:t xml:space="preserve"> capacity to hold out in their </w:t>
      </w:r>
      <w:r>
        <w:t>negotiations provides them with potentially excessive bargaining power, and risks stripping some of the needed returns from inherently risky projects. Unlike other enterprise bargaining processes, the usual disciplines for speedy bargaining — the absence of pay increases for an existing workforce — are not present</w:t>
      </w:r>
      <w:r w:rsidR="005950FD">
        <w:t xml:space="preserve"> for greenfields developments</w:t>
      </w:r>
      <w:r>
        <w:t>.</w:t>
      </w:r>
    </w:p>
    <w:p w:rsidR="003F1D16" w:rsidRDefault="003F1D16" w:rsidP="003F1D16">
      <w:pPr>
        <w:pStyle w:val="BodyText"/>
      </w:pPr>
      <w:r>
        <w:t>Similarly, since resource projects often have enterprise agreements that lapse before completion of the extraction phase, this can also give disproportio</w:t>
      </w:r>
      <w:r w:rsidR="00566AD9">
        <w:t>nate bargaining power to unions</w:t>
      </w:r>
      <w:r>
        <w:t xml:space="preserve"> because the businesses have already undertaken large upfront and now sunk investments. The Commission made </w:t>
      </w:r>
      <w:r w:rsidR="00566AD9">
        <w:t>two</w:t>
      </w:r>
      <w:r>
        <w:t xml:space="preserve"> recommendations to address these problems:</w:t>
      </w:r>
    </w:p>
    <w:p w:rsidR="006776E7" w:rsidRDefault="006776E7" w:rsidP="00CC5504">
      <w:pPr>
        <w:pStyle w:val="ListBullet"/>
      </w:pPr>
      <w:r>
        <w:t>The Australian Government should amend the Fair Wor</w:t>
      </w:r>
      <w:r w:rsidR="00CC5504">
        <w:t xml:space="preserve">k Act 2009 (Cth) so that if an </w:t>
      </w:r>
      <w:r>
        <w:t>employer</w:t>
      </w:r>
      <w:r w:rsidR="00CC5504">
        <w:t xml:space="preserve"> </w:t>
      </w:r>
      <w:r>
        <w:t>and</w:t>
      </w:r>
      <w:r w:rsidR="00CC5504">
        <w:t xml:space="preserve"> </w:t>
      </w:r>
      <w:r>
        <w:t>union</w:t>
      </w:r>
      <w:r w:rsidR="00CC5504">
        <w:t xml:space="preserve"> </w:t>
      </w:r>
      <w:r>
        <w:t>have</w:t>
      </w:r>
      <w:r w:rsidR="00CC5504">
        <w:t xml:space="preserve"> </w:t>
      </w:r>
      <w:r>
        <w:t>not</w:t>
      </w:r>
      <w:r w:rsidR="00CC5504">
        <w:t xml:space="preserve"> </w:t>
      </w:r>
      <w:r>
        <w:t>reached</w:t>
      </w:r>
      <w:r w:rsidR="00CC5504">
        <w:t xml:space="preserve"> </w:t>
      </w:r>
      <w:r>
        <w:t>a</w:t>
      </w:r>
      <w:r w:rsidR="00CC5504">
        <w:t xml:space="preserve"> </w:t>
      </w:r>
      <w:r>
        <w:t>negotiated</w:t>
      </w:r>
      <w:r w:rsidR="00CC5504">
        <w:t xml:space="preserve"> </w:t>
      </w:r>
      <w:r>
        <w:t>outcome</w:t>
      </w:r>
      <w:r w:rsidR="00CC5504">
        <w:t xml:space="preserve"> </w:t>
      </w:r>
      <w:r>
        <w:t>for</w:t>
      </w:r>
      <w:r w:rsidR="00CC5504">
        <w:t xml:space="preserve"> </w:t>
      </w:r>
      <w:r>
        <w:t>a</w:t>
      </w:r>
      <w:r w:rsidR="00CC5504">
        <w:t xml:space="preserve"> greenfields </w:t>
      </w:r>
      <w:r>
        <w:t>agreement after t</w:t>
      </w:r>
      <w:r w:rsidR="00CC5504">
        <w:t xml:space="preserve">hree months, the employer may: (a) </w:t>
      </w:r>
      <w:r>
        <w:t>conti</w:t>
      </w:r>
      <w:r w:rsidR="00CC5504">
        <w:t xml:space="preserve">nue negotiating with the union (b) </w:t>
      </w:r>
      <w:r>
        <w:t>request</w:t>
      </w:r>
      <w:r w:rsidR="00CC5504">
        <w:t xml:space="preserve"> </w:t>
      </w:r>
      <w:r>
        <w:t>that</w:t>
      </w:r>
      <w:r w:rsidR="00CC5504">
        <w:t xml:space="preserve"> </w:t>
      </w:r>
      <w:r>
        <w:t>the</w:t>
      </w:r>
      <w:r w:rsidR="00CC5504">
        <w:t xml:space="preserve"> </w:t>
      </w:r>
      <w:r>
        <w:t>Fair</w:t>
      </w:r>
      <w:r w:rsidR="00CC5504">
        <w:t xml:space="preserve"> </w:t>
      </w:r>
      <w:r>
        <w:t>Work</w:t>
      </w:r>
      <w:r w:rsidR="00CC5504">
        <w:t xml:space="preserve"> </w:t>
      </w:r>
      <w:r>
        <w:t>Commission</w:t>
      </w:r>
      <w:r w:rsidR="00CC5504">
        <w:t xml:space="preserve"> </w:t>
      </w:r>
      <w:r>
        <w:t>undertake</w:t>
      </w:r>
      <w:r w:rsidR="00CC5504">
        <w:t xml:space="preserve"> </w:t>
      </w:r>
      <w:r>
        <w:t>‘last</w:t>
      </w:r>
      <w:r w:rsidR="00CC5504">
        <w:t xml:space="preserve"> </w:t>
      </w:r>
      <w:r>
        <w:t>offer’</w:t>
      </w:r>
      <w:r w:rsidR="00CC5504">
        <w:t xml:space="preserve"> </w:t>
      </w:r>
      <w:r>
        <w:t>arbitration</w:t>
      </w:r>
      <w:r w:rsidR="00CC5504">
        <w:t xml:space="preserve"> by </w:t>
      </w:r>
      <w:r>
        <w:t xml:space="preserve">choosing between the last offers made </w:t>
      </w:r>
      <w:r w:rsidR="00CC5504">
        <w:t xml:space="preserve">by the employer and the union (c) </w:t>
      </w:r>
      <w:r>
        <w:t>submit</w:t>
      </w:r>
      <w:r w:rsidR="00CC5504">
        <w:t xml:space="preserve"> </w:t>
      </w:r>
      <w:r>
        <w:t>the</w:t>
      </w:r>
      <w:r w:rsidR="00CC5504">
        <w:t xml:space="preserve"> </w:t>
      </w:r>
      <w:r>
        <w:t>employer’s</w:t>
      </w:r>
      <w:r w:rsidR="00CC5504">
        <w:t xml:space="preserve"> </w:t>
      </w:r>
      <w:r>
        <w:t>proposed</w:t>
      </w:r>
      <w:r w:rsidR="00CC5504">
        <w:t xml:space="preserve"> </w:t>
      </w:r>
      <w:r>
        <w:t>greenfields</w:t>
      </w:r>
      <w:r w:rsidR="00CC5504">
        <w:t xml:space="preserve"> </w:t>
      </w:r>
      <w:r>
        <w:t>arrangement</w:t>
      </w:r>
      <w:r w:rsidR="00CC5504">
        <w:t xml:space="preserve"> </w:t>
      </w:r>
      <w:r>
        <w:t>for</w:t>
      </w:r>
      <w:r w:rsidR="00CC5504">
        <w:t xml:space="preserve"> </w:t>
      </w:r>
      <w:r>
        <w:t>approval</w:t>
      </w:r>
      <w:r w:rsidR="00CC5504">
        <w:t xml:space="preserve"> </w:t>
      </w:r>
      <w:r>
        <w:t>with</w:t>
      </w:r>
      <w:r w:rsidR="00CC5504">
        <w:t xml:space="preserve"> a </w:t>
      </w:r>
      <w:r>
        <w:t>12 month nominal expiry date.</w:t>
      </w:r>
    </w:p>
    <w:p w:rsidR="00CC5504" w:rsidRDefault="00CC5504" w:rsidP="00CC5504">
      <w:pPr>
        <w:pStyle w:val="ListBullet"/>
      </w:pPr>
      <w:r>
        <w:t xml:space="preserve">The </w:t>
      </w:r>
      <w:r w:rsidR="00A56A09">
        <w:t>Fair Work Act</w:t>
      </w:r>
      <w:r>
        <w:t xml:space="preserve"> should give an employer the capacity to form an agreement whose duration matche</w:t>
      </w:r>
      <w:r w:rsidR="005950FD">
        <w:t>s</w:t>
      </w:r>
      <w:r>
        <w:t xml:space="preserve"> the life of the construction project.</w:t>
      </w:r>
    </w:p>
    <w:p w:rsidR="003769F2" w:rsidRDefault="00632FC0" w:rsidP="003F7847">
      <w:pPr>
        <w:pStyle w:val="Heading3"/>
      </w:pPr>
      <w:r>
        <w:lastRenderedPageBreak/>
        <w:t>Trade and Assistance Review 2016</w:t>
      </w:r>
      <w:r>
        <w:noBreakHyphen/>
        <w:t>17</w:t>
      </w:r>
    </w:p>
    <w:p w:rsidR="00632FC0" w:rsidRDefault="00632FC0" w:rsidP="00411B59">
      <w:pPr>
        <w:pStyle w:val="BodyText"/>
      </w:pPr>
      <w:r>
        <w:t xml:space="preserve">Much of this review covers older material subsequently addressed in the more </w:t>
      </w:r>
      <w:r w:rsidR="00411B59">
        <w:t>recent</w:t>
      </w:r>
      <w:r>
        <w:t xml:space="preserve"> review. </w:t>
      </w:r>
      <w:r w:rsidR="00411B59">
        <w:t>H</w:t>
      </w:r>
      <w:r>
        <w:t>owever, a unique aspect of the report was its treatment of the possible impa</w:t>
      </w:r>
      <w:r w:rsidR="00411B59">
        <w:t>cts of security measures on trade. Two issues were prominent:</w:t>
      </w:r>
    </w:p>
    <w:p w:rsidR="008C0D3E" w:rsidRDefault="008C0D3E" w:rsidP="004C23C5">
      <w:pPr>
        <w:pStyle w:val="BodyText"/>
      </w:pPr>
      <w:r>
        <w:t>The first concerns data</w:t>
      </w:r>
      <w:r w:rsidR="005950FD">
        <w:t xml:space="preserve"> </w:t>
      </w:r>
      <w:r>
        <w:t xml:space="preserve">localisation regulations, which require data centres to be in the home country. </w:t>
      </w:r>
      <w:r w:rsidR="00411B59">
        <w:t>While</w:t>
      </w:r>
      <w:r w:rsidR="005950FD">
        <w:t xml:space="preserve"> </w:t>
      </w:r>
      <w:r>
        <w:t xml:space="preserve">Australian </w:t>
      </w:r>
      <w:r w:rsidR="004C23C5">
        <w:t>regulations</w:t>
      </w:r>
      <w:r w:rsidR="00411B59">
        <w:t xml:space="preserve"> are</w:t>
      </w:r>
      <w:r w:rsidR="005950FD">
        <w:t xml:space="preserve"> </w:t>
      </w:r>
      <w:r w:rsidR="00411B59">
        <w:t>currently</w:t>
      </w:r>
      <w:r w:rsidR="005950FD">
        <w:t xml:space="preserve"> </w:t>
      </w:r>
      <w:r>
        <w:t>relatively narrowly applied</w:t>
      </w:r>
      <w:r w:rsidR="00411B59">
        <w:t>,</w:t>
      </w:r>
      <w:r w:rsidR="005950FD">
        <w:t xml:space="preserve"> </w:t>
      </w:r>
      <w:r w:rsidR="00411B59">
        <w:t xml:space="preserve">the international trend is towards tougher </w:t>
      </w:r>
      <w:r>
        <w:t xml:space="preserve">and broader </w:t>
      </w:r>
      <w:r w:rsidR="00411B59">
        <w:t>regimes. These restrictions limit the global transfer of digital information. They can undermine the global use of new</w:t>
      </w:r>
      <w:r w:rsidR="005950FD">
        <w:t xml:space="preserve"> </w:t>
      </w:r>
      <w:r w:rsidR="00411B59">
        <w:t>platforms,</w:t>
      </w:r>
      <w:r w:rsidR="005950FD">
        <w:t xml:space="preserve"> </w:t>
      </w:r>
      <w:r w:rsidR="00411B59">
        <w:t>and</w:t>
      </w:r>
      <w:r w:rsidR="005950FD">
        <w:t xml:space="preserve"> </w:t>
      </w:r>
      <w:r w:rsidR="00411B59">
        <w:t>force</w:t>
      </w:r>
      <w:r w:rsidR="005950FD">
        <w:t xml:space="preserve"> </w:t>
      </w:r>
      <w:r w:rsidR="00411B59">
        <w:t>businesses</w:t>
      </w:r>
      <w:r w:rsidR="005950FD">
        <w:t xml:space="preserve"> </w:t>
      </w:r>
      <w:r w:rsidR="00411B59">
        <w:t>to</w:t>
      </w:r>
      <w:r w:rsidR="005950FD">
        <w:t xml:space="preserve"> </w:t>
      </w:r>
      <w:r w:rsidR="00411B59">
        <w:t>use</w:t>
      </w:r>
      <w:r w:rsidR="005950FD">
        <w:t xml:space="preserve"> </w:t>
      </w:r>
      <w:r w:rsidR="00411B59">
        <w:t>costly</w:t>
      </w:r>
      <w:r w:rsidR="005950FD">
        <w:t xml:space="preserve"> </w:t>
      </w:r>
      <w:r w:rsidR="00411B59">
        <w:t>local</w:t>
      </w:r>
      <w:r w:rsidR="005950FD">
        <w:t xml:space="preserve"> </w:t>
      </w:r>
      <w:r w:rsidR="00411B59">
        <w:t>data</w:t>
      </w:r>
      <w:r w:rsidR="005950FD">
        <w:t xml:space="preserve"> </w:t>
      </w:r>
      <w:r w:rsidR="00411B59">
        <w:t>centres</w:t>
      </w:r>
      <w:r w:rsidR="005950FD">
        <w:t xml:space="preserve"> </w:t>
      </w:r>
      <w:r w:rsidR="00411B59">
        <w:t>when</w:t>
      </w:r>
      <w:r w:rsidR="005950FD">
        <w:t xml:space="preserve"> </w:t>
      </w:r>
      <w:r w:rsidR="00411B59">
        <w:t>lower</w:t>
      </w:r>
      <w:r w:rsidR="005950FD">
        <w:t xml:space="preserve"> </w:t>
      </w:r>
      <w:r w:rsidR="00411B59">
        <w:t>cost alternatives</w:t>
      </w:r>
      <w:r w:rsidR="005950FD">
        <w:t xml:space="preserve"> </w:t>
      </w:r>
      <w:r w:rsidR="00411B59">
        <w:t>exist</w:t>
      </w:r>
      <w:r w:rsidR="005950FD">
        <w:t xml:space="preserve"> </w:t>
      </w:r>
      <w:r w:rsidR="00411B59">
        <w:t>elsewhere.</w:t>
      </w:r>
      <w:r w:rsidR="005950FD">
        <w:t xml:space="preserve"> </w:t>
      </w:r>
      <w:r>
        <w:t>Data centres can cost tens of millions of dollars to duplicate, while d</w:t>
      </w:r>
      <w:r w:rsidR="004C23C5">
        <w:t xml:space="preserve">omestic data storage is not necessarily </w:t>
      </w:r>
      <w:r>
        <w:t>more secure than storage overseas</w:t>
      </w:r>
      <w:r w:rsidR="004C23C5">
        <w:t xml:space="preserve">. However, the worst impacts </w:t>
      </w:r>
      <w:r>
        <w:t xml:space="preserve">from data localisation </w:t>
      </w:r>
      <w:r w:rsidR="004C23C5">
        <w:t>stem from the effects on data flows and the services</w:t>
      </w:r>
      <w:r w:rsidR="005950FD">
        <w:t xml:space="preserve"> </w:t>
      </w:r>
      <w:r w:rsidR="004C23C5">
        <w:t>that</w:t>
      </w:r>
      <w:r w:rsidR="005950FD">
        <w:t xml:space="preserve"> </w:t>
      </w:r>
      <w:r w:rsidR="004C23C5">
        <w:t>use</w:t>
      </w:r>
      <w:r w:rsidR="005950FD">
        <w:t xml:space="preserve"> </w:t>
      </w:r>
      <w:r w:rsidR="004C23C5">
        <w:t>them.</w:t>
      </w:r>
      <w:r w:rsidR="005950FD">
        <w:t xml:space="preserve"> </w:t>
      </w:r>
      <w:r w:rsidR="004C23C5">
        <w:t>For</w:t>
      </w:r>
      <w:r w:rsidR="005950FD">
        <w:t xml:space="preserve"> </w:t>
      </w:r>
      <w:r w:rsidR="004C23C5">
        <w:t>instance, it has been estimated that liberalisation</w:t>
      </w:r>
      <w:r w:rsidR="005950FD">
        <w:t xml:space="preserve"> </w:t>
      </w:r>
      <w:r w:rsidR="004C23C5">
        <w:t>of</w:t>
      </w:r>
      <w:r w:rsidR="005950FD">
        <w:t xml:space="preserve"> </w:t>
      </w:r>
      <w:r w:rsidR="004C23C5">
        <w:t>even the existing</w:t>
      </w:r>
      <w:r w:rsidR="005950FD">
        <w:t xml:space="preserve"> </w:t>
      </w:r>
      <w:r w:rsidR="004C23C5">
        <w:t>data</w:t>
      </w:r>
      <w:r w:rsidR="005950FD">
        <w:t xml:space="preserve"> </w:t>
      </w:r>
      <w:r w:rsidR="004C23C5">
        <w:t xml:space="preserve">localisation measures in the European Union would directly increase the </w:t>
      </w:r>
      <w:r w:rsidR="00013267">
        <w:t xml:space="preserve">GDP </w:t>
      </w:r>
      <w:r w:rsidR="004C23C5">
        <w:t xml:space="preserve">of most member states by around between 0.01 and 1.1 per cent depending on the country. The problems associated with measures that affect data portability or the charges for its storage and transmission is that the costs percolate throughout economies given the increasing use of data in all sectors. </w:t>
      </w:r>
      <w:r w:rsidR="00A56A09">
        <w:t>The</w:t>
      </w:r>
      <w:r w:rsidR="00E328F9">
        <w:t xml:space="preserve"> </w:t>
      </w:r>
      <w:r w:rsidR="00E328F9" w:rsidRPr="006A2F92">
        <w:rPr>
          <w:i/>
        </w:rPr>
        <w:t xml:space="preserve">Growing the </w:t>
      </w:r>
      <w:r w:rsidR="006A2F92" w:rsidRPr="006A2F92">
        <w:rPr>
          <w:i/>
        </w:rPr>
        <w:t>D</w:t>
      </w:r>
      <w:r w:rsidR="00E328F9" w:rsidRPr="006A2F92">
        <w:rPr>
          <w:i/>
        </w:rPr>
        <w:t>igital Economy</w:t>
      </w:r>
      <w:r w:rsidR="00E328F9">
        <w:t xml:space="preserve"> report </w:t>
      </w:r>
      <w:r w:rsidR="005950FD">
        <w:t xml:space="preserve">(above) </w:t>
      </w:r>
      <w:r w:rsidR="00E328F9">
        <w:t>recognised this issue for digital services and data transfer between Australia and New Zealand.</w:t>
      </w:r>
    </w:p>
    <w:p w:rsidR="00411B59" w:rsidRDefault="00411B59" w:rsidP="004C23C5">
      <w:pPr>
        <w:pStyle w:val="BodyText"/>
      </w:pPr>
      <w:r>
        <w:t>The</w:t>
      </w:r>
      <w:r w:rsidR="005950FD">
        <w:t xml:space="preserve"> </w:t>
      </w:r>
      <w:r>
        <w:t>lesson</w:t>
      </w:r>
      <w:r w:rsidR="005950FD">
        <w:t xml:space="preserve"> </w:t>
      </w:r>
      <w:r>
        <w:t>for</w:t>
      </w:r>
      <w:r w:rsidR="005950FD">
        <w:t xml:space="preserve"> </w:t>
      </w:r>
      <w:r>
        <w:t>Australia</w:t>
      </w:r>
      <w:r w:rsidR="005950FD">
        <w:t xml:space="preserve"> </w:t>
      </w:r>
      <w:r>
        <w:t>is</w:t>
      </w:r>
      <w:r w:rsidR="005950FD">
        <w:t xml:space="preserve"> </w:t>
      </w:r>
      <w:r>
        <w:t>to</w:t>
      </w:r>
      <w:r w:rsidR="005950FD">
        <w:t xml:space="preserve"> </w:t>
      </w:r>
      <w:r>
        <w:t>avoid</w:t>
      </w:r>
      <w:r w:rsidR="005950FD">
        <w:t xml:space="preserve"> </w:t>
      </w:r>
      <w:r>
        <w:t>data</w:t>
      </w:r>
      <w:r w:rsidR="005950FD">
        <w:t xml:space="preserve"> </w:t>
      </w:r>
      <w:r>
        <w:t>nationalism</w:t>
      </w:r>
      <w:r w:rsidR="005950FD">
        <w:t xml:space="preserve"> </w:t>
      </w:r>
      <w:r>
        <w:t>and</w:t>
      </w:r>
      <w:r w:rsidR="00DF4E1A">
        <w:t xml:space="preserve"> to </w:t>
      </w:r>
      <w:r>
        <w:t>help</w:t>
      </w:r>
      <w:r w:rsidR="005950FD">
        <w:t xml:space="preserve"> </w:t>
      </w:r>
      <w:r>
        <w:t>craft</w:t>
      </w:r>
      <w:r w:rsidR="005950FD">
        <w:t xml:space="preserve"> </w:t>
      </w:r>
      <w:r>
        <w:t>higher</w:t>
      </w:r>
      <w:r w:rsidR="005950FD">
        <w:t xml:space="preserve"> </w:t>
      </w:r>
      <w:r>
        <w:t>confidence via</w:t>
      </w:r>
      <w:r w:rsidR="005950FD">
        <w:t xml:space="preserve"> </w:t>
      </w:r>
      <w:r>
        <w:t>international</w:t>
      </w:r>
      <w:r w:rsidR="005950FD">
        <w:t xml:space="preserve"> </w:t>
      </w:r>
      <w:r>
        <w:t>agreements</w:t>
      </w:r>
      <w:r w:rsidR="005950FD">
        <w:t xml:space="preserve"> </w:t>
      </w:r>
      <w:r>
        <w:t>and cooperation that address security and concerns, while making full use of data</w:t>
      </w:r>
      <w:r w:rsidR="004C23C5">
        <w:t>.</w:t>
      </w:r>
    </w:p>
    <w:p w:rsidR="00411B59" w:rsidRDefault="00E328F9" w:rsidP="00411B59">
      <w:pPr>
        <w:pStyle w:val="BodyText"/>
      </w:pPr>
      <w:r>
        <w:t>A second</w:t>
      </w:r>
      <w:r w:rsidR="006A2F92">
        <w:t xml:space="preserve"> issue is a</w:t>
      </w:r>
      <w:r w:rsidR="00411B59">
        <w:t>irport security</w:t>
      </w:r>
      <w:r w:rsidR="006A2F92">
        <w:t>.</w:t>
      </w:r>
      <w:r w:rsidR="00411B59">
        <w:t xml:space="preserve"> </w:t>
      </w:r>
      <w:r w:rsidR="0050539E">
        <w:t>Regulations</w:t>
      </w:r>
      <w:r w:rsidR="00411B59">
        <w:t xml:space="preserve"> and government outlays that help promote aviation security are critical</w:t>
      </w:r>
      <w:r w:rsidR="006A2F92">
        <w:t xml:space="preserve"> — not just because of their human </w:t>
      </w:r>
      <w:r w:rsidR="0050539E">
        <w:t>safety</w:t>
      </w:r>
      <w:r w:rsidR="006A2F92">
        <w:t xml:space="preserve"> benefits but because of the damaging consequences to </w:t>
      </w:r>
      <w:r w:rsidR="0050539E">
        <w:t>commerce from any major incident</w:t>
      </w:r>
      <w:r w:rsidR="00411B59">
        <w:t xml:space="preserve">. However, such measures raise the costs of passenger travel and accordingly </w:t>
      </w:r>
      <w:r w:rsidR="00DF4E1A">
        <w:t>have their own adverse effects</w:t>
      </w:r>
      <w:r w:rsidR="005950FD">
        <w:t xml:space="preserve"> </w:t>
      </w:r>
      <w:r w:rsidR="00DF4E1A">
        <w:t xml:space="preserve">on </w:t>
      </w:r>
      <w:r w:rsidR="00411B59">
        <w:t>trade</w:t>
      </w:r>
      <w:r w:rsidR="005950FD">
        <w:t xml:space="preserve"> </w:t>
      </w:r>
      <w:r w:rsidR="00411B59">
        <w:t>in</w:t>
      </w:r>
      <w:r w:rsidR="005950FD">
        <w:t xml:space="preserve"> </w:t>
      </w:r>
      <w:r w:rsidR="00411B59">
        <w:t>services</w:t>
      </w:r>
      <w:r w:rsidR="005950FD">
        <w:t xml:space="preserve"> </w:t>
      </w:r>
      <w:r w:rsidR="00411B59">
        <w:t>(such</w:t>
      </w:r>
      <w:r w:rsidR="005950FD">
        <w:t xml:space="preserve"> </w:t>
      </w:r>
      <w:r w:rsidR="00411B59">
        <w:t>as</w:t>
      </w:r>
      <w:r w:rsidR="005950FD">
        <w:t xml:space="preserve"> </w:t>
      </w:r>
      <w:r w:rsidR="00411B59">
        <w:t>tourism),</w:t>
      </w:r>
      <w:r w:rsidR="005950FD">
        <w:t xml:space="preserve"> </w:t>
      </w:r>
      <w:r w:rsidR="00411B59">
        <w:t>and</w:t>
      </w:r>
      <w:r w:rsidR="005950FD">
        <w:t xml:space="preserve"> </w:t>
      </w:r>
      <w:r w:rsidR="00411B59">
        <w:t>impose</w:t>
      </w:r>
      <w:r w:rsidR="005950FD">
        <w:t xml:space="preserve"> </w:t>
      </w:r>
      <w:r w:rsidR="00411B59">
        <w:t>inconvenience</w:t>
      </w:r>
      <w:r w:rsidR="005950FD">
        <w:t xml:space="preserve"> </w:t>
      </w:r>
      <w:r w:rsidR="00411B59">
        <w:t>—</w:t>
      </w:r>
      <w:r w:rsidR="005950FD">
        <w:t xml:space="preserve"> </w:t>
      </w:r>
      <w:r w:rsidR="00411B59">
        <w:t>impacts</w:t>
      </w:r>
      <w:r w:rsidR="005950FD">
        <w:t xml:space="preserve"> </w:t>
      </w:r>
      <w:r w:rsidR="00411B59">
        <w:t>that governments should consider when introducing security measures.</w:t>
      </w:r>
      <w:r w:rsidR="00E817D7">
        <w:t xml:space="preserve"> </w:t>
      </w:r>
      <w:r w:rsidR="0050539E">
        <w:t xml:space="preserve">The concern is to ensure that the process for determining new security regulations and </w:t>
      </w:r>
      <w:r w:rsidR="00DF4E1A">
        <w:t>associated</w:t>
      </w:r>
      <w:r w:rsidR="0050539E">
        <w:t xml:space="preserve"> budgetary measures is</w:t>
      </w:r>
      <w:r w:rsidR="00DF4E1A">
        <w:t xml:space="preserve"> </w:t>
      </w:r>
      <w:r w:rsidR="0050539E">
        <w:t>evidence</w:t>
      </w:r>
      <w:r w:rsidR="0050539E">
        <w:noBreakHyphen/>
        <w:t>based, reflects consultation with the parties most directly affected (airports and airlines — both of which have very strong commercial and reputational grounds to avoid security problems)</w:t>
      </w:r>
      <w:r w:rsidR="00DF4E1A">
        <w:t>,</w:t>
      </w:r>
      <w:r w:rsidR="0050539E">
        <w:t xml:space="preserve"> and achieves good outcomes at least cost. At the time of its examination of the issues, this was not always the case.</w:t>
      </w:r>
      <w:r w:rsidR="005950FD">
        <w:t xml:space="preserve"> </w:t>
      </w:r>
    </w:p>
    <w:p w:rsidR="00632FC0" w:rsidRDefault="003F7847" w:rsidP="003F7847">
      <w:pPr>
        <w:pStyle w:val="Heading3"/>
      </w:pPr>
      <w:r>
        <w:t>Services Exports 2015</w:t>
      </w:r>
    </w:p>
    <w:p w:rsidR="003F7847" w:rsidRDefault="003F7847" w:rsidP="00C8368C">
      <w:pPr>
        <w:pStyle w:val="BodyText"/>
      </w:pPr>
      <w:r>
        <w:t xml:space="preserve">Many of the key messages from this report echo those above, but the </w:t>
      </w:r>
      <w:r w:rsidR="00C8368C">
        <w:t>central one</w:t>
      </w:r>
      <w:r>
        <w:t xml:space="preserve"> is that </w:t>
      </w:r>
      <w:r w:rsidR="00C8368C">
        <w:t>the priority should be ‘domestic</w:t>
      </w:r>
      <w:r w:rsidR="005950FD">
        <w:t xml:space="preserve"> </w:t>
      </w:r>
      <w:r w:rsidR="00C8368C">
        <w:t>policy</w:t>
      </w:r>
      <w:r w:rsidR="005950FD">
        <w:t xml:space="preserve"> </w:t>
      </w:r>
      <w:r w:rsidR="00C8368C">
        <w:t>reform</w:t>
      </w:r>
      <w:r w:rsidR="005950FD">
        <w:t xml:space="preserve"> </w:t>
      </w:r>
      <w:r w:rsidR="00C8368C">
        <w:t>that</w:t>
      </w:r>
      <w:r w:rsidR="005950FD">
        <w:t xml:space="preserve"> </w:t>
      </w:r>
      <w:r w:rsidR="00C8368C">
        <w:t>promotes competition and provides incentives for firms to innovate and lift their productivity’.</w:t>
      </w:r>
    </w:p>
    <w:p w:rsidR="00417125" w:rsidRDefault="00417125" w:rsidP="003769F2">
      <w:pPr>
        <w:pStyle w:val="BodyText"/>
      </w:pPr>
      <w:r>
        <w:t>T</w:t>
      </w:r>
      <w:r w:rsidR="00C8368C">
        <w:t xml:space="preserve">he report raised </w:t>
      </w:r>
      <w:r>
        <w:t>several specific issues not already discussed above:</w:t>
      </w:r>
    </w:p>
    <w:p w:rsidR="00417125" w:rsidRDefault="00417125" w:rsidP="00916D18">
      <w:pPr>
        <w:pStyle w:val="ListBullet"/>
      </w:pPr>
      <w:r w:rsidRPr="00417125">
        <w:lastRenderedPageBreak/>
        <w:t>liberalising air services arrangements</w:t>
      </w:r>
      <w:r>
        <w:t xml:space="preserve"> (noting that the Department of </w:t>
      </w:r>
      <w:r w:rsidR="00B66AF0">
        <w:t>Infrastructure</w:t>
      </w:r>
      <w:r>
        <w:t xml:space="preserve">, Regional </w:t>
      </w:r>
      <w:r w:rsidR="00B66AF0">
        <w:t>Development</w:t>
      </w:r>
      <w:r>
        <w:t xml:space="preserve"> and Cities has worked with several countries to </w:t>
      </w:r>
      <w:r w:rsidR="00B66AF0">
        <w:t>introduce</w:t>
      </w:r>
      <w:r>
        <w:t xml:space="preserve"> or modify agreements </w:t>
      </w:r>
      <w:r w:rsidR="00E817D7">
        <w:t xml:space="preserve">— DIRDC </w:t>
      </w:r>
      <w:r>
        <w:t xml:space="preserve">2018, </w:t>
      </w:r>
      <w:r w:rsidR="00E817D7">
        <w:t>p. 85)</w:t>
      </w:r>
    </w:p>
    <w:p w:rsidR="00417125" w:rsidRDefault="00417125" w:rsidP="00916D18">
      <w:pPr>
        <w:pStyle w:val="ListBullet"/>
      </w:pPr>
      <w:r>
        <w:t xml:space="preserve">simplifying Australia’s regime of withholding taxes through greater uniformity in the rate applied to different types of investment and reducing the range of exemptions </w:t>
      </w:r>
    </w:p>
    <w:p w:rsidR="00E817D7" w:rsidRDefault="00417125" w:rsidP="00916D18">
      <w:pPr>
        <w:pStyle w:val="ListBullet"/>
      </w:pPr>
      <w:r>
        <w:t>implementing</w:t>
      </w:r>
      <w:r w:rsidR="005950FD">
        <w:t xml:space="preserve"> </w:t>
      </w:r>
      <w:r>
        <w:t>consistent</w:t>
      </w:r>
      <w:r w:rsidR="005950FD">
        <w:t xml:space="preserve"> </w:t>
      </w:r>
      <w:r>
        <w:t>screening</w:t>
      </w:r>
      <w:r w:rsidR="005950FD">
        <w:t xml:space="preserve"> </w:t>
      </w:r>
      <w:r>
        <w:t>thresholds</w:t>
      </w:r>
      <w:r w:rsidR="005950FD">
        <w:t xml:space="preserve"> </w:t>
      </w:r>
      <w:r>
        <w:t>for</w:t>
      </w:r>
      <w:r w:rsidR="005950FD">
        <w:t xml:space="preserve"> </w:t>
      </w:r>
      <w:r>
        <w:t>Foreign</w:t>
      </w:r>
      <w:r w:rsidR="005950FD">
        <w:t xml:space="preserve"> </w:t>
      </w:r>
      <w:r>
        <w:t>Investment</w:t>
      </w:r>
      <w:r w:rsidR="005950FD">
        <w:t xml:space="preserve"> </w:t>
      </w:r>
      <w:r>
        <w:t>Review</w:t>
      </w:r>
      <w:r w:rsidR="005950FD">
        <w:t xml:space="preserve"> </w:t>
      </w:r>
      <w:r w:rsidR="00E817D7">
        <w:t xml:space="preserve">Board </w:t>
      </w:r>
      <w:r>
        <w:t>examination of foreign investment proposals across inv</w:t>
      </w:r>
      <w:r w:rsidR="00E817D7">
        <w:t>esto</w:t>
      </w:r>
      <w:r w:rsidR="005950FD">
        <w:t>rs from different countries (an</w:t>
      </w:r>
      <w:r w:rsidR="00E817D7">
        <w:t xml:space="preserve"> issue that may be relevant to the Commission’s consideration of FDI in the 2018</w:t>
      </w:r>
      <w:r w:rsidR="00E817D7">
        <w:noBreakHyphen/>
        <w:t>19 Trade and Assistance Review)</w:t>
      </w:r>
    </w:p>
    <w:p w:rsidR="00B02C4B" w:rsidRDefault="00103124" w:rsidP="00916D18">
      <w:pPr>
        <w:pStyle w:val="ListBullet"/>
      </w:pPr>
      <w:r>
        <w:t>visa arrangements for foreign students wishing to study in Australia, which had some perverse consequences at the time of the report.</w:t>
      </w:r>
      <w:r w:rsidR="00602DF7">
        <w:rPr>
          <w:rStyle w:val="FootnoteReference"/>
        </w:rPr>
        <w:footnoteReference w:id="7"/>
      </w:r>
      <w:r>
        <w:t xml:space="preserve"> The Australian Government has since introduced significant changes through the ‘Simplified Student Visa Framework’</w:t>
      </w:r>
    </w:p>
    <w:p w:rsidR="00103124" w:rsidRDefault="00B02C4B" w:rsidP="00916D18">
      <w:pPr>
        <w:pStyle w:val="ListBullet"/>
      </w:pPr>
      <w:r>
        <w:t>the importance of information to guide international students to high quality courses that match their aptitude and preferences</w:t>
      </w:r>
      <w:r w:rsidR="00664C26">
        <w:t>, and more generally, the need to ensure that this significant source of export revenue is underpinned by a quality service</w:t>
      </w:r>
      <w:r>
        <w:t xml:space="preserve">. The Australian Government has spent additional resources since this report to improve the </w:t>
      </w:r>
      <w:r w:rsidRPr="00B02C4B">
        <w:t>Quality Indicators for Learning and Teaching (QILT)</w:t>
      </w:r>
      <w:r>
        <w:t xml:space="preserve"> and its dissemination.</w:t>
      </w:r>
      <w:r w:rsidR="00103124">
        <w:t xml:space="preserve"> </w:t>
      </w:r>
      <w:r w:rsidR="00664C26">
        <w:t xml:space="preserve">It has also undertaken a review of the Australian </w:t>
      </w:r>
      <w:r w:rsidR="00602DF7">
        <w:t>Qualification</w:t>
      </w:r>
      <w:r w:rsidR="00664C26">
        <w:t xml:space="preserve"> Framework, due for release in September 2019</w:t>
      </w:r>
    </w:p>
    <w:p w:rsidR="003F7847" w:rsidRDefault="00EE6E3A" w:rsidP="00916D18">
      <w:pPr>
        <w:pStyle w:val="ListBullet"/>
      </w:pPr>
      <w:r>
        <w:t xml:space="preserve">while some </w:t>
      </w:r>
      <w:r w:rsidR="003E4B2A">
        <w:t xml:space="preserve">government export assistance programs </w:t>
      </w:r>
      <w:r>
        <w:t>had a compelling rationale, the case has not been strongly demonstrated for all programs (</w:t>
      </w:r>
      <w:r w:rsidR="00552DA3">
        <w:t>p</w:t>
      </w:r>
      <w:r>
        <w:t>p. 116</w:t>
      </w:r>
      <w:r w:rsidR="00552DA3">
        <w:t>–</w:t>
      </w:r>
      <w:r>
        <w:t>130)</w:t>
      </w:r>
    </w:p>
    <w:p w:rsidR="00EE6E3A" w:rsidRDefault="00EE6E3A" w:rsidP="00916D18">
      <w:pPr>
        <w:pStyle w:val="ListBullet"/>
      </w:pPr>
      <w:r>
        <w:t xml:space="preserve">the importance of reducing services trade restrictiveness, noting that while Australia imposes relatively limited </w:t>
      </w:r>
      <w:r w:rsidR="005950FD">
        <w:t>restrictions</w:t>
      </w:r>
      <w:r>
        <w:t xml:space="preserve">, this was not true </w:t>
      </w:r>
      <w:r w:rsidRPr="00EE6E3A">
        <w:rPr>
          <w:i/>
        </w:rPr>
        <w:t>at the time</w:t>
      </w:r>
      <w:r>
        <w:t xml:space="preserve"> for a variety of other countries and particularly China, India, Indonesia and Turkey. </w:t>
      </w:r>
    </w:p>
    <w:p w:rsidR="001C0AED" w:rsidRDefault="00A33DFF" w:rsidP="00120072">
      <w:pPr>
        <w:pStyle w:val="BodyText"/>
      </w:pPr>
      <w:r>
        <w:br w:type="page"/>
      </w:r>
    </w:p>
    <w:p w:rsidR="00D434A0" w:rsidRDefault="00E01FB3" w:rsidP="00E01FB3">
      <w:pPr>
        <w:pStyle w:val="Heading3"/>
      </w:pPr>
      <w:r>
        <w:lastRenderedPageBreak/>
        <w:t>References</w:t>
      </w:r>
    </w:p>
    <w:p w:rsidR="00E01FB3" w:rsidRDefault="00E01FB3" w:rsidP="00D04431">
      <w:pPr>
        <w:pStyle w:val="Reference"/>
      </w:pPr>
      <w:r>
        <w:t>DAWR (</w:t>
      </w:r>
      <w:r w:rsidR="00E94B78">
        <w:t>D</w:t>
      </w:r>
      <w:r>
        <w:t xml:space="preserve">epartment of Agriculture and water Resources), 2018, </w:t>
      </w:r>
      <w:r w:rsidRPr="00E01FB3">
        <w:rPr>
          <w:i/>
        </w:rPr>
        <w:t>Australian Fisheries and Aquaculture Statistics 2017</w:t>
      </w:r>
      <w:r>
        <w:t>, December.</w:t>
      </w:r>
    </w:p>
    <w:p w:rsidR="00417125" w:rsidRDefault="00417125" w:rsidP="00D04431">
      <w:pPr>
        <w:pStyle w:val="Reference"/>
      </w:pPr>
      <w:r>
        <w:t xml:space="preserve">DIRDC (Department of Infrastructure, Regional Development and Cities), </w:t>
      </w:r>
      <w:r w:rsidRPr="00417125">
        <w:rPr>
          <w:i/>
        </w:rPr>
        <w:t>Annual Report 2017</w:t>
      </w:r>
      <w:r w:rsidRPr="00417125">
        <w:rPr>
          <w:i/>
        </w:rPr>
        <w:noBreakHyphen/>
        <w:t>18</w:t>
      </w:r>
      <w:r>
        <w:t>, Australian Government, Canberra.</w:t>
      </w:r>
    </w:p>
    <w:p w:rsidR="005950FD" w:rsidRDefault="005950FD" w:rsidP="00D04431">
      <w:pPr>
        <w:pStyle w:val="Reference"/>
      </w:pPr>
      <w:r w:rsidRPr="005950FD">
        <w:t xml:space="preserve">PC </w:t>
      </w:r>
      <w:r>
        <w:t xml:space="preserve">(Productivity Commission) 2012, </w:t>
      </w:r>
      <w:r w:rsidRPr="007A7C5E">
        <w:rPr>
          <w:i/>
        </w:rPr>
        <w:t>Australia’s Export Credit Arrangements</w:t>
      </w:r>
      <w:r>
        <w:t xml:space="preserve">, </w:t>
      </w:r>
      <w:r w:rsidR="00484DF5">
        <w:t>Report</w:t>
      </w:r>
      <w:r w:rsidR="00552DA3">
        <w:t xml:space="preserve"> </w:t>
      </w:r>
      <w:r w:rsidR="00484DF5">
        <w:t>No. </w:t>
      </w:r>
      <w:r>
        <w:t>58, Canberra.</w:t>
      </w:r>
    </w:p>
    <w:p w:rsidR="00484DF5" w:rsidRDefault="00484DF5" w:rsidP="00D04431">
      <w:pPr>
        <w:pStyle w:val="Reference"/>
      </w:pPr>
      <w:r>
        <w:t xml:space="preserve">____ </w:t>
      </w:r>
      <w:r w:rsidRPr="005950FD">
        <w:t xml:space="preserve">2015, </w:t>
      </w:r>
      <w:r w:rsidRPr="00CA6964">
        <w:rPr>
          <w:i/>
        </w:rPr>
        <w:t>International Education Services</w:t>
      </w:r>
      <w:r w:rsidRPr="005950FD">
        <w:t>, Commission Research Paper, Canberra</w:t>
      </w:r>
      <w:r>
        <w:t>.</w:t>
      </w:r>
    </w:p>
    <w:p w:rsidR="005D714C" w:rsidRDefault="00484DF5" w:rsidP="00D04431">
      <w:pPr>
        <w:pStyle w:val="Reference"/>
      </w:pPr>
      <w:r>
        <w:t xml:space="preserve">____ </w:t>
      </w:r>
      <w:r w:rsidR="005D714C">
        <w:t xml:space="preserve">2015, </w:t>
      </w:r>
      <w:r w:rsidR="00BE1617" w:rsidRPr="00BE1617">
        <w:rPr>
          <w:i/>
        </w:rPr>
        <w:t>Barriers to Growth in Service Exports</w:t>
      </w:r>
      <w:r w:rsidR="00BE1617" w:rsidRPr="00BE1617">
        <w:t>, Research Report, Canberra</w:t>
      </w:r>
      <w:r w:rsidR="00BE1617">
        <w:t>.</w:t>
      </w:r>
    </w:p>
    <w:p w:rsidR="005D714C" w:rsidRDefault="00484DF5" w:rsidP="00D04431">
      <w:pPr>
        <w:pStyle w:val="Reference"/>
      </w:pPr>
      <w:r>
        <w:t xml:space="preserve">____ </w:t>
      </w:r>
      <w:r w:rsidR="005D714C">
        <w:t xml:space="preserve">2015 </w:t>
      </w:r>
      <w:r w:rsidR="00BE1617" w:rsidRPr="00BE1617">
        <w:rPr>
          <w:i/>
        </w:rPr>
        <w:t>Workplace Relations Framework</w:t>
      </w:r>
      <w:r w:rsidR="00BE1617" w:rsidRPr="00BE1617">
        <w:t>, Final Report, Canberra</w:t>
      </w:r>
      <w:r w:rsidR="00BE1617">
        <w:t>.</w:t>
      </w:r>
    </w:p>
    <w:p w:rsidR="00A171EB" w:rsidRDefault="00484DF5" w:rsidP="00D04431">
      <w:pPr>
        <w:pStyle w:val="Reference"/>
      </w:pPr>
      <w:r>
        <w:t>____</w:t>
      </w:r>
      <w:r w:rsidRPr="00C95B22">
        <w:t xml:space="preserve"> </w:t>
      </w:r>
      <w:r w:rsidR="00A171EB" w:rsidRPr="00C95B22">
        <w:t>2016,</w:t>
      </w:r>
      <w:r w:rsidR="00A171EB">
        <w:rPr>
          <w:i/>
        </w:rPr>
        <w:t xml:space="preserve"> Marine Fisheries and </w:t>
      </w:r>
      <w:r w:rsidR="00A171EB" w:rsidRPr="007A7C5E">
        <w:rPr>
          <w:i/>
        </w:rPr>
        <w:t>Aquaculture</w:t>
      </w:r>
      <w:r w:rsidR="00A171EB" w:rsidRPr="007A7C5E">
        <w:t>, Final Report, Canberra.</w:t>
      </w:r>
    </w:p>
    <w:p w:rsidR="00C95B22" w:rsidRDefault="00C95B22" w:rsidP="00D04431">
      <w:pPr>
        <w:pStyle w:val="Reference"/>
      </w:pPr>
      <w:r>
        <w:t xml:space="preserve">____ </w:t>
      </w:r>
      <w:r w:rsidRPr="00C95B22">
        <w:t xml:space="preserve">2016 </w:t>
      </w:r>
      <w:r w:rsidRPr="00C95B22">
        <w:rPr>
          <w:i/>
        </w:rPr>
        <w:t>Digital Disruption: What do governments need to do?</w:t>
      </w:r>
      <w:r w:rsidRPr="00C95B22">
        <w:t>, Commission Research Paper, Canberra</w:t>
      </w:r>
      <w:r>
        <w:t>.</w:t>
      </w:r>
    </w:p>
    <w:p w:rsidR="00B63F3F" w:rsidRPr="007A7C5E" w:rsidRDefault="00484DF5" w:rsidP="00D04431">
      <w:pPr>
        <w:pStyle w:val="Reference"/>
      </w:pPr>
      <w:r>
        <w:t xml:space="preserve">____ </w:t>
      </w:r>
      <w:r w:rsidR="00B63F3F" w:rsidRPr="00B63F3F">
        <w:t xml:space="preserve">2016, </w:t>
      </w:r>
      <w:r w:rsidR="00B63F3F" w:rsidRPr="00B63F3F">
        <w:rPr>
          <w:i/>
        </w:rPr>
        <w:t>Intellectual Property Arrangements</w:t>
      </w:r>
      <w:r w:rsidR="00B63F3F" w:rsidRPr="00B63F3F">
        <w:t>, Inquiry Report No. 78, Canberra.</w:t>
      </w:r>
    </w:p>
    <w:p w:rsidR="005D781F" w:rsidRDefault="00484DF5" w:rsidP="00D04431">
      <w:pPr>
        <w:pStyle w:val="Reference"/>
      </w:pPr>
      <w:r>
        <w:t xml:space="preserve">____ </w:t>
      </w:r>
      <w:r w:rsidR="005D781F">
        <w:t xml:space="preserve">2017, </w:t>
      </w:r>
      <w:r w:rsidR="005D781F" w:rsidRPr="00BE1617">
        <w:rPr>
          <w:i/>
        </w:rPr>
        <w:t>Shifting the Dial</w:t>
      </w:r>
      <w:r w:rsidR="00BE1617" w:rsidRPr="00BE1617">
        <w:rPr>
          <w:i/>
        </w:rPr>
        <w:t>, 5 Year Productivity Review</w:t>
      </w:r>
      <w:r w:rsidR="00BE1617">
        <w:t>, Report No. 84, Canberra</w:t>
      </w:r>
      <w:r w:rsidR="00C95B22">
        <w:t>.</w:t>
      </w:r>
    </w:p>
    <w:p w:rsidR="00BE1617" w:rsidRDefault="00484DF5" w:rsidP="00D04431">
      <w:pPr>
        <w:pStyle w:val="Reference"/>
      </w:pPr>
      <w:r w:rsidRPr="00C95B22">
        <w:t>____</w:t>
      </w:r>
      <w:r w:rsidR="00C95B22" w:rsidRPr="00C95B22">
        <w:t xml:space="preserve"> </w:t>
      </w:r>
      <w:r w:rsidR="00BE1617" w:rsidRPr="00C95B22">
        <w:t>2017</w:t>
      </w:r>
      <w:r w:rsidR="00BE1617">
        <w:t xml:space="preserve">, </w:t>
      </w:r>
      <w:r w:rsidR="00BE1617" w:rsidRPr="00BE1617">
        <w:rPr>
          <w:i/>
        </w:rPr>
        <w:t>Rising</w:t>
      </w:r>
      <w:r w:rsidR="00BE1617">
        <w:rPr>
          <w:i/>
        </w:rPr>
        <w:t xml:space="preserve"> P</w:t>
      </w:r>
      <w:r w:rsidR="00BE1617" w:rsidRPr="00BE1617">
        <w:rPr>
          <w:i/>
        </w:rPr>
        <w:t xml:space="preserve">rotectionism: </w:t>
      </w:r>
      <w:r w:rsidR="00BE1617">
        <w:rPr>
          <w:i/>
        </w:rPr>
        <w:t>C</w:t>
      </w:r>
      <w:r w:rsidR="00BE1617" w:rsidRPr="00BE1617">
        <w:rPr>
          <w:i/>
        </w:rPr>
        <w:t xml:space="preserve">hallenges, </w:t>
      </w:r>
      <w:r w:rsidR="00BE1617">
        <w:rPr>
          <w:i/>
        </w:rPr>
        <w:t>T</w:t>
      </w:r>
      <w:r w:rsidR="00BE1617" w:rsidRPr="00BE1617">
        <w:rPr>
          <w:i/>
        </w:rPr>
        <w:t xml:space="preserve">hreats and </w:t>
      </w:r>
      <w:r w:rsidR="00BE1617">
        <w:rPr>
          <w:i/>
        </w:rPr>
        <w:t>O</w:t>
      </w:r>
      <w:r w:rsidR="00BE1617" w:rsidRPr="00BE1617">
        <w:rPr>
          <w:i/>
        </w:rPr>
        <w:t>pportunities for Australia</w:t>
      </w:r>
      <w:r w:rsidR="00BE1617">
        <w:t>, Commission Research Paper, Canberra</w:t>
      </w:r>
      <w:r w:rsidR="00C95B22">
        <w:t>.</w:t>
      </w:r>
      <w:r w:rsidR="00BE1617">
        <w:t xml:space="preserve"> </w:t>
      </w:r>
    </w:p>
    <w:p w:rsidR="005D714C" w:rsidRDefault="00484DF5" w:rsidP="00D04431">
      <w:pPr>
        <w:pStyle w:val="Reference"/>
      </w:pPr>
      <w:r>
        <w:t xml:space="preserve">____ </w:t>
      </w:r>
      <w:r w:rsidR="005D714C">
        <w:t xml:space="preserve">2017, </w:t>
      </w:r>
      <w:r w:rsidR="005D714C" w:rsidRPr="00A118DE">
        <w:rPr>
          <w:i/>
        </w:rPr>
        <w:t>Modelling Protectionist Trade Policies</w:t>
      </w:r>
      <w:r w:rsidR="00C95B22">
        <w:rPr>
          <w:i/>
        </w:rPr>
        <w:t xml:space="preserve">, </w:t>
      </w:r>
      <w:r w:rsidR="00C95B22" w:rsidRPr="00C95B22">
        <w:t>Technical Supplement to the Research Paper, July.</w:t>
      </w:r>
    </w:p>
    <w:p w:rsidR="00B03133" w:rsidRDefault="00484DF5" w:rsidP="00D04431">
      <w:pPr>
        <w:pStyle w:val="Reference"/>
        <w:rPr>
          <w:i/>
        </w:rPr>
      </w:pPr>
      <w:r>
        <w:t xml:space="preserve">____ </w:t>
      </w:r>
      <w:r w:rsidR="00B03133">
        <w:t xml:space="preserve">2017, </w:t>
      </w:r>
      <w:r w:rsidR="00B03133" w:rsidRPr="00D555BD">
        <w:rPr>
          <w:i/>
        </w:rPr>
        <w:t xml:space="preserve">Regulation of </w:t>
      </w:r>
      <w:r w:rsidR="00BE1617">
        <w:rPr>
          <w:i/>
        </w:rPr>
        <w:t xml:space="preserve">Australian </w:t>
      </w:r>
      <w:r w:rsidR="00B03133" w:rsidRPr="00D555BD">
        <w:rPr>
          <w:i/>
        </w:rPr>
        <w:t>Agriculture</w:t>
      </w:r>
      <w:r w:rsidR="00BE1617" w:rsidRPr="00BE1617">
        <w:t>, Report No. 79, Canberra</w:t>
      </w:r>
      <w:r w:rsidR="00BE1617">
        <w:t>.</w:t>
      </w:r>
    </w:p>
    <w:p w:rsidR="005D781F" w:rsidRDefault="00484DF5" w:rsidP="00D04431">
      <w:pPr>
        <w:pStyle w:val="Reference"/>
        <w:rPr>
          <w:i/>
        </w:rPr>
      </w:pPr>
      <w:r>
        <w:t>____</w:t>
      </w:r>
      <w:r w:rsidRPr="00C95B22">
        <w:t xml:space="preserve"> </w:t>
      </w:r>
      <w:r w:rsidR="005D781F" w:rsidRPr="00C95B22">
        <w:t xml:space="preserve">2018, </w:t>
      </w:r>
      <w:r w:rsidR="005D781F">
        <w:rPr>
          <w:i/>
        </w:rPr>
        <w:t>Australian Trade and Assistance, 2016</w:t>
      </w:r>
      <w:r w:rsidR="005D781F">
        <w:rPr>
          <w:i/>
        </w:rPr>
        <w:noBreakHyphen/>
        <w:t>17</w:t>
      </w:r>
      <w:r w:rsidR="005D781F" w:rsidRPr="00C95B22">
        <w:t>,</w:t>
      </w:r>
      <w:r w:rsidR="00C95B22" w:rsidRPr="00C95B22">
        <w:t xml:space="preserve"> Canberra.</w:t>
      </w:r>
    </w:p>
    <w:p w:rsidR="005D781F" w:rsidRDefault="00484DF5" w:rsidP="00D04431">
      <w:pPr>
        <w:pStyle w:val="Reference"/>
        <w:rPr>
          <w:i/>
        </w:rPr>
      </w:pPr>
      <w:r>
        <w:t xml:space="preserve">____ </w:t>
      </w:r>
      <w:r w:rsidR="005D781F">
        <w:rPr>
          <w:i/>
        </w:rPr>
        <w:t>2019, Australian Trade and Assistance, 2017</w:t>
      </w:r>
      <w:r w:rsidR="005D781F">
        <w:rPr>
          <w:i/>
        </w:rPr>
        <w:noBreakHyphen/>
        <w:t>18,</w:t>
      </w:r>
      <w:r w:rsidR="00C95B22" w:rsidRPr="00C95B22">
        <w:t xml:space="preserve"> Canberra.</w:t>
      </w:r>
    </w:p>
    <w:p w:rsidR="00A2123A" w:rsidRDefault="00484DF5" w:rsidP="00D04431">
      <w:pPr>
        <w:pStyle w:val="Reference"/>
        <w:rPr>
          <w:i/>
        </w:rPr>
      </w:pPr>
      <w:r>
        <w:t xml:space="preserve">____ </w:t>
      </w:r>
      <w:r w:rsidR="00A2123A" w:rsidRPr="00A2123A">
        <w:t>and New Zealand P</w:t>
      </w:r>
      <w:r w:rsidR="005D781F" w:rsidRPr="00A2123A">
        <w:t>roductivity Commission 2019</w:t>
      </w:r>
      <w:r w:rsidR="005D781F">
        <w:rPr>
          <w:i/>
        </w:rPr>
        <w:t xml:space="preserve">, </w:t>
      </w:r>
      <w:r w:rsidR="00A171EB" w:rsidRPr="00CA6964">
        <w:rPr>
          <w:i/>
        </w:rPr>
        <w:t xml:space="preserve">Growing </w:t>
      </w:r>
      <w:r w:rsidR="00CA6964" w:rsidRPr="00CA6964">
        <w:rPr>
          <w:i/>
        </w:rPr>
        <w:t>the digital economy</w:t>
      </w:r>
      <w:r w:rsidR="00A171EB" w:rsidRPr="00CA6964">
        <w:rPr>
          <w:i/>
        </w:rPr>
        <w:t xml:space="preserve"> i</w:t>
      </w:r>
      <w:r w:rsidR="00CA6964" w:rsidRPr="00CA6964">
        <w:rPr>
          <w:i/>
        </w:rPr>
        <w:t>n</w:t>
      </w:r>
      <w:r w:rsidR="00552DA3">
        <w:rPr>
          <w:i/>
        </w:rPr>
        <w:t xml:space="preserve"> </w:t>
      </w:r>
      <w:r w:rsidR="00CA6964" w:rsidRPr="00CA6964">
        <w:rPr>
          <w:i/>
        </w:rPr>
        <w:t xml:space="preserve">Australia and New Zealand, Maximising </w:t>
      </w:r>
      <w:r w:rsidR="00A171EB" w:rsidRPr="00CA6964">
        <w:rPr>
          <w:i/>
        </w:rPr>
        <w:t>op</w:t>
      </w:r>
      <w:r w:rsidR="00CA6964" w:rsidRPr="00CA6964">
        <w:rPr>
          <w:i/>
        </w:rPr>
        <w:t xml:space="preserve">portunities for </w:t>
      </w:r>
      <w:r w:rsidR="00A171EB" w:rsidRPr="00CA6964">
        <w:rPr>
          <w:i/>
        </w:rPr>
        <w:t>SMEs</w:t>
      </w:r>
      <w:r w:rsidR="00CA6964">
        <w:rPr>
          <w:i/>
        </w:rPr>
        <w:t xml:space="preserve">, </w:t>
      </w:r>
      <w:r w:rsidR="00A171EB" w:rsidRPr="00CA6964">
        <w:t>Joint Research Report.</w:t>
      </w:r>
    </w:p>
    <w:sectPr w:rsidR="00A2123A" w:rsidSect="00C43EDA">
      <w:headerReference w:type="even" r:id="rId11"/>
      <w:headerReference w:type="default" r:id="rId12"/>
      <w:footerReference w:type="even" r:id="rId13"/>
      <w:footerReference w:type="default" r:id="rId14"/>
      <w:pgSz w:w="11907" w:h="16840" w:code="9"/>
      <w:pgMar w:top="1985" w:right="1304" w:bottom="1247" w:left="1814" w:header="1701" w:footer="39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3A2" w:rsidRDefault="00EF03A2">
      <w:r>
        <w:separator/>
      </w:r>
    </w:p>
  </w:endnote>
  <w:endnote w:type="continuationSeparator" w:id="0">
    <w:p w:rsidR="00EF03A2" w:rsidRDefault="00EF0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3B77B6" w:rsidTr="005F48ED">
      <w:trPr>
        <w:trHeight w:hRule="exact" w:val="567"/>
      </w:trPr>
      <w:tc>
        <w:tcPr>
          <w:tcW w:w="510" w:type="dxa"/>
        </w:tcPr>
        <w:p w:rsidR="003B77B6" w:rsidRPr="00A24443" w:rsidRDefault="003B77B6"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8A3A1C">
            <w:rPr>
              <w:rStyle w:val="PageNumber"/>
              <w:caps w:val="0"/>
              <w:noProof/>
            </w:rPr>
            <w:t>14</w:t>
          </w:r>
          <w:r w:rsidRPr="00A24443">
            <w:rPr>
              <w:rStyle w:val="PageNumber"/>
              <w:caps w:val="0"/>
            </w:rPr>
            <w:fldChar w:fldCharType="end"/>
          </w:r>
        </w:p>
      </w:tc>
      <w:tc>
        <w:tcPr>
          <w:tcW w:w="7767" w:type="dxa"/>
        </w:tcPr>
        <w:p w:rsidR="003B77B6" w:rsidRPr="0013739A" w:rsidRDefault="00E37246" w:rsidP="0013739A">
          <w:pPr>
            <w:pStyle w:val="Footer"/>
            <w:rPr>
              <w:rFonts w:cs="Arial"/>
            </w:rPr>
          </w:pPr>
          <w:r>
            <w:rPr>
              <w:rFonts w:cs="Arial"/>
            </w:rPr>
            <w:t>PRODUCTIVITY commission</w:t>
          </w:r>
          <w:r w:rsidR="003B77B6" w:rsidRPr="00BA5B14">
            <w:rPr>
              <w:rFonts w:cs="Arial"/>
            </w:rPr>
            <w:fldChar w:fldCharType="begin"/>
          </w:r>
          <w:r w:rsidR="003B77B6" w:rsidRPr="00BA5B14">
            <w:rPr>
              <w:rFonts w:cs="Arial"/>
            </w:rPr>
            <w:instrText xml:space="preserve"> SUBJECT  \* MERGEFORMAT </w:instrText>
          </w:r>
          <w:r w:rsidR="003B77B6" w:rsidRPr="00BA5B14">
            <w:rPr>
              <w:rFonts w:cs="Arial"/>
            </w:rPr>
            <w:fldChar w:fldCharType="end"/>
          </w:r>
          <w:bookmarkStart w:id="2" w:name="DraftReportEven"/>
          <w:bookmarkEnd w:id="2"/>
        </w:p>
      </w:tc>
      <w:tc>
        <w:tcPr>
          <w:tcW w:w="510" w:type="dxa"/>
        </w:tcPr>
        <w:p w:rsidR="003B77B6" w:rsidRDefault="003B77B6" w:rsidP="0019293B">
          <w:pPr>
            <w:pStyle w:val="Footer"/>
          </w:pPr>
        </w:p>
      </w:tc>
    </w:tr>
  </w:tbl>
  <w:p w:rsidR="003B77B6" w:rsidRDefault="003B77B6"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3B77B6" w:rsidTr="005F48ED">
      <w:trPr>
        <w:trHeight w:hRule="exact" w:val="567"/>
      </w:trPr>
      <w:tc>
        <w:tcPr>
          <w:tcW w:w="510" w:type="dxa"/>
        </w:tcPr>
        <w:p w:rsidR="003B77B6" w:rsidRDefault="003B77B6">
          <w:pPr>
            <w:pStyle w:val="Footer"/>
            <w:ind w:right="360" w:firstLine="360"/>
          </w:pPr>
        </w:p>
      </w:tc>
      <w:tc>
        <w:tcPr>
          <w:tcW w:w="7767" w:type="dxa"/>
        </w:tcPr>
        <w:p w:rsidR="003B77B6" w:rsidRPr="00BA5B14" w:rsidRDefault="00E37246" w:rsidP="0013739A">
          <w:pPr>
            <w:pStyle w:val="Footer"/>
            <w:jc w:val="right"/>
            <w:rPr>
              <w:rFonts w:cs="Arial"/>
            </w:rPr>
          </w:pPr>
          <w:r>
            <w:rPr>
              <w:rFonts w:cs="Arial"/>
            </w:rPr>
            <w:t>supporting exports</w:t>
          </w:r>
          <w:r w:rsidR="003B77B6" w:rsidRPr="00BA5B14">
            <w:rPr>
              <w:rFonts w:cs="Arial"/>
            </w:rPr>
            <w:fldChar w:fldCharType="begin"/>
          </w:r>
          <w:r w:rsidR="003B77B6" w:rsidRPr="00BA5B14">
            <w:rPr>
              <w:rFonts w:cs="Arial"/>
            </w:rPr>
            <w:instrText xml:space="preserve"> TITLE  \* MERGEFORMAT </w:instrText>
          </w:r>
          <w:r w:rsidR="003B77B6" w:rsidRPr="00BA5B14">
            <w:rPr>
              <w:rFonts w:cs="Arial"/>
            </w:rPr>
            <w:fldChar w:fldCharType="end"/>
          </w:r>
          <w:bookmarkStart w:id="3" w:name="DraftReportOdd"/>
          <w:bookmarkEnd w:id="3"/>
        </w:p>
      </w:tc>
      <w:tc>
        <w:tcPr>
          <w:tcW w:w="510" w:type="dxa"/>
        </w:tcPr>
        <w:p w:rsidR="003B77B6" w:rsidRPr="00A24443" w:rsidRDefault="003B77B6">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8A3A1C">
            <w:rPr>
              <w:rStyle w:val="PageNumber"/>
              <w:caps w:val="0"/>
              <w:noProof/>
            </w:rPr>
            <w:t>1</w:t>
          </w:r>
          <w:r w:rsidRPr="00A24443">
            <w:rPr>
              <w:rStyle w:val="PageNumber"/>
              <w:caps w:val="0"/>
            </w:rPr>
            <w:fldChar w:fldCharType="end"/>
          </w:r>
        </w:p>
      </w:tc>
    </w:tr>
  </w:tbl>
  <w:p w:rsidR="003B77B6" w:rsidRDefault="003B77B6">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3A2" w:rsidRDefault="00EF03A2">
      <w:r>
        <w:separator/>
      </w:r>
    </w:p>
  </w:footnote>
  <w:footnote w:type="continuationSeparator" w:id="0">
    <w:p w:rsidR="00EF03A2" w:rsidRDefault="00EF03A2">
      <w:r>
        <w:continuationSeparator/>
      </w:r>
    </w:p>
  </w:footnote>
  <w:footnote w:id="1">
    <w:p w:rsidR="003B77B6" w:rsidRDefault="003B77B6" w:rsidP="008A7A73">
      <w:pPr>
        <w:pStyle w:val="FootnoteText"/>
      </w:pPr>
      <w:r>
        <w:rPr>
          <w:rStyle w:val="FootnoteReference"/>
        </w:rPr>
        <w:footnoteRef/>
      </w:r>
      <w:r>
        <w:tab/>
        <w:t xml:space="preserve">The Commission examined the </w:t>
      </w:r>
      <w:r w:rsidRPr="00607096">
        <w:t>Export Finance and Insurance Corporation</w:t>
      </w:r>
      <w:r>
        <w:t xml:space="preserve"> in its 2012 report, </w:t>
      </w:r>
      <w:r w:rsidRPr="008A7A73">
        <w:rPr>
          <w:i/>
        </w:rPr>
        <w:t>Australia’s Export Credit Arrangements</w:t>
      </w:r>
      <w:r>
        <w:t xml:space="preserve"> (Report No. 58), but 7 years has elapsed since that review. </w:t>
      </w:r>
    </w:p>
  </w:footnote>
  <w:footnote w:id="2">
    <w:p w:rsidR="003B77B6" w:rsidRDefault="003B77B6" w:rsidP="00C95B22">
      <w:pPr>
        <w:pStyle w:val="FootnoteText"/>
      </w:pPr>
      <w:r>
        <w:rPr>
          <w:rStyle w:val="FootnoteReference"/>
        </w:rPr>
        <w:footnoteRef/>
      </w:r>
      <w:r>
        <w:tab/>
        <w:t>Australian</w:t>
      </w:r>
      <w:r w:rsidR="005950FD">
        <w:t xml:space="preserve"> </w:t>
      </w:r>
      <w:r>
        <w:t>Productivity</w:t>
      </w:r>
      <w:r w:rsidR="005950FD">
        <w:t xml:space="preserve"> </w:t>
      </w:r>
      <w:r>
        <w:t xml:space="preserve">Commission and New Zealand Productivity Commission 2019, </w:t>
      </w:r>
      <w:r w:rsidRPr="00FF3FB2">
        <w:rPr>
          <w:i/>
        </w:rPr>
        <w:t>Growing the digital economy in Australia and New Zealand, Maximising opportunities for SMEs</w:t>
      </w:r>
      <w:r>
        <w:t>.</w:t>
      </w:r>
      <w:r w:rsidR="00C95B22">
        <w:t xml:space="preserve"> A broader research project on digital disruption may also be of interest (PC 2016 </w:t>
      </w:r>
      <w:r w:rsidR="00C95B22" w:rsidRPr="00C95B22">
        <w:rPr>
          <w:i/>
        </w:rPr>
        <w:t>Digital Disruption: What do governments need to do?</w:t>
      </w:r>
      <w:r w:rsidR="00C95B22">
        <w:t>, Commission Research Paper, Canberra).</w:t>
      </w:r>
    </w:p>
  </w:footnote>
  <w:footnote w:id="3">
    <w:p w:rsidR="003B77B6" w:rsidRDefault="003B77B6" w:rsidP="0039067A">
      <w:pPr>
        <w:pStyle w:val="FootnoteText"/>
      </w:pPr>
      <w:r>
        <w:rPr>
          <w:rStyle w:val="FootnoteReference"/>
        </w:rPr>
        <w:footnoteRef/>
      </w:r>
      <w:r>
        <w:tab/>
        <w:t xml:space="preserve">Several customer protections are in place. </w:t>
      </w:r>
      <w:r w:rsidRPr="00094F26">
        <w:t>There are limits on the total number of retail clients and the value of exposure. Firms or persons who have been banned from providing financial services, who already hold an Australian financial service license, or who are related to or representatives of a license-holder are not permitted to participate in the sandbox.</w:t>
      </w:r>
    </w:p>
  </w:footnote>
  <w:footnote w:id="4">
    <w:p w:rsidR="003B77B6" w:rsidRDefault="003B77B6" w:rsidP="00DF4EE1">
      <w:pPr>
        <w:pStyle w:val="FootnoteText"/>
      </w:pPr>
      <w:r>
        <w:rPr>
          <w:rStyle w:val="FootnoteReference"/>
        </w:rPr>
        <w:footnoteRef/>
      </w:r>
      <w:r>
        <w:tab/>
        <w:t xml:space="preserve">PC, </w:t>
      </w:r>
      <w:r w:rsidRPr="00E91648">
        <w:t xml:space="preserve">2016, </w:t>
      </w:r>
      <w:r w:rsidRPr="00E91648">
        <w:rPr>
          <w:i/>
        </w:rPr>
        <w:t>Intellectual Property Arrangements</w:t>
      </w:r>
      <w:r w:rsidRPr="00E91648">
        <w:t>, Inquiry Report No. 78, Canberra</w:t>
      </w:r>
      <w:r>
        <w:t>.</w:t>
      </w:r>
    </w:p>
  </w:footnote>
  <w:footnote w:id="5">
    <w:p w:rsidR="00A118DE" w:rsidRDefault="00A118DE">
      <w:pPr>
        <w:pStyle w:val="FootnoteText"/>
      </w:pPr>
      <w:r>
        <w:rPr>
          <w:rStyle w:val="FootnoteReference"/>
        </w:rPr>
        <w:footnoteRef/>
      </w:r>
      <w:r>
        <w:tab/>
        <w:t xml:space="preserve">The main report is accompanied by a technical paper describing the model in detail and the results of all of the scenarios (PC 2017, </w:t>
      </w:r>
      <w:r w:rsidRPr="00A118DE">
        <w:rPr>
          <w:i/>
        </w:rPr>
        <w:t>Modelling Protectionist Trade Policies</w:t>
      </w:r>
      <w:r w:rsidRPr="00A118DE">
        <w:t>)</w:t>
      </w:r>
      <w:r>
        <w:t>.</w:t>
      </w:r>
    </w:p>
  </w:footnote>
  <w:footnote w:id="6">
    <w:p w:rsidR="003B77B6" w:rsidRDefault="003B77B6">
      <w:pPr>
        <w:pStyle w:val="FootnoteText"/>
      </w:pPr>
      <w:r>
        <w:rPr>
          <w:rStyle w:val="FootnoteReference"/>
        </w:rPr>
        <w:footnoteRef/>
      </w:r>
      <w:r>
        <w:tab/>
        <w:t>Some of the report’s recommendations related to addressing inadequate power for some workers (as in sham contracting and the unlawful employment of foreigners), but these have little bearing on the export issues that are the primary focus of the Committee.</w:t>
      </w:r>
    </w:p>
  </w:footnote>
  <w:footnote w:id="7">
    <w:p w:rsidR="00602DF7" w:rsidRDefault="00602DF7">
      <w:pPr>
        <w:pStyle w:val="FootnoteText"/>
      </w:pPr>
      <w:r>
        <w:rPr>
          <w:rStyle w:val="FootnoteReference"/>
        </w:rPr>
        <w:footnoteRef/>
      </w:r>
      <w:r>
        <w:tab/>
        <w:t>The Commission has also looked at international education services in PC</w:t>
      </w:r>
      <w:r w:rsidRPr="00602DF7">
        <w:t xml:space="preserve"> 2015, </w:t>
      </w:r>
      <w:r w:rsidRPr="00602DF7">
        <w:rPr>
          <w:i/>
        </w:rPr>
        <w:t>International Education Services</w:t>
      </w:r>
      <w:r w:rsidRPr="00602DF7">
        <w:t>, Commission Res</w:t>
      </w:r>
      <w:r>
        <w:t xml:space="preserve">earch Paper, Canberra, but as noted below, policy initiatives addressing some of the concerns have been implemented since that report.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3B77B6">
      <w:tc>
        <w:tcPr>
          <w:tcW w:w="2155" w:type="dxa"/>
          <w:tcBorders>
            <w:top w:val="single" w:sz="24" w:space="0" w:color="auto"/>
          </w:tcBorders>
        </w:tcPr>
        <w:p w:rsidR="003B77B6" w:rsidRDefault="003B77B6" w:rsidP="0019293B">
          <w:pPr>
            <w:pStyle w:val="HeaderEven"/>
          </w:pPr>
        </w:p>
      </w:tc>
      <w:tc>
        <w:tcPr>
          <w:tcW w:w="6634" w:type="dxa"/>
          <w:tcBorders>
            <w:top w:val="single" w:sz="6" w:space="0" w:color="auto"/>
          </w:tcBorders>
        </w:tcPr>
        <w:p w:rsidR="003B77B6" w:rsidRDefault="003B77B6" w:rsidP="0019293B">
          <w:pPr>
            <w:pStyle w:val="HeaderEven"/>
          </w:pPr>
        </w:p>
      </w:tc>
    </w:tr>
  </w:tbl>
  <w:p w:rsidR="003B77B6" w:rsidRDefault="003B77B6"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3B77B6">
      <w:tc>
        <w:tcPr>
          <w:tcW w:w="6634" w:type="dxa"/>
          <w:tcBorders>
            <w:top w:val="single" w:sz="6" w:space="0" w:color="auto"/>
          </w:tcBorders>
        </w:tcPr>
        <w:p w:rsidR="003B77B6" w:rsidRDefault="003B77B6" w:rsidP="00E669E2">
          <w:pPr>
            <w:pStyle w:val="HeaderOdd"/>
          </w:pPr>
        </w:p>
      </w:tc>
      <w:tc>
        <w:tcPr>
          <w:tcW w:w="2155" w:type="dxa"/>
          <w:tcBorders>
            <w:top w:val="single" w:sz="24" w:space="0" w:color="auto"/>
          </w:tcBorders>
        </w:tcPr>
        <w:p w:rsidR="003B77B6" w:rsidRDefault="003B77B6" w:rsidP="00E669E2">
          <w:pPr>
            <w:pStyle w:val="HeaderOdd"/>
          </w:pPr>
        </w:p>
      </w:tc>
    </w:tr>
  </w:tbl>
  <w:p w:rsidR="003B77B6" w:rsidRDefault="003B77B6"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4"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5"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6"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9"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0"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3"/>
  </w:num>
  <w:num w:numId="4">
    <w:abstractNumId w:val="3"/>
  </w:num>
  <w:num w:numId="5">
    <w:abstractNumId w:val="18"/>
  </w:num>
  <w:num w:numId="6">
    <w:abstractNumId w:val="15"/>
  </w:num>
  <w:num w:numId="7">
    <w:abstractNumId w:val="7"/>
  </w:num>
  <w:num w:numId="8">
    <w:abstractNumId w:val="14"/>
  </w:num>
  <w:num w:numId="9">
    <w:abstractNumId w:val="6"/>
  </w:num>
  <w:num w:numId="10">
    <w:abstractNumId w:val="5"/>
  </w:num>
  <w:num w:numId="11">
    <w:abstractNumId w:val="9"/>
  </w:num>
  <w:num w:numId="12">
    <w:abstractNumId w:val="10"/>
  </w:num>
  <w:num w:numId="13">
    <w:abstractNumId w:val="4"/>
  </w:num>
  <w:num w:numId="14">
    <w:abstractNumId w:val="16"/>
  </w:num>
  <w:num w:numId="15">
    <w:abstractNumId w:val="19"/>
  </w:num>
  <w:num w:numId="16">
    <w:abstractNumId w:val="12"/>
  </w:num>
  <w:num w:numId="17">
    <w:abstractNumId w:val="20"/>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7"/>
  </w:num>
  <w:num w:numId="2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Supporting exports"/>
    <w:docVar w:name="ShortReportTitle" w:val="Supporting exports"/>
  </w:docVars>
  <w:rsids>
    <w:rsidRoot w:val="00FA6614"/>
    <w:rsid w:val="00001156"/>
    <w:rsid w:val="000032AE"/>
    <w:rsid w:val="000129C1"/>
    <w:rsid w:val="00013267"/>
    <w:rsid w:val="000227D5"/>
    <w:rsid w:val="000245AA"/>
    <w:rsid w:val="0003664B"/>
    <w:rsid w:val="0004111F"/>
    <w:rsid w:val="000523EC"/>
    <w:rsid w:val="00052BD9"/>
    <w:rsid w:val="0005357D"/>
    <w:rsid w:val="000542BB"/>
    <w:rsid w:val="00055077"/>
    <w:rsid w:val="000565B3"/>
    <w:rsid w:val="000646CC"/>
    <w:rsid w:val="0007150B"/>
    <w:rsid w:val="00073DAC"/>
    <w:rsid w:val="000938F5"/>
    <w:rsid w:val="00094F26"/>
    <w:rsid w:val="00095663"/>
    <w:rsid w:val="00096E55"/>
    <w:rsid w:val="0009783E"/>
    <w:rsid w:val="000B1022"/>
    <w:rsid w:val="000B601B"/>
    <w:rsid w:val="000C0A15"/>
    <w:rsid w:val="000C207E"/>
    <w:rsid w:val="000D41E9"/>
    <w:rsid w:val="000E030F"/>
    <w:rsid w:val="000F0035"/>
    <w:rsid w:val="000F04E7"/>
    <w:rsid w:val="000F060A"/>
    <w:rsid w:val="000F420B"/>
    <w:rsid w:val="000F539C"/>
    <w:rsid w:val="00101537"/>
    <w:rsid w:val="00103124"/>
    <w:rsid w:val="00110116"/>
    <w:rsid w:val="00110F30"/>
    <w:rsid w:val="00120072"/>
    <w:rsid w:val="00120E17"/>
    <w:rsid w:val="00124D2C"/>
    <w:rsid w:val="00126EB8"/>
    <w:rsid w:val="001274D4"/>
    <w:rsid w:val="001363AA"/>
    <w:rsid w:val="0013739A"/>
    <w:rsid w:val="00142165"/>
    <w:rsid w:val="00162434"/>
    <w:rsid w:val="00174EBF"/>
    <w:rsid w:val="00183E82"/>
    <w:rsid w:val="00185709"/>
    <w:rsid w:val="001878BB"/>
    <w:rsid w:val="00191AE0"/>
    <w:rsid w:val="0019293B"/>
    <w:rsid w:val="0019426B"/>
    <w:rsid w:val="001A6A4B"/>
    <w:rsid w:val="001C0865"/>
    <w:rsid w:val="001C0AC9"/>
    <w:rsid w:val="001C0AED"/>
    <w:rsid w:val="001C3ABA"/>
    <w:rsid w:val="001C5111"/>
    <w:rsid w:val="001E044D"/>
    <w:rsid w:val="001E7BE8"/>
    <w:rsid w:val="001F0248"/>
    <w:rsid w:val="001F31DE"/>
    <w:rsid w:val="001F3EB3"/>
    <w:rsid w:val="001F4F86"/>
    <w:rsid w:val="00202C2C"/>
    <w:rsid w:val="00203050"/>
    <w:rsid w:val="00203BBB"/>
    <w:rsid w:val="00205035"/>
    <w:rsid w:val="00205BCC"/>
    <w:rsid w:val="002135AB"/>
    <w:rsid w:val="002144BE"/>
    <w:rsid w:val="002170B3"/>
    <w:rsid w:val="002320B8"/>
    <w:rsid w:val="00232BF3"/>
    <w:rsid w:val="00236E1D"/>
    <w:rsid w:val="00242279"/>
    <w:rsid w:val="00243997"/>
    <w:rsid w:val="00243A4B"/>
    <w:rsid w:val="00244FE6"/>
    <w:rsid w:val="0024516C"/>
    <w:rsid w:val="00245C82"/>
    <w:rsid w:val="00246108"/>
    <w:rsid w:val="00250736"/>
    <w:rsid w:val="00254D36"/>
    <w:rsid w:val="002724BA"/>
    <w:rsid w:val="0028060E"/>
    <w:rsid w:val="00291B40"/>
    <w:rsid w:val="002A40D7"/>
    <w:rsid w:val="002B4008"/>
    <w:rsid w:val="002C439F"/>
    <w:rsid w:val="002C5A8C"/>
    <w:rsid w:val="002C6BBC"/>
    <w:rsid w:val="002D0C42"/>
    <w:rsid w:val="002D0E8E"/>
    <w:rsid w:val="00301189"/>
    <w:rsid w:val="00301E4A"/>
    <w:rsid w:val="003168B8"/>
    <w:rsid w:val="00316DDE"/>
    <w:rsid w:val="00317243"/>
    <w:rsid w:val="00322D64"/>
    <w:rsid w:val="00323E09"/>
    <w:rsid w:val="00327DFD"/>
    <w:rsid w:val="00333932"/>
    <w:rsid w:val="00347AB4"/>
    <w:rsid w:val="003518AA"/>
    <w:rsid w:val="00351C36"/>
    <w:rsid w:val="00352165"/>
    <w:rsid w:val="0035267F"/>
    <w:rsid w:val="00353182"/>
    <w:rsid w:val="00353C85"/>
    <w:rsid w:val="003565D9"/>
    <w:rsid w:val="003602E1"/>
    <w:rsid w:val="0037026F"/>
    <w:rsid w:val="00371240"/>
    <w:rsid w:val="00374731"/>
    <w:rsid w:val="003769F2"/>
    <w:rsid w:val="00376E59"/>
    <w:rsid w:val="00377EC1"/>
    <w:rsid w:val="00380340"/>
    <w:rsid w:val="0039067A"/>
    <w:rsid w:val="003919F9"/>
    <w:rsid w:val="003920CF"/>
    <w:rsid w:val="00396F67"/>
    <w:rsid w:val="003A3B23"/>
    <w:rsid w:val="003B23C2"/>
    <w:rsid w:val="003B3043"/>
    <w:rsid w:val="003B77B6"/>
    <w:rsid w:val="003C38B5"/>
    <w:rsid w:val="003C5D99"/>
    <w:rsid w:val="003D1087"/>
    <w:rsid w:val="003E14A5"/>
    <w:rsid w:val="003E2F59"/>
    <w:rsid w:val="003E4B2A"/>
    <w:rsid w:val="003E746B"/>
    <w:rsid w:val="003F0789"/>
    <w:rsid w:val="003F1D16"/>
    <w:rsid w:val="003F7847"/>
    <w:rsid w:val="00401882"/>
    <w:rsid w:val="00404652"/>
    <w:rsid w:val="004100C8"/>
    <w:rsid w:val="00411B59"/>
    <w:rsid w:val="00411DBD"/>
    <w:rsid w:val="00412ACE"/>
    <w:rsid w:val="004145D2"/>
    <w:rsid w:val="00417125"/>
    <w:rsid w:val="00424BD1"/>
    <w:rsid w:val="00425128"/>
    <w:rsid w:val="0042655B"/>
    <w:rsid w:val="00426CB4"/>
    <w:rsid w:val="00431249"/>
    <w:rsid w:val="00434C19"/>
    <w:rsid w:val="00450810"/>
    <w:rsid w:val="00460377"/>
    <w:rsid w:val="00460F20"/>
    <w:rsid w:val="00462C59"/>
    <w:rsid w:val="00470737"/>
    <w:rsid w:val="00477144"/>
    <w:rsid w:val="00484DF5"/>
    <w:rsid w:val="00485378"/>
    <w:rsid w:val="00491380"/>
    <w:rsid w:val="00491A4B"/>
    <w:rsid w:val="0049459F"/>
    <w:rsid w:val="004A38DD"/>
    <w:rsid w:val="004B43AE"/>
    <w:rsid w:val="004C23C5"/>
    <w:rsid w:val="004C30ED"/>
    <w:rsid w:val="004D5675"/>
    <w:rsid w:val="004E52B2"/>
    <w:rsid w:val="004F7A8B"/>
    <w:rsid w:val="0050539E"/>
    <w:rsid w:val="0051306E"/>
    <w:rsid w:val="00517795"/>
    <w:rsid w:val="00520BAB"/>
    <w:rsid w:val="00520EE8"/>
    <w:rsid w:val="00523639"/>
    <w:rsid w:val="00531FE5"/>
    <w:rsid w:val="005402FA"/>
    <w:rsid w:val="00541E1A"/>
    <w:rsid w:val="00550B0C"/>
    <w:rsid w:val="00552DA3"/>
    <w:rsid w:val="00554995"/>
    <w:rsid w:val="00566AD9"/>
    <w:rsid w:val="005729BD"/>
    <w:rsid w:val="00573437"/>
    <w:rsid w:val="00573BE3"/>
    <w:rsid w:val="00580154"/>
    <w:rsid w:val="00583C39"/>
    <w:rsid w:val="00586A90"/>
    <w:rsid w:val="00587F28"/>
    <w:rsid w:val="005909CF"/>
    <w:rsid w:val="00591A41"/>
    <w:rsid w:val="00591E71"/>
    <w:rsid w:val="00593BF0"/>
    <w:rsid w:val="005950FD"/>
    <w:rsid w:val="005A0D41"/>
    <w:rsid w:val="005A4386"/>
    <w:rsid w:val="005D329F"/>
    <w:rsid w:val="005D714C"/>
    <w:rsid w:val="005D781F"/>
    <w:rsid w:val="005F3330"/>
    <w:rsid w:val="005F48ED"/>
    <w:rsid w:val="00602DF7"/>
    <w:rsid w:val="00606E78"/>
    <w:rsid w:val="00607096"/>
    <w:rsid w:val="00607BF1"/>
    <w:rsid w:val="00612552"/>
    <w:rsid w:val="00615A74"/>
    <w:rsid w:val="00630D4D"/>
    <w:rsid w:val="00632A74"/>
    <w:rsid w:val="00632FC0"/>
    <w:rsid w:val="00654D42"/>
    <w:rsid w:val="0066387B"/>
    <w:rsid w:val="00664C26"/>
    <w:rsid w:val="00665DBD"/>
    <w:rsid w:val="00666E02"/>
    <w:rsid w:val="006776E7"/>
    <w:rsid w:val="0068762C"/>
    <w:rsid w:val="006A2F92"/>
    <w:rsid w:val="006A4655"/>
    <w:rsid w:val="006A7758"/>
    <w:rsid w:val="006B2B3C"/>
    <w:rsid w:val="006B75F9"/>
    <w:rsid w:val="006C1D81"/>
    <w:rsid w:val="006C5104"/>
    <w:rsid w:val="006C7038"/>
    <w:rsid w:val="006D651F"/>
    <w:rsid w:val="006D777F"/>
    <w:rsid w:val="006E3D49"/>
    <w:rsid w:val="006E73EF"/>
    <w:rsid w:val="007079C9"/>
    <w:rsid w:val="00714D4D"/>
    <w:rsid w:val="007266D3"/>
    <w:rsid w:val="00732029"/>
    <w:rsid w:val="007455A2"/>
    <w:rsid w:val="007573C1"/>
    <w:rsid w:val="007604BB"/>
    <w:rsid w:val="00772909"/>
    <w:rsid w:val="007801F8"/>
    <w:rsid w:val="00785232"/>
    <w:rsid w:val="0079701E"/>
    <w:rsid w:val="007A21EB"/>
    <w:rsid w:val="007A51B8"/>
    <w:rsid w:val="007A7C5E"/>
    <w:rsid w:val="007B1A93"/>
    <w:rsid w:val="007C36C9"/>
    <w:rsid w:val="007C4157"/>
    <w:rsid w:val="007D095F"/>
    <w:rsid w:val="007D6401"/>
    <w:rsid w:val="007E01E4"/>
    <w:rsid w:val="007E7A12"/>
    <w:rsid w:val="007F7107"/>
    <w:rsid w:val="00800D4C"/>
    <w:rsid w:val="0081030F"/>
    <w:rsid w:val="00812F4A"/>
    <w:rsid w:val="0082087D"/>
    <w:rsid w:val="00835771"/>
    <w:rsid w:val="00842933"/>
    <w:rsid w:val="008430CD"/>
    <w:rsid w:val="00852017"/>
    <w:rsid w:val="0086082C"/>
    <w:rsid w:val="00864ADC"/>
    <w:rsid w:val="00875B4A"/>
    <w:rsid w:val="00880153"/>
    <w:rsid w:val="00880F97"/>
    <w:rsid w:val="0088133A"/>
    <w:rsid w:val="0089266A"/>
    <w:rsid w:val="0089285E"/>
    <w:rsid w:val="0089436C"/>
    <w:rsid w:val="00896B1B"/>
    <w:rsid w:val="008A3A1C"/>
    <w:rsid w:val="008A57F3"/>
    <w:rsid w:val="008A7A73"/>
    <w:rsid w:val="008C0D3E"/>
    <w:rsid w:val="008C1300"/>
    <w:rsid w:val="008C1A35"/>
    <w:rsid w:val="008D365C"/>
    <w:rsid w:val="008D7622"/>
    <w:rsid w:val="009021A6"/>
    <w:rsid w:val="009030BF"/>
    <w:rsid w:val="00903B52"/>
    <w:rsid w:val="0091032F"/>
    <w:rsid w:val="00914368"/>
    <w:rsid w:val="00916D18"/>
    <w:rsid w:val="00931076"/>
    <w:rsid w:val="00931420"/>
    <w:rsid w:val="009345D9"/>
    <w:rsid w:val="00934B15"/>
    <w:rsid w:val="00940C87"/>
    <w:rsid w:val="00942B62"/>
    <w:rsid w:val="00947D5B"/>
    <w:rsid w:val="0095323B"/>
    <w:rsid w:val="00954C21"/>
    <w:rsid w:val="00956A0C"/>
    <w:rsid w:val="00956BD9"/>
    <w:rsid w:val="00961BC8"/>
    <w:rsid w:val="00962489"/>
    <w:rsid w:val="00967287"/>
    <w:rsid w:val="00967CD3"/>
    <w:rsid w:val="00990C2C"/>
    <w:rsid w:val="009A5171"/>
    <w:rsid w:val="009C12FE"/>
    <w:rsid w:val="009E0D8E"/>
    <w:rsid w:val="009E1844"/>
    <w:rsid w:val="009F06CE"/>
    <w:rsid w:val="009F0D1B"/>
    <w:rsid w:val="009F53DD"/>
    <w:rsid w:val="009F5BBD"/>
    <w:rsid w:val="009F696D"/>
    <w:rsid w:val="009F6BC6"/>
    <w:rsid w:val="009F74EF"/>
    <w:rsid w:val="00A02826"/>
    <w:rsid w:val="00A02D96"/>
    <w:rsid w:val="00A07A0C"/>
    <w:rsid w:val="00A118DE"/>
    <w:rsid w:val="00A15D5A"/>
    <w:rsid w:val="00A171EB"/>
    <w:rsid w:val="00A17328"/>
    <w:rsid w:val="00A2123A"/>
    <w:rsid w:val="00A23A20"/>
    <w:rsid w:val="00A24443"/>
    <w:rsid w:val="00A268B9"/>
    <w:rsid w:val="00A2703A"/>
    <w:rsid w:val="00A33DFF"/>
    <w:rsid w:val="00A35115"/>
    <w:rsid w:val="00A36D9A"/>
    <w:rsid w:val="00A451DC"/>
    <w:rsid w:val="00A554AB"/>
    <w:rsid w:val="00A56A09"/>
    <w:rsid w:val="00A57062"/>
    <w:rsid w:val="00A601BE"/>
    <w:rsid w:val="00A67781"/>
    <w:rsid w:val="00A761F9"/>
    <w:rsid w:val="00A85F06"/>
    <w:rsid w:val="00A92B53"/>
    <w:rsid w:val="00A94FA6"/>
    <w:rsid w:val="00AA49A0"/>
    <w:rsid w:val="00AA6710"/>
    <w:rsid w:val="00AB0681"/>
    <w:rsid w:val="00AC3A15"/>
    <w:rsid w:val="00AD520B"/>
    <w:rsid w:val="00AE3BCC"/>
    <w:rsid w:val="00AF4A27"/>
    <w:rsid w:val="00B02C4B"/>
    <w:rsid w:val="00B03133"/>
    <w:rsid w:val="00B1605B"/>
    <w:rsid w:val="00B313FA"/>
    <w:rsid w:val="00B355F6"/>
    <w:rsid w:val="00B35DFB"/>
    <w:rsid w:val="00B41A6C"/>
    <w:rsid w:val="00B425C3"/>
    <w:rsid w:val="00B4373D"/>
    <w:rsid w:val="00B440AD"/>
    <w:rsid w:val="00B479BB"/>
    <w:rsid w:val="00B518C2"/>
    <w:rsid w:val="00B53E7E"/>
    <w:rsid w:val="00B6342E"/>
    <w:rsid w:val="00B63F3F"/>
    <w:rsid w:val="00B66AF0"/>
    <w:rsid w:val="00B67C34"/>
    <w:rsid w:val="00B7113F"/>
    <w:rsid w:val="00B76CFE"/>
    <w:rsid w:val="00B82865"/>
    <w:rsid w:val="00B835E9"/>
    <w:rsid w:val="00B969FB"/>
    <w:rsid w:val="00BA2BCF"/>
    <w:rsid w:val="00BA5B14"/>
    <w:rsid w:val="00BA73B6"/>
    <w:rsid w:val="00BA7E27"/>
    <w:rsid w:val="00BB2603"/>
    <w:rsid w:val="00BB34B4"/>
    <w:rsid w:val="00BB4FCD"/>
    <w:rsid w:val="00BC04E9"/>
    <w:rsid w:val="00BD13EA"/>
    <w:rsid w:val="00BD1B4D"/>
    <w:rsid w:val="00BD7690"/>
    <w:rsid w:val="00BE1617"/>
    <w:rsid w:val="00BE3808"/>
    <w:rsid w:val="00BF105D"/>
    <w:rsid w:val="00BF3AF0"/>
    <w:rsid w:val="00C03B88"/>
    <w:rsid w:val="00C062E9"/>
    <w:rsid w:val="00C069AA"/>
    <w:rsid w:val="00C07B64"/>
    <w:rsid w:val="00C11A94"/>
    <w:rsid w:val="00C13721"/>
    <w:rsid w:val="00C14FE4"/>
    <w:rsid w:val="00C25460"/>
    <w:rsid w:val="00C3066D"/>
    <w:rsid w:val="00C43EDA"/>
    <w:rsid w:val="00C52416"/>
    <w:rsid w:val="00C543F4"/>
    <w:rsid w:val="00C6291C"/>
    <w:rsid w:val="00C633CB"/>
    <w:rsid w:val="00C664CD"/>
    <w:rsid w:val="00C736B7"/>
    <w:rsid w:val="00C774C0"/>
    <w:rsid w:val="00C81D4A"/>
    <w:rsid w:val="00C8368C"/>
    <w:rsid w:val="00C8762C"/>
    <w:rsid w:val="00C95B22"/>
    <w:rsid w:val="00CA00F9"/>
    <w:rsid w:val="00CA2961"/>
    <w:rsid w:val="00CA6964"/>
    <w:rsid w:val="00CB3341"/>
    <w:rsid w:val="00CB50D7"/>
    <w:rsid w:val="00CB7177"/>
    <w:rsid w:val="00CB7CED"/>
    <w:rsid w:val="00CC070F"/>
    <w:rsid w:val="00CC1998"/>
    <w:rsid w:val="00CC4946"/>
    <w:rsid w:val="00CC5504"/>
    <w:rsid w:val="00CC64A1"/>
    <w:rsid w:val="00CE5AD8"/>
    <w:rsid w:val="00CF3B11"/>
    <w:rsid w:val="00CF47F6"/>
    <w:rsid w:val="00D04431"/>
    <w:rsid w:val="00D05E51"/>
    <w:rsid w:val="00D16E2A"/>
    <w:rsid w:val="00D206A3"/>
    <w:rsid w:val="00D270A4"/>
    <w:rsid w:val="00D31FE9"/>
    <w:rsid w:val="00D322AD"/>
    <w:rsid w:val="00D34E1B"/>
    <w:rsid w:val="00D35959"/>
    <w:rsid w:val="00D376BA"/>
    <w:rsid w:val="00D434A0"/>
    <w:rsid w:val="00D45634"/>
    <w:rsid w:val="00D555BD"/>
    <w:rsid w:val="00D5568A"/>
    <w:rsid w:val="00D63D73"/>
    <w:rsid w:val="00D64452"/>
    <w:rsid w:val="00D66E1E"/>
    <w:rsid w:val="00D6718F"/>
    <w:rsid w:val="00D70696"/>
    <w:rsid w:val="00D75722"/>
    <w:rsid w:val="00D80CF5"/>
    <w:rsid w:val="00D83E7C"/>
    <w:rsid w:val="00DA17B6"/>
    <w:rsid w:val="00DA5BBA"/>
    <w:rsid w:val="00DB26D2"/>
    <w:rsid w:val="00DB67C9"/>
    <w:rsid w:val="00DC0C95"/>
    <w:rsid w:val="00DC4F0B"/>
    <w:rsid w:val="00DC7601"/>
    <w:rsid w:val="00DD6580"/>
    <w:rsid w:val="00DF4E1A"/>
    <w:rsid w:val="00DF4EE1"/>
    <w:rsid w:val="00E01D7F"/>
    <w:rsid w:val="00E01FB3"/>
    <w:rsid w:val="00E03588"/>
    <w:rsid w:val="00E05C03"/>
    <w:rsid w:val="00E063DC"/>
    <w:rsid w:val="00E17C72"/>
    <w:rsid w:val="00E20A3A"/>
    <w:rsid w:val="00E21FC6"/>
    <w:rsid w:val="00E328F9"/>
    <w:rsid w:val="00E37246"/>
    <w:rsid w:val="00E412E9"/>
    <w:rsid w:val="00E431A9"/>
    <w:rsid w:val="00E46612"/>
    <w:rsid w:val="00E47E1E"/>
    <w:rsid w:val="00E669E2"/>
    <w:rsid w:val="00E713EE"/>
    <w:rsid w:val="00E71990"/>
    <w:rsid w:val="00E76135"/>
    <w:rsid w:val="00E817D7"/>
    <w:rsid w:val="00E82F4F"/>
    <w:rsid w:val="00E864DF"/>
    <w:rsid w:val="00E91648"/>
    <w:rsid w:val="00E94B78"/>
    <w:rsid w:val="00EB2CC3"/>
    <w:rsid w:val="00EB6157"/>
    <w:rsid w:val="00EC2844"/>
    <w:rsid w:val="00EC5500"/>
    <w:rsid w:val="00ED18F8"/>
    <w:rsid w:val="00EE56D2"/>
    <w:rsid w:val="00EE6E3A"/>
    <w:rsid w:val="00EE6EDA"/>
    <w:rsid w:val="00EE6FB8"/>
    <w:rsid w:val="00EE778E"/>
    <w:rsid w:val="00EF03A2"/>
    <w:rsid w:val="00EF0887"/>
    <w:rsid w:val="00EF5E1F"/>
    <w:rsid w:val="00EF6719"/>
    <w:rsid w:val="00EF6C6C"/>
    <w:rsid w:val="00F056FC"/>
    <w:rsid w:val="00F0632F"/>
    <w:rsid w:val="00F069AE"/>
    <w:rsid w:val="00F10476"/>
    <w:rsid w:val="00F135D8"/>
    <w:rsid w:val="00F31299"/>
    <w:rsid w:val="00F32E7B"/>
    <w:rsid w:val="00F3534A"/>
    <w:rsid w:val="00F35BFB"/>
    <w:rsid w:val="00F36ACC"/>
    <w:rsid w:val="00F44B71"/>
    <w:rsid w:val="00F50F9C"/>
    <w:rsid w:val="00F51609"/>
    <w:rsid w:val="00F55C25"/>
    <w:rsid w:val="00F70A7A"/>
    <w:rsid w:val="00F73727"/>
    <w:rsid w:val="00F766A7"/>
    <w:rsid w:val="00F81006"/>
    <w:rsid w:val="00F85325"/>
    <w:rsid w:val="00F974AC"/>
    <w:rsid w:val="00FA6614"/>
    <w:rsid w:val="00FD1DD1"/>
    <w:rsid w:val="00FD22B1"/>
    <w:rsid w:val="00FD305E"/>
    <w:rsid w:val="00FD33F1"/>
    <w:rsid w:val="00FD3566"/>
    <w:rsid w:val="00FE3C71"/>
    <w:rsid w:val="00FE5397"/>
    <w:rsid w:val="00FE59E3"/>
    <w:rsid w:val="00FF1543"/>
    <w:rsid w:val="00FF3F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94DF795B-155E-4D82-A774-DE3A1F8D9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0D8E"/>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Box"/>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character" w:styleId="PlaceholderText">
    <w:name w:val="Placeholder Text"/>
    <w:basedOn w:val="DefaultParagraphFont"/>
    <w:uiPriority w:val="99"/>
    <w:semiHidden/>
    <w:rsid w:val="00110F30"/>
    <w:rPr>
      <w:color w:val="808080"/>
    </w:rPr>
  </w:style>
  <w:style w:type="paragraph" w:customStyle="1" w:styleId="PCAddress">
    <w:name w:val="PC Address"/>
    <w:basedOn w:val="Normal"/>
    <w:rsid w:val="00232BF3"/>
    <w:pPr>
      <w:tabs>
        <w:tab w:val="left" w:pos="866"/>
      </w:tabs>
      <w:spacing w:after="60"/>
    </w:pPr>
    <w:rPr>
      <w:rFonts w:ascii="Goudy Old Style" w:hAnsi="Goudy Old Style"/>
      <w:sz w:val="16"/>
      <w:szCs w:val="20"/>
    </w:rPr>
  </w:style>
  <w:style w:type="paragraph" w:styleId="Date">
    <w:name w:val="Date"/>
    <w:basedOn w:val="Normal"/>
    <w:next w:val="Normal"/>
    <w:link w:val="DateChar"/>
    <w:autoRedefine/>
    <w:rsid w:val="00232BF3"/>
    <w:rPr>
      <w:noProof/>
      <w:szCs w:val="20"/>
    </w:rPr>
  </w:style>
  <w:style w:type="character" w:customStyle="1" w:styleId="DateChar">
    <w:name w:val="Date Char"/>
    <w:basedOn w:val="DefaultParagraphFont"/>
    <w:link w:val="Date"/>
    <w:rsid w:val="00232BF3"/>
    <w:rPr>
      <w:noProof/>
      <w:sz w:val="24"/>
    </w:rPr>
  </w:style>
  <w:style w:type="paragraph" w:styleId="CommentSubject">
    <w:name w:val="annotation subject"/>
    <w:basedOn w:val="CommentText"/>
    <w:next w:val="CommentText"/>
    <w:link w:val="CommentSubjectChar"/>
    <w:semiHidden/>
    <w:unhideWhenUsed/>
    <w:rsid w:val="00896B1B"/>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896B1B"/>
    <w:rPr>
      <w:szCs w:val="24"/>
    </w:rPr>
  </w:style>
  <w:style w:type="character" w:customStyle="1" w:styleId="CommentSubjectChar">
    <w:name w:val="Comment Subject Char"/>
    <w:basedOn w:val="CommentTextChar"/>
    <w:link w:val="CommentSubject"/>
    <w:semiHidden/>
    <w:rsid w:val="00896B1B"/>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CD232-CE2B-4E36-9232-4CCF9FD80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752FD40C.dotm</Template>
  <TotalTime>0</TotalTime>
  <Pages>15</Pages>
  <Words>4736</Words>
  <Characters>28102</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Supporting Australia’s Exports and Attracting Investment - Productivity Commission submission</vt:lpstr>
    </vt:vector>
  </TitlesOfParts>
  <Manager/>
  <Company>Productivity Commission</Company>
  <LinksUpToDate>false</LinksUpToDate>
  <CharactersWithSpaces>32773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Australia’s Exports and Attracting Investment - Productivity Commission submission</dc:title>
  <dc:subject/>
  <dc:creator>Productivity Commission</dc:creator>
  <cp:keywords/>
  <dc:description/>
  <cp:lastModifiedBy>Productivity Commission</cp:lastModifiedBy>
  <cp:revision>2</cp:revision>
  <dcterms:created xsi:type="dcterms:W3CDTF">2019-09-26T06:47:00Z</dcterms:created>
  <dcterms:modified xsi:type="dcterms:W3CDTF">2019-10-07T04:40:00Z</dcterms:modified>
</cp:coreProperties>
</file>