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2235" w:rsidRDefault="002C5DD3" w:rsidP="002276D4">
      <w:pPr>
        <w:pStyle w:val="BodyText"/>
        <w:rPr>
          <w:b/>
          <w:szCs w:val="26"/>
        </w:rPr>
      </w:pPr>
      <w:bookmarkStart w:id="0" w:name="ChapterTitle"/>
      <w:r>
        <w:rPr>
          <w:noProof/>
        </w:rPr>
        <w:drawing>
          <wp:anchor distT="0" distB="0" distL="114300" distR="114300" simplePos="0" relativeHeight="251658240" behindDoc="0" locked="0" layoutInCell="1" allowOverlap="1">
            <wp:simplePos x="1151467" y="1411111"/>
            <wp:positionH relativeFrom="page">
              <wp:align>center</wp:align>
            </wp:positionH>
            <wp:positionV relativeFrom="page">
              <wp:align>center</wp:align>
            </wp:positionV>
            <wp:extent cx="5486400" cy="9360000"/>
            <wp:effectExtent l="0" t="0" r="0" b="0"/>
            <wp:wrapNone/>
            <wp:docPr id="1" name="Picture 1" descr="The Australian Government Productivity Commission logo.&#10;Cover image for the Productivity Commission Staff Research Note titled 'On sustainability: an economic approach' by Ana Markulev and Anthea Long. Published May 2013. The views expressed in this note are those of the staff involved and do not necessarily reflect the views of the Productivity Commiss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over-sustainability-srn.png"/>
                    <pic:cNvPicPr/>
                  </pic:nvPicPr>
                  <pic:blipFill>
                    <a:blip r:embed="rId9">
                      <a:extLst>
                        <a:ext uri="{28A0092B-C50C-407E-A947-70E740481C1C}">
                          <a14:useLocalDpi xmlns:a14="http://schemas.microsoft.com/office/drawing/2010/main" val="0"/>
                        </a:ext>
                      </a:extLst>
                    </a:blip>
                    <a:stretch>
                      <a:fillRect/>
                    </a:stretch>
                  </pic:blipFill>
                  <pic:spPr>
                    <a:xfrm>
                      <a:off x="0" y="0"/>
                      <a:ext cx="5486400" cy="9360000"/>
                    </a:xfrm>
                    <a:prstGeom prst="rect">
                      <a:avLst/>
                    </a:prstGeom>
                  </pic:spPr>
                </pic:pic>
              </a:graphicData>
            </a:graphic>
            <wp14:sizeRelH relativeFrom="margin">
              <wp14:pctWidth>0</wp14:pctWidth>
            </wp14:sizeRelH>
            <wp14:sizeRelV relativeFrom="margin">
              <wp14:pctHeight>0</wp14:pctHeight>
            </wp14:sizeRelV>
          </wp:anchor>
        </w:drawing>
      </w:r>
      <w:r w:rsidR="000B2235">
        <w:br w:type="page"/>
      </w:r>
      <w:bookmarkStart w:id="1" w:name="_GoBack"/>
      <w:bookmarkEnd w:id="1"/>
    </w:p>
    <w:p w:rsidR="000B2235" w:rsidRDefault="000B2235" w:rsidP="002276D4">
      <w:pPr>
        <w:pStyle w:val="TOC1"/>
      </w:pPr>
      <w:r w:rsidRPr="008C305F">
        <w:lastRenderedPageBreak/>
        <w:fldChar w:fldCharType="begin"/>
      </w:r>
      <w:r w:rsidRPr="008C305F">
        <w:instrText>SYMBOL 227 \f "Symbol"</w:instrText>
      </w:r>
      <w:r w:rsidRPr="008C305F">
        <w:fldChar w:fldCharType="end"/>
      </w:r>
      <w:r w:rsidRPr="008C305F">
        <w:t xml:space="preserve"> Commonwealth of Australia </w:t>
      </w:r>
      <w:r>
        <w:t>2013</w:t>
      </w:r>
    </w:p>
    <w:p w:rsidR="000B2235" w:rsidRPr="007809B8" w:rsidRDefault="000B2235">
      <w:pPr>
        <w:pStyle w:val="BodyText"/>
        <w:tabs>
          <w:tab w:val="left" w:pos="851"/>
        </w:tabs>
        <w:spacing w:before="200" w:after="120"/>
        <w:jc w:val="left"/>
        <w:rPr>
          <w:b/>
          <w:sz w:val="24"/>
        </w:rPr>
      </w:pPr>
      <w:bookmarkStart w:id="2" w:name="ISSN"/>
      <w:bookmarkEnd w:id="2"/>
      <w:r>
        <w:rPr>
          <w:b/>
          <w:sz w:val="24"/>
        </w:rPr>
        <w:t>ISBN</w:t>
      </w:r>
      <w:r>
        <w:rPr>
          <w:b/>
          <w:sz w:val="24"/>
        </w:rPr>
        <w:tab/>
      </w:r>
      <w:r w:rsidRPr="00CE6A51">
        <w:rPr>
          <w:b/>
          <w:sz w:val="24"/>
        </w:rPr>
        <w:t>978-1-74037-439-2</w:t>
      </w:r>
    </w:p>
    <w:p w:rsidR="000B2235" w:rsidRPr="00F4234E" w:rsidRDefault="000B2235" w:rsidP="002276D4">
      <w:pPr>
        <w:pStyle w:val="BodyText"/>
      </w:pPr>
      <w:r w:rsidRPr="00F4234E">
        <w:t>This work is copyright. Apart from any use as permitted under the</w:t>
      </w:r>
      <w:r>
        <w:rPr>
          <w:i/>
        </w:rPr>
        <w:t xml:space="preserve"> Copyright Act </w:t>
      </w:r>
      <w:r w:rsidRPr="00F4234E">
        <w:rPr>
          <w:i/>
        </w:rPr>
        <w:t>1968</w:t>
      </w:r>
      <w:r w:rsidRPr="00F4234E">
        <w:t>, the work may be reproduced in whole or in part for study or training purposes, subject to the inclusion of an acknowledgment of the source. Reproduction for commercial use or sale requires prior written permission from the Productivity Commission. Requests and inquiries concerning reproduction and rights should be addressed to Media and Publications (see below).</w:t>
      </w:r>
    </w:p>
    <w:p w:rsidR="000B2235" w:rsidRPr="00F4234E" w:rsidRDefault="000B2235" w:rsidP="002276D4">
      <w:pPr>
        <w:pStyle w:val="BodyText"/>
        <w:rPr>
          <w:i/>
        </w:rPr>
      </w:pPr>
      <w:r w:rsidRPr="00F4234E">
        <w:rPr>
          <w:i/>
        </w:rPr>
        <w:t>This publication is available from the Productivity Commission website at www.pc.gov.au. If you require part or all of this publication in a different format, please contact Media and Publications.</w:t>
      </w:r>
    </w:p>
    <w:p w:rsidR="000B2235" w:rsidRDefault="000B2235" w:rsidP="002276D4">
      <w:pPr>
        <w:pStyle w:val="BodyText"/>
        <w:spacing w:before="320"/>
        <w:rPr>
          <w:b/>
          <w:sz w:val="24"/>
        </w:rPr>
      </w:pPr>
      <w:r>
        <w:rPr>
          <w:b/>
          <w:sz w:val="24"/>
        </w:rPr>
        <w:t>Publications enquiries:</w:t>
      </w:r>
    </w:p>
    <w:p w:rsidR="000B2235" w:rsidRDefault="000B2235" w:rsidP="002276D4">
      <w:pPr>
        <w:pStyle w:val="BodyText"/>
        <w:spacing w:before="0" w:line="240" w:lineRule="auto"/>
        <w:rPr>
          <w:sz w:val="24"/>
        </w:rPr>
      </w:pPr>
      <w:r>
        <w:rPr>
          <w:sz w:val="24"/>
        </w:rPr>
        <w:t xml:space="preserve">Media and </w:t>
      </w:r>
      <w:r w:rsidRPr="00FD4728">
        <w:rPr>
          <w:snapToGrid w:val="0"/>
          <w:sz w:val="24"/>
        </w:rPr>
        <w:t>Publications</w:t>
      </w:r>
    </w:p>
    <w:p w:rsidR="000B2235" w:rsidRDefault="000B2235" w:rsidP="002276D4">
      <w:pPr>
        <w:pStyle w:val="BodyText"/>
        <w:spacing w:before="0" w:line="240" w:lineRule="auto"/>
        <w:rPr>
          <w:sz w:val="24"/>
        </w:rPr>
      </w:pPr>
      <w:r>
        <w:rPr>
          <w:sz w:val="24"/>
        </w:rPr>
        <w:t xml:space="preserve">Productivity </w:t>
      </w:r>
      <w:r w:rsidRPr="00FD4728">
        <w:rPr>
          <w:snapToGrid w:val="0"/>
          <w:sz w:val="24"/>
        </w:rPr>
        <w:t>Commission</w:t>
      </w:r>
    </w:p>
    <w:p w:rsidR="000B2235" w:rsidRDefault="000B2235" w:rsidP="002276D4">
      <w:pPr>
        <w:pStyle w:val="BodyText"/>
        <w:spacing w:before="0" w:line="240" w:lineRule="auto"/>
        <w:rPr>
          <w:sz w:val="24"/>
        </w:rPr>
      </w:pPr>
      <w:r>
        <w:rPr>
          <w:sz w:val="24"/>
        </w:rPr>
        <w:t xml:space="preserve">Locked Bag </w:t>
      </w:r>
      <w:smartTag w:uri="urn:schemas-microsoft-com:office:smarttags" w:element="Street">
        <w:smartTag w:uri="urn:schemas-microsoft-com:office:smarttags" w:element="address">
          <w:r>
            <w:rPr>
              <w:sz w:val="24"/>
            </w:rPr>
            <w:t xml:space="preserve">2 Collins </w:t>
          </w:r>
          <w:r w:rsidRPr="00FD4728">
            <w:rPr>
              <w:snapToGrid w:val="0"/>
              <w:sz w:val="24"/>
            </w:rPr>
            <w:t>Street</w:t>
          </w:r>
          <w:r>
            <w:rPr>
              <w:sz w:val="24"/>
            </w:rPr>
            <w:t xml:space="preserve"> East</w:t>
          </w:r>
        </w:smartTag>
      </w:smartTag>
    </w:p>
    <w:p w:rsidR="000B2235" w:rsidRDefault="000B2235" w:rsidP="002276D4">
      <w:pPr>
        <w:pStyle w:val="BodyText"/>
        <w:spacing w:before="0" w:after="120" w:line="240" w:lineRule="auto"/>
        <w:rPr>
          <w:sz w:val="24"/>
        </w:rPr>
      </w:pPr>
      <w:smartTag w:uri="urn:schemas-microsoft-com:office:smarttags" w:element="City">
        <w:smartTag w:uri="urn:schemas-microsoft-com:office:smarttags" w:element="place">
          <w:r>
            <w:rPr>
              <w:sz w:val="24"/>
            </w:rPr>
            <w:t>Melbourne</w:t>
          </w:r>
        </w:smartTag>
      </w:smartTag>
      <w:r>
        <w:rPr>
          <w:sz w:val="24"/>
        </w:rPr>
        <w:t xml:space="preserve">    VIC    </w:t>
      </w:r>
      <w:r w:rsidRPr="00FD4728">
        <w:rPr>
          <w:snapToGrid w:val="0"/>
          <w:sz w:val="24"/>
        </w:rPr>
        <w:t>8003</w:t>
      </w:r>
    </w:p>
    <w:p w:rsidR="000B2235" w:rsidRPr="00FD4728" w:rsidRDefault="000B2235" w:rsidP="002276D4">
      <w:pPr>
        <w:pStyle w:val="BodyText"/>
        <w:tabs>
          <w:tab w:val="left" w:pos="1134"/>
        </w:tabs>
        <w:spacing w:before="0" w:line="240" w:lineRule="auto"/>
        <w:rPr>
          <w:sz w:val="24"/>
          <w:szCs w:val="24"/>
        </w:rPr>
      </w:pPr>
      <w:r w:rsidRPr="00FD4728">
        <w:rPr>
          <w:sz w:val="24"/>
          <w:szCs w:val="24"/>
        </w:rPr>
        <w:t>Tel:</w:t>
      </w:r>
      <w:r w:rsidRPr="00FD4728">
        <w:rPr>
          <w:sz w:val="24"/>
          <w:szCs w:val="24"/>
        </w:rPr>
        <w:tab/>
        <w:t>(03) 9653 2244</w:t>
      </w:r>
    </w:p>
    <w:p w:rsidR="000B2235" w:rsidRDefault="000B2235" w:rsidP="002276D4">
      <w:pPr>
        <w:pStyle w:val="BodyText"/>
        <w:tabs>
          <w:tab w:val="left" w:pos="1134"/>
        </w:tabs>
        <w:spacing w:before="0" w:line="240" w:lineRule="auto"/>
        <w:jc w:val="left"/>
      </w:pPr>
      <w:r w:rsidRPr="00FD4728">
        <w:rPr>
          <w:sz w:val="24"/>
          <w:szCs w:val="24"/>
        </w:rPr>
        <w:t>Fax:</w:t>
      </w:r>
      <w:r w:rsidRPr="00FD4728">
        <w:rPr>
          <w:sz w:val="24"/>
          <w:szCs w:val="24"/>
        </w:rPr>
        <w:tab/>
        <w:t>(03) 9653 2303</w:t>
      </w:r>
      <w:r w:rsidRPr="00FD4728">
        <w:rPr>
          <w:sz w:val="24"/>
          <w:szCs w:val="24"/>
        </w:rPr>
        <w:br/>
      </w:r>
      <w:r w:rsidRPr="008F04C9">
        <w:rPr>
          <w:sz w:val="24"/>
          <w:szCs w:val="24"/>
        </w:rPr>
        <w:t>Email:</w:t>
      </w:r>
      <w:r w:rsidRPr="008F04C9">
        <w:rPr>
          <w:sz w:val="24"/>
          <w:szCs w:val="24"/>
        </w:rPr>
        <w:tab/>
        <w:t>maps@pc.gov.au</w:t>
      </w:r>
    </w:p>
    <w:p w:rsidR="000B2235" w:rsidRDefault="000B2235" w:rsidP="002276D4">
      <w:pPr>
        <w:pStyle w:val="BodyText"/>
        <w:spacing w:before="320"/>
        <w:rPr>
          <w:b/>
          <w:sz w:val="24"/>
        </w:rPr>
      </w:pPr>
      <w:r>
        <w:rPr>
          <w:b/>
          <w:sz w:val="24"/>
        </w:rPr>
        <w:t>General enquiries:</w:t>
      </w:r>
    </w:p>
    <w:p w:rsidR="000B2235" w:rsidRPr="008F04C9" w:rsidRDefault="000B2235" w:rsidP="002276D4">
      <w:pPr>
        <w:pStyle w:val="BodyText"/>
        <w:tabs>
          <w:tab w:val="left" w:pos="1134"/>
        </w:tabs>
        <w:spacing w:before="0" w:line="240" w:lineRule="auto"/>
        <w:rPr>
          <w:sz w:val="24"/>
          <w:szCs w:val="24"/>
        </w:rPr>
      </w:pPr>
      <w:r w:rsidRPr="008F04C9">
        <w:rPr>
          <w:sz w:val="24"/>
          <w:szCs w:val="24"/>
        </w:rPr>
        <w:t>Tel:</w:t>
      </w:r>
      <w:r w:rsidRPr="008F04C9">
        <w:rPr>
          <w:sz w:val="24"/>
          <w:szCs w:val="24"/>
        </w:rPr>
        <w:tab/>
        <w:t>(03) 9653 2100 or (02) 6240 3200</w:t>
      </w:r>
    </w:p>
    <w:p w:rsidR="000B2235" w:rsidRPr="008F04C9" w:rsidRDefault="000B2235" w:rsidP="002276D4">
      <w:pPr>
        <w:pStyle w:val="BodyText"/>
        <w:spacing w:before="360" w:line="240" w:lineRule="auto"/>
        <w:rPr>
          <w:b/>
          <w:sz w:val="24"/>
          <w:szCs w:val="24"/>
        </w:rPr>
      </w:pPr>
      <w:r w:rsidRPr="008F04C9">
        <w:rPr>
          <w:b/>
          <w:sz w:val="24"/>
          <w:szCs w:val="24"/>
        </w:rPr>
        <w:t>An appropriate citation for this paper is:</w:t>
      </w:r>
    </w:p>
    <w:p w:rsidR="000B2235" w:rsidRPr="00CE6A51" w:rsidRDefault="000B2235" w:rsidP="002276D4">
      <w:pPr>
        <w:pStyle w:val="BodyText"/>
        <w:spacing w:before="160" w:after="120" w:line="240" w:lineRule="auto"/>
        <w:rPr>
          <w:sz w:val="24"/>
          <w:szCs w:val="24"/>
        </w:rPr>
      </w:pPr>
      <w:r>
        <w:rPr>
          <w:sz w:val="24"/>
          <w:szCs w:val="24"/>
        </w:rPr>
        <w:t xml:space="preserve">Markulev, A. and Long, A. 2013 </w:t>
      </w:r>
      <w:r w:rsidRPr="00CE6A51">
        <w:rPr>
          <w:i/>
          <w:sz w:val="24"/>
          <w:szCs w:val="24"/>
        </w:rPr>
        <w:t>On sustainability: an economic approach</w:t>
      </w:r>
      <w:r>
        <w:rPr>
          <w:i/>
          <w:sz w:val="24"/>
          <w:szCs w:val="24"/>
        </w:rPr>
        <w:t xml:space="preserve">, </w:t>
      </w:r>
      <w:r w:rsidRPr="00CE6A51">
        <w:rPr>
          <w:sz w:val="24"/>
          <w:szCs w:val="24"/>
        </w:rPr>
        <w:t>Staff Research Note, Productivity Commission, Canberra.</w:t>
      </w:r>
    </w:p>
    <w:p w:rsidR="000B2235" w:rsidRPr="00DC75C7" w:rsidRDefault="000B2235" w:rsidP="002276D4">
      <w:pPr>
        <w:pStyle w:val="PCBoxHeading"/>
      </w:pPr>
      <w:bookmarkStart w:id="3" w:name="JEL"/>
      <w:bookmarkEnd w:id="3"/>
      <w:r w:rsidRPr="00DC75C7">
        <w:t>The Productivity Commission</w:t>
      </w:r>
    </w:p>
    <w:p w:rsidR="000B2235" w:rsidRPr="00BB5DCF" w:rsidRDefault="000B2235" w:rsidP="002276D4">
      <w:pPr>
        <w:pStyle w:val="PCBoxtext"/>
      </w:pPr>
      <w:r w:rsidRPr="00BB5DCF">
        <w:t>The Productivity Commission is the Australian Government’s independent research and advisory body on a range of economic, social and environmental issues affecting the welfare of Australians. Its role, expressed most simply, is to help governments make better policies, in the long term interest of the Australian community.</w:t>
      </w:r>
    </w:p>
    <w:p w:rsidR="000B2235" w:rsidRPr="00BB5DCF" w:rsidRDefault="000B2235" w:rsidP="002276D4">
      <w:pPr>
        <w:pStyle w:val="PCBoxtext"/>
      </w:pPr>
      <w:r w:rsidRPr="00BB5DCF">
        <w:t>The Commission’s independence is underpinned by an Act of Parliament. Its processes and outputs are open to public scrutiny and are driven by concern for the wellbeing of the community as a whole.</w:t>
      </w:r>
    </w:p>
    <w:p w:rsidR="000B2235" w:rsidRPr="00BB5DCF" w:rsidRDefault="000B2235" w:rsidP="002276D4">
      <w:pPr>
        <w:pStyle w:val="BodyText"/>
        <w:pBdr>
          <w:top w:val="single" w:sz="4" w:space="5" w:color="auto"/>
          <w:left w:val="single" w:sz="4" w:space="8" w:color="auto"/>
          <w:bottom w:val="single" w:sz="4" w:space="14" w:color="auto"/>
          <w:right w:val="single" w:sz="4" w:space="8" w:color="auto"/>
        </w:pBdr>
        <w:spacing w:before="160" w:line="240" w:lineRule="auto"/>
        <w:ind w:left="284" w:right="284"/>
        <w:rPr>
          <w:sz w:val="24"/>
          <w:szCs w:val="24"/>
        </w:rPr>
      </w:pPr>
      <w:r w:rsidRPr="00BB5DCF">
        <w:rPr>
          <w:sz w:val="24"/>
          <w:szCs w:val="24"/>
        </w:rPr>
        <w:t>Further information on the Productivity Commission can be obtained from the Commission’s website (www.pc.gov.au) or by contacting Media and Publications on (03) 9653 2244 or email: maps@pc.gov.au</w:t>
      </w:r>
    </w:p>
    <w:p w:rsidR="000B2235" w:rsidRDefault="000B2235">
      <w:pPr>
        <w:pStyle w:val="BodyText"/>
        <w:sectPr w:rsidR="000B2235" w:rsidSect="002276D4">
          <w:pgSz w:w="11907" w:h="16840" w:code="9"/>
          <w:pgMar w:top="1985" w:right="1304" w:bottom="1418" w:left="1814" w:header="1701" w:footer="567" w:gutter="0"/>
          <w:pgNumType w:start="1" w:chapSep="period"/>
          <w:cols w:space="720"/>
        </w:sectPr>
      </w:pPr>
      <w:bookmarkStart w:id="4" w:name="cov"/>
      <w:bookmarkEnd w:id="4"/>
    </w:p>
    <w:p w:rsidR="00532F7A" w:rsidRPr="00532F7A" w:rsidRDefault="0021295F" w:rsidP="00F16843">
      <w:pPr>
        <w:pStyle w:val="Heading1"/>
      </w:pPr>
      <w:bookmarkStart w:id="5" w:name="Contents"/>
      <w:bookmarkStart w:id="6" w:name="Glossary"/>
      <w:bookmarkEnd w:id="5"/>
      <w:bookmarkEnd w:id="6"/>
      <w:r>
        <w:lastRenderedPageBreak/>
        <w:t xml:space="preserve">On sustainability: an economic approach </w:t>
      </w:r>
      <w:bookmarkEnd w:id="0"/>
    </w:p>
    <w:p w:rsidR="00F46BBD" w:rsidRPr="00DA6C3E" w:rsidRDefault="002A0FB8" w:rsidP="00DA6C3E">
      <w:pPr>
        <w:pStyle w:val="BodyText"/>
        <w:rPr>
          <w:i/>
        </w:rPr>
      </w:pPr>
      <w:r w:rsidRPr="00DA6C3E">
        <w:rPr>
          <w:i/>
        </w:rPr>
        <w:t>‘</w:t>
      </w:r>
      <w:r w:rsidR="00040C48" w:rsidRPr="00DA6C3E">
        <w:rPr>
          <w:i/>
        </w:rPr>
        <w:t>Sustainability</w:t>
      </w:r>
      <w:r w:rsidRPr="00DA6C3E">
        <w:rPr>
          <w:i/>
        </w:rPr>
        <w:t>’</w:t>
      </w:r>
      <w:r w:rsidR="00040C48" w:rsidRPr="00DA6C3E">
        <w:rPr>
          <w:i/>
        </w:rPr>
        <w:t xml:space="preserve"> </w:t>
      </w:r>
      <w:r w:rsidR="0040072F" w:rsidRPr="00DA6C3E">
        <w:rPr>
          <w:i/>
        </w:rPr>
        <w:t xml:space="preserve">is </w:t>
      </w:r>
      <w:r w:rsidR="006F04AB" w:rsidRPr="00DA6C3E">
        <w:rPr>
          <w:i/>
        </w:rPr>
        <w:t>invoked</w:t>
      </w:r>
      <w:r w:rsidR="00E60A02" w:rsidRPr="00DA6C3E">
        <w:rPr>
          <w:i/>
        </w:rPr>
        <w:t xml:space="preserve"> as a </w:t>
      </w:r>
      <w:r w:rsidR="006F04AB" w:rsidRPr="00DA6C3E">
        <w:rPr>
          <w:i/>
        </w:rPr>
        <w:t>desirable</w:t>
      </w:r>
      <w:r w:rsidR="00E60A02" w:rsidRPr="00DA6C3E">
        <w:rPr>
          <w:i/>
        </w:rPr>
        <w:t xml:space="preserve"> objective</w:t>
      </w:r>
      <w:r w:rsidR="006F04AB" w:rsidRPr="00DA6C3E">
        <w:rPr>
          <w:i/>
        </w:rPr>
        <w:t xml:space="preserve"> in a range of context</w:t>
      </w:r>
      <w:r w:rsidR="005977EF" w:rsidRPr="00DA6C3E">
        <w:rPr>
          <w:i/>
        </w:rPr>
        <w:t>s,</w:t>
      </w:r>
      <w:r w:rsidR="006F04AB" w:rsidRPr="00DA6C3E">
        <w:rPr>
          <w:i/>
        </w:rPr>
        <w:t xml:space="preserve"> yet</w:t>
      </w:r>
      <w:r w:rsidR="00DC2CDE" w:rsidRPr="00DA6C3E">
        <w:rPr>
          <w:i/>
        </w:rPr>
        <w:t xml:space="preserve"> </w:t>
      </w:r>
      <w:r w:rsidR="006F04AB" w:rsidRPr="00DA6C3E">
        <w:rPr>
          <w:i/>
        </w:rPr>
        <w:t>it</w:t>
      </w:r>
      <w:r w:rsidR="00DA2B01" w:rsidRPr="00DA6C3E">
        <w:rPr>
          <w:i/>
        </w:rPr>
        <w:t>s</w:t>
      </w:r>
      <w:r w:rsidR="006F04AB" w:rsidRPr="00DA6C3E">
        <w:rPr>
          <w:i/>
        </w:rPr>
        <w:t xml:space="preserve"> mean</w:t>
      </w:r>
      <w:r w:rsidR="00DA2B01" w:rsidRPr="00DA6C3E">
        <w:rPr>
          <w:i/>
        </w:rPr>
        <w:t>ing</w:t>
      </w:r>
      <w:r w:rsidR="006F04AB" w:rsidRPr="00DA6C3E">
        <w:rPr>
          <w:i/>
        </w:rPr>
        <w:t xml:space="preserve"> i</w:t>
      </w:r>
      <w:r w:rsidR="00DA2B01" w:rsidRPr="00DA6C3E">
        <w:rPr>
          <w:i/>
        </w:rPr>
        <w:t>s</w:t>
      </w:r>
      <w:r w:rsidR="006F04AB" w:rsidRPr="00DA6C3E">
        <w:rPr>
          <w:i/>
        </w:rPr>
        <w:t xml:space="preserve"> not </w:t>
      </w:r>
      <w:r w:rsidR="00DA2B01" w:rsidRPr="00DA6C3E">
        <w:rPr>
          <w:i/>
        </w:rPr>
        <w:t>always clear</w:t>
      </w:r>
      <w:r w:rsidR="006F04AB" w:rsidRPr="00DA6C3E">
        <w:rPr>
          <w:i/>
        </w:rPr>
        <w:t>.</w:t>
      </w:r>
      <w:r w:rsidR="0040072F" w:rsidRPr="00DA6C3E">
        <w:rPr>
          <w:i/>
        </w:rPr>
        <w:t xml:space="preserve"> </w:t>
      </w:r>
      <w:r w:rsidR="00606CB1" w:rsidRPr="00DA6C3E">
        <w:rPr>
          <w:i/>
        </w:rPr>
        <w:t>S</w:t>
      </w:r>
      <w:r w:rsidR="005977EF" w:rsidRPr="00DA6C3E">
        <w:rPr>
          <w:i/>
        </w:rPr>
        <w:t>ustainability</w:t>
      </w:r>
      <w:r w:rsidR="006F04AB" w:rsidRPr="00DA6C3E">
        <w:rPr>
          <w:i/>
        </w:rPr>
        <w:t xml:space="preserve"> </w:t>
      </w:r>
      <w:r w:rsidR="00B531C8" w:rsidRPr="00DA6C3E">
        <w:rPr>
          <w:i/>
        </w:rPr>
        <w:t xml:space="preserve">can </w:t>
      </w:r>
      <w:r w:rsidR="00990D78" w:rsidRPr="00DA6C3E">
        <w:rPr>
          <w:i/>
        </w:rPr>
        <w:t xml:space="preserve">imply </w:t>
      </w:r>
      <w:r w:rsidR="00122DA4" w:rsidRPr="00DA6C3E">
        <w:rPr>
          <w:i/>
        </w:rPr>
        <w:t>vastly different policy responses</w:t>
      </w:r>
      <w:r w:rsidR="00606CB1" w:rsidRPr="00DA6C3E">
        <w:rPr>
          <w:i/>
        </w:rPr>
        <w:t xml:space="preserve"> depending on interpretation</w:t>
      </w:r>
      <w:r w:rsidR="00DA2B01" w:rsidRPr="00DA6C3E">
        <w:rPr>
          <w:i/>
        </w:rPr>
        <w:t>, particularly</w:t>
      </w:r>
      <w:r w:rsidR="00AD3DDC" w:rsidRPr="00DA6C3E">
        <w:rPr>
          <w:i/>
        </w:rPr>
        <w:t xml:space="preserve"> </w:t>
      </w:r>
      <w:r w:rsidR="00DA2B01" w:rsidRPr="00DA6C3E">
        <w:rPr>
          <w:i/>
        </w:rPr>
        <w:t>in relation to</w:t>
      </w:r>
      <w:r w:rsidR="00DC2CDE" w:rsidRPr="00DA6C3E">
        <w:rPr>
          <w:i/>
        </w:rPr>
        <w:t xml:space="preserve"> </w:t>
      </w:r>
      <w:r w:rsidR="00261DE8" w:rsidRPr="00DA6C3E">
        <w:rPr>
          <w:i/>
        </w:rPr>
        <w:t xml:space="preserve">the degree to which </w:t>
      </w:r>
      <w:r w:rsidR="00015F80" w:rsidRPr="00DA6C3E">
        <w:rPr>
          <w:i/>
        </w:rPr>
        <w:t>environmental and other resources</w:t>
      </w:r>
      <w:r w:rsidR="00261DE8" w:rsidRPr="00DA6C3E">
        <w:rPr>
          <w:i/>
        </w:rPr>
        <w:t xml:space="preserve"> should be </w:t>
      </w:r>
      <w:r w:rsidR="00753D2B" w:rsidRPr="00DA6C3E">
        <w:rPr>
          <w:i/>
        </w:rPr>
        <w:t>consumed</w:t>
      </w:r>
      <w:r w:rsidR="0040072F" w:rsidRPr="00DA6C3E">
        <w:rPr>
          <w:i/>
        </w:rPr>
        <w:t xml:space="preserve"> </w:t>
      </w:r>
      <w:r w:rsidR="006D6002" w:rsidRPr="00DA6C3E">
        <w:rPr>
          <w:i/>
        </w:rPr>
        <w:t>over time</w:t>
      </w:r>
      <w:r w:rsidR="00342C12" w:rsidRPr="00DA6C3E">
        <w:rPr>
          <w:i/>
        </w:rPr>
        <w:t xml:space="preserve">. </w:t>
      </w:r>
      <w:r w:rsidR="005977EF" w:rsidRPr="00DA6C3E">
        <w:rPr>
          <w:i/>
        </w:rPr>
        <w:t>Using an economic framework for exploring the issues, t</w:t>
      </w:r>
      <w:r w:rsidR="00040C48" w:rsidRPr="00DA6C3E">
        <w:rPr>
          <w:i/>
        </w:rPr>
        <w:t xml:space="preserve">his staff research note </w:t>
      </w:r>
      <w:r w:rsidR="009E2B9A" w:rsidRPr="00DA6C3E">
        <w:rPr>
          <w:i/>
        </w:rPr>
        <w:t>illustrate</w:t>
      </w:r>
      <w:r w:rsidR="00342C12" w:rsidRPr="00DA6C3E">
        <w:rPr>
          <w:i/>
        </w:rPr>
        <w:t>s</w:t>
      </w:r>
      <w:r w:rsidR="009E2B9A" w:rsidRPr="00DA6C3E">
        <w:rPr>
          <w:i/>
        </w:rPr>
        <w:t xml:space="preserve"> </w:t>
      </w:r>
      <w:r w:rsidR="00342C12" w:rsidRPr="00DA6C3E">
        <w:rPr>
          <w:i/>
        </w:rPr>
        <w:t>possible</w:t>
      </w:r>
      <w:r w:rsidR="009E2B9A" w:rsidRPr="00DA6C3E">
        <w:rPr>
          <w:i/>
        </w:rPr>
        <w:t xml:space="preserve"> i</w:t>
      </w:r>
      <w:r w:rsidR="008B78F0" w:rsidRPr="00DA6C3E">
        <w:rPr>
          <w:i/>
        </w:rPr>
        <w:t>nterpretations</w:t>
      </w:r>
      <w:r w:rsidR="004750A4" w:rsidRPr="00DA6C3E">
        <w:rPr>
          <w:i/>
        </w:rPr>
        <w:t xml:space="preserve"> </w:t>
      </w:r>
      <w:r w:rsidR="005977EF" w:rsidRPr="00DA6C3E">
        <w:rPr>
          <w:i/>
        </w:rPr>
        <w:t>of sustainability and what they imply</w:t>
      </w:r>
      <w:r w:rsidR="009E2B9A" w:rsidRPr="00DA6C3E">
        <w:rPr>
          <w:i/>
        </w:rPr>
        <w:t xml:space="preserve"> </w:t>
      </w:r>
      <w:r w:rsidR="005977EF" w:rsidRPr="00DA6C3E">
        <w:rPr>
          <w:i/>
        </w:rPr>
        <w:t xml:space="preserve">for </w:t>
      </w:r>
      <w:r w:rsidR="00040C48" w:rsidRPr="00DA6C3E">
        <w:rPr>
          <w:i/>
        </w:rPr>
        <w:t>p</w:t>
      </w:r>
      <w:r w:rsidR="002400ED" w:rsidRPr="00DA6C3E">
        <w:rPr>
          <w:i/>
        </w:rPr>
        <w:t>olicy analysis</w:t>
      </w:r>
      <w:r w:rsidR="00CF1D05" w:rsidRPr="00DA6C3E">
        <w:rPr>
          <w:i/>
        </w:rPr>
        <w:t>.</w:t>
      </w:r>
    </w:p>
    <w:p w:rsidR="00F46BBD" w:rsidRDefault="00F46BBD" w:rsidP="008F0E85">
      <w:pPr>
        <w:pStyle w:val="Heading2"/>
      </w:pPr>
      <w:r>
        <w:t>What is sustainability</w:t>
      </w:r>
      <w:r w:rsidR="008F0E85">
        <w:t>?</w:t>
      </w:r>
    </w:p>
    <w:p w:rsidR="002F6F33" w:rsidRPr="002F6F33" w:rsidRDefault="00B1436F" w:rsidP="009A5D06">
      <w:pPr>
        <w:pStyle w:val="BodyText"/>
      </w:pPr>
      <w:r>
        <w:t>At its most general level</w:t>
      </w:r>
      <w:r w:rsidR="000F36A9">
        <w:t xml:space="preserve">, sustainability refers to the </w:t>
      </w:r>
      <w:r w:rsidR="00394378">
        <w:t xml:space="preserve">capacity to </w:t>
      </w:r>
      <w:r w:rsidR="000F36A9">
        <w:t>continu</w:t>
      </w:r>
      <w:r w:rsidR="00394378">
        <w:t>e</w:t>
      </w:r>
      <w:r w:rsidR="000F36A9">
        <w:t xml:space="preserve"> an activity or process </w:t>
      </w:r>
      <w:r w:rsidR="00394378">
        <w:t>indefinitely</w:t>
      </w:r>
      <w:r w:rsidR="000F36A9">
        <w:t>. It can be related to any number of economic, social, or environmental activities and can have varied meanin</w:t>
      </w:r>
      <w:r>
        <w:t>g</w:t>
      </w:r>
      <w:r w:rsidR="00FC7D08">
        <w:t>s</w:t>
      </w:r>
      <w:r>
        <w:t xml:space="preserve"> within different disciplines. </w:t>
      </w:r>
      <w:r w:rsidR="00DB082C">
        <w:t>Unsurprisingly</w:t>
      </w:r>
      <w:r w:rsidR="00342C12">
        <w:t>,</w:t>
      </w:r>
      <w:r w:rsidR="00ED6CF0">
        <w:t xml:space="preserve"> </w:t>
      </w:r>
      <w:r w:rsidR="002F6F33" w:rsidRPr="002F6F33">
        <w:t xml:space="preserve">there is a </w:t>
      </w:r>
      <w:r w:rsidR="00DB082C">
        <w:t>multitude</w:t>
      </w:r>
      <w:r w:rsidR="005619B8">
        <w:t xml:space="preserve"> </w:t>
      </w:r>
      <w:r w:rsidR="002F6F33" w:rsidRPr="002F6F33">
        <w:t>of definitions</w:t>
      </w:r>
      <w:r w:rsidR="00F6458C">
        <w:t xml:space="preserve"> of sustainability and sustainable development</w:t>
      </w:r>
      <w:r w:rsidR="00FC7D08">
        <w:t>.</w:t>
      </w:r>
      <w:r w:rsidR="00F6458C" w:rsidRPr="002F6F33">
        <w:rPr>
          <w:position w:val="6"/>
          <w:sz w:val="22"/>
        </w:rPr>
        <w:footnoteReference w:id="1"/>
      </w:r>
      <w:r w:rsidR="002F6F33" w:rsidRPr="002F6F33">
        <w:t xml:space="preserve"> The most frequently cited definition is that of the United Nations </w:t>
      </w:r>
      <w:r w:rsidR="002F6F33" w:rsidRPr="006562EA">
        <w:t>World Commission on Environment and Deve</w:t>
      </w:r>
      <w:r w:rsidR="002F6F33" w:rsidRPr="007703AB">
        <w:t>lopment</w:t>
      </w:r>
      <w:r w:rsidR="002F6F33" w:rsidRPr="002F6F33">
        <w:t xml:space="preserve"> </w:t>
      </w:r>
      <w:r w:rsidR="005823CD">
        <w:t xml:space="preserve">1987 </w:t>
      </w:r>
      <w:r w:rsidR="002F6F33" w:rsidRPr="002F6F33">
        <w:t>(the ‘</w:t>
      </w:r>
      <w:proofErr w:type="spellStart"/>
      <w:r w:rsidR="002F6F33" w:rsidRPr="002F6F33">
        <w:t>Bruntland</w:t>
      </w:r>
      <w:proofErr w:type="spellEnd"/>
      <w:r w:rsidR="002F6F33" w:rsidRPr="002F6F33">
        <w:t>’ Commission)</w:t>
      </w:r>
      <w:r w:rsidR="00FC7D08">
        <w:t>.</w:t>
      </w:r>
    </w:p>
    <w:p w:rsidR="002F6F33" w:rsidRPr="002F6F33" w:rsidRDefault="002F6F33" w:rsidP="002F6F33">
      <w:pPr>
        <w:pStyle w:val="Quote"/>
      </w:pPr>
      <w:r w:rsidRPr="002F6F33">
        <w:t>Development that meets the needs of the present without compromising the ability of future generations to meet their own needs.</w:t>
      </w:r>
    </w:p>
    <w:p w:rsidR="0058398A" w:rsidRPr="00F16843" w:rsidRDefault="0058398A" w:rsidP="00F16843">
      <w:pPr>
        <w:pStyle w:val="BodyText"/>
      </w:pPr>
      <w:r w:rsidRPr="00F16843">
        <w:t>In Australia, the National Strategy for Eco</w:t>
      </w:r>
      <w:r w:rsidR="000F354C" w:rsidRPr="00F16843">
        <w:t>logical Sustainable Development</w:t>
      </w:r>
      <w:r w:rsidR="0094673F" w:rsidRPr="00F16843">
        <w:t xml:space="preserve"> </w:t>
      </w:r>
      <w:r w:rsidRPr="00F16843">
        <w:t>defines sustainable development as:</w:t>
      </w:r>
    </w:p>
    <w:p w:rsidR="0058398A" w:rsidRDefault="0058398A" w:rsidP="0058398A">
      <w:pPr>
        <w:pStyle w:val="Quote"/>
      </w:pPr>
      <w:r w:rsidRPr="002F6F33">
        <w:t>… using, conserving and enhancing the community’s resources so that ecological processes, on which life depends, are maintained, and the total quality of life, now and in the future, can be increased. (Co</w:t>
      </w:r>
      <w:r w:rsidR="00FC7D08">
        <w:t xml:space="preserve">mmonwealth of </w:t>
      </w:r>
      <w:r w:rsidRPr="002F6F33">
        <w:t>A</w:t>
      </w:r>
      <w:r w:rsidR="00FC7D08">
        <w:t>ustralia</w:t>
      </w:r>
      <w:r w:rsidRPr="002F6F33">
        <w:t xml:space="preserve"> 1992)</w:t>
      </w:r>
    </w:p>
    <w:p w:rsidR="00933D48" w:rsidRDefault="009A5D06" w:rsidP="004C119C">
      <w:pPr>
        <w:pStyle w:val="BodyText"/>
      </w:pPr>
      <w:r>
        <w:t>Sustainability mean</w:t>
      </w:r>
      <w:r w:rsidR="001C32AF">
        <w:t>s</w:t>
      </w:r>
      <w:r>
        <w:t xml:space="preserve"> different things to diff</w:t>
      </w:r>
      <w:r w:rsidR="007377A7">
        <w:t>er</w:t>
      </w:r>
      <w:r w:rsidR="000A03CF">
        <w:t>ent people and has</w:t>
      </w:r>
      <w:r w:rsidR="004C119C" w:rsidRPr="00C0724B">
        <w:t xml:space="preserve"> entered the vernacular in varying (an</w:t>
      </w:r>
      <w:r w:rsidR="007377A7">
        <w:t>d sometimes conflicting) ways — for</w:t>
      </w:r>
      <w:r w:rsidR="004C119C" w:rsidRPr="00C0724B">
        <w:t xml:space="preserve"> example, </w:t>
      </w:r>
      <w:r w:rsidR="004C119C">
        <w:t xml:space="preserve">it can be used </w:t>
      </w:r>
      <w:r w:rsidR="004C119C" w:rsidRPr="00C0724B">
        <w:t xml:space="preserve">to suggest that something is financially viable, ‘environmentally friendly’, </w:t>
      </w:r>
      <w:r w:rsidR="004C119C" w:rsidRPr="00C0724B">
        <w:lastRenderedPageBreak/>
        <w:t>takes a long</w:t>
      </w:r>
      <w:r w:rsidR="00B328A2">
        <w:noBreakHyphen/>
      </w:r>
      <w:r w:rsidR="004C119C" w:rsidRPr="00C0724B">
        <w:t>term view, or can be continued indefinitely</w:t>
      </w:r>
      <w:r w:rsidR="004C119C">
        <w:t>.</w:t>
      </w:r>
      <w:r w:rsidR="00B531C8">
        <w:t xml:space="preserve"> It has also been adopted by private companies through </w:t>
      </w:r>
      <w:r w:rsidR="00E9213F">
        <w:t xml:space="preserve">various </w:t>
      </w:r>
      <w:r w:rsidR="0074475E">
        <w:t xml:space="preserve">corporate social responsibility </w:t>
      </w:r>
      <w:r w:rsidR="00E9213F">
        <w:t>initiatives</w:t>
      </w:r>
      <w:r w:rsidR="00B531C8">
        <w:t>.</w:t>
      </w:r>
      <w:r w:rsidR="00933D48">
        <w:t xml:space="preserve"> As expressed by the </w:t>
      </w:r>
      <w:r w:rsidR="00055DF5">
        <w:t>NSW</w:t>
      </w:r>
      <w:r w:rsidR="00933D48">
        <w:t xml:space="preserve"> Government</w:t>
      </w:r>
      <w:r w:rsidR="00055DF5">
        <w:t xml:space="preserve"> (2011)</w:t>
      </w:r>
      <w:r w:rsidR="004B4F71">
        <w:t>:</w:t>
      </w:r>
    </w:p>
    <w:p w:rsidR="004C119C" w:rsidRDefault="004B4F71" w:rsidP="00933D48">
      <w:pPr>
        <w:pStyle w:val="Quote"/>
      </w:pPr>
      <w:r>
        <w:t>T</w:t>
      </w:r>
      <w:r w:rsidR="00933D48">
        <w:t>here is no simple definition of ‘sustainability’. It can be an idea, a property of living systems, a manufacturing method or a way of life. In fact, there are as many definition</w:t>
      </w:r>
      <w:r w:rsidR="00F85B93">
        <w:t>s</w:t>
      </w:r>
      <w:r w:rsidR="00933D48">
        <w:t xml:space="preserve"> of sustainability as there are people trying to define it. </w:t>
      </w:r>
    </w:p>
    <w:p w:rsidR="00933D48" w:rsidRDefault="00DB082C" w:rsidP="00933D48">
      <w:pPr>
        <w:pStyle w:val="BodyText"/>
      </w:pPr>
      <w:r>
        <w:t>N</w:t>
      </w:r>
      <w:r w:rsidR="00933D48">
        <w:t>otwithstanding differences in interpretation, the</w:t>
      </w:r>
      <w:r w:rsidR="00990D78">
        <w:t xml:space="preserve">re is general agreement that sustainability is related to the objective of </w:t>
      </w:r>
      <w:r w:rsidR="00342C12">
        <w:t>maintain</w:t>
      </w:r>
      <w:r w:rsidR="00990D78">
        <w:t>ing</w:t>
      </w:r>
      <w:r w:rsidR="00342C12">
        <w:t xml:space="preserve"> the wellbeing of </w:t>
      </w:r>
      <w:r w:rsidR="00A87D70">
        <w:t>society over time</w:t>
      </w:r>
      <w:r w:rsidR="007B4AEF">
        <w:t xml:space="preserve">. </w:t>
      </w:r>
      <w:r w:rsidR="00C13E47">
        <w:t>However, there is disagreement on how to incorporate sustainability considerations into public policy analysis.</w:t>
      </w:r>
    </w:p>
    <w:p w:rsidR="00650A85" w:rsidRDefault="00650A85" w:rsidP="00650A85">
      <w:pPr>
        <w:pStyle w:val="Heading2"/>
      </w:pPr>
      <w:r>
        <w:t>Sustainability from an economic perspective</w:t>
      </w:r>
    </w:p>
    <w:p w:rsidR="00F93C3C" w:rsidRDefault="007B18D9" w:rsidP="007B3DD9">
      <w:pPr>
        <w:pStyle w:val="BodyText"/>
      </w:pPr>
      <w:r>
        <w:t>There are various frameworks for thinking about sustainability</w:t>
      </w:r>
      <w:r w:rsidR="009A1D17">
        <w:t>. A</w:t>
      </w:r>
      <w:r w:rsidR="00FC7D08">
        <w:t xml:space="preserve"> widely</w:t>
      </w:r>
      <w:r w:rsidR="00DC2CDE">
        <w:noBreakHyphen/>
      </w:r>
      <w:r w:rsidR="002D11F9">
        <w:t>used</w:t>
      </w:r>
      <w:r w:rsidR="009A1D17">
        <w:t xml:space="preserve"> approach is to represent sustainability in the context of three pillars — ecological, social and economic</w:t>
      </w:r>
      <w:r w:rsidR="00E61F67">
        <w:t xml:space="preserve"> (</w:t>
      </w:r>
      <w:proofErr w:type="spellStart"/>
      <w:r w:rsidR="00E61F67">
        <w:t>Barbier</w:t>
      </w:r>
      <w:proofErr w:type="spellEnd"/>
      <w:r w:rsidR="00E61F67">
        <w:t xml:space="preserve"> 1987</w:t>
      </w:r>
      <w:r w:rsidR="00FC7D08">
        <w:t>;</w:t>
      </w:r>
      <w:r w:rsidR="00E61F67">
        <w:t xml:space="preserve"> </w:t>
      </w:r>
      <w:r w:rsidR="006C4818">
        <w:t xml:space="preserve">Adams </w:t>
      </w:r>
      <w:r w:rsidR="00E61F67">
        <w:t>2006)</w:t>
      </w:r>
      <w:r w:rsidR="009A1D17">
        <w:t xml:space="preserve">. </w:t>
      </w:r>
      <w:r w:rsidR="000A03CF">
        <w:t>Essentially, this</w:t>
      </w:r>
      <w:r w:rsidR="00F37A69">
        <w:t xml:space="preserve"> conception proposes </w:t>
      </w:r>
      <w:r w:rsidR="009A5D06" w:rsidRPr="00B22927">
        <w:t>that sustainable develo</w:t>
      </w:r>
      <w:r w:rsidR="000A03CF">
        <w:t>pment can only be achieved when</w:t>
      </w:r>
      <w:r w:rsidR="009A5D06" w:rsidRPr="00B22927">
        <w:t xml:space="preserve"> </w:t>
      </w:r>
      <w:r w:rsidR="00F37A69">
        <w:t xml:space="preserve">each </w:t>
      </w:r>
      <w:r w:rsidR="009512C7">
        <w:t>pillar</w:t>
      </w:r>
      <w:r w:rsidR="00F37A69">
        <w:t xml:space="preserve"> is</w:t>
      </w:r>
      <w:r w:rsidR="009A5D06" w:rsidRPr="00B22927">
        <w:t xml:space="preserve"> promoted </w:t>
      </w:r>
      <w:r w:rsidR="00086C10">
        <w:t>in concert with the others</w:t>
      </w:r>
      <w:r w:rsidR="009A5D06">
        <w:t xml:space="preserve">. </w:t>
      </w:r>
      <w:r w:rsidR="005958EC">
        <w:t>While t</w:t>
      </w:r>
      <w:r w:rsidR="006A2CD8">
        <w:t xml:space="preserve">his </w:t>
      </w:r>
      <w:r w:rsidR="00BD1941">
        <w:t>approach</w:t>
      </w:r>
      <w:r w:rsidR="000A03CF">
        <w:t xml:space="preserve"> provides a</w:t>
      </w:r>
      <w:r w:rsidR="0057359F">
        <w:t xml:space="preserve"> useful categorisation</w:t>
      </w:r>
      <w:r w:rsidR="009512C7">
        <w:t xml:space="preserve"> of the relevant dimensions of sustainability</w:t>
      </w:r>
      <w:r w:rsidR="00561CC2">
        <w:t>,</w:t>
      </w:r>
      <w:r w:rsidR="005958EC">
        <w:t xml:space="preserve"> </w:t>
      </w:r>
      <w:r w:rsidR="009512C7">
        <w:t>it</w:t>
      </w:r>
      <w:r w:rsidR="00AD5367">
        <w:t xml:space="preserve"> is difficult to </w:t>
      </w:r>
      <w:proofErr w:type="spellStart"/>
      <w:r w:rsidR="002205A4">
        <w:t>operationalise</w:t>
      </w:r>
      <w:proofErr w:type="spellEnd"/>
      <w:r w:rsidR="002D11F9">
        <w:t xml:space="preserve">, mainly because it </w:t>
      </w:r>
      <w:r w:rsidR="002205A4">
        <w:t>lacks</w:t>
      </w:r>
      <w:r w:rsidR="00F93C3C">
        <w:t xml:space="preserve"> an </w:t>
      </w:r>
      <w:r w:rsidR="001B25A9">
        <w:t>analytical</w:t>
      </w:r>
      <w:r w:rsidR="00F93C3C">
        <w:t xml:space="preserve"> basis to </w:t>
      </w:r>
      <w:r w:rsidR="009C67AB">
        <w:t xml:space="preserve">make decisions about </w:t>
      </w:r>
      <w:r w:rsidR="002205A4">
        <w:t>any</w:t>
      </w:r>
      <w:r w:rsidR="009C67AB">
        <w:t xml:space="preserve"> </w:t>
      </w:r>
      <w:proofErr w:type="spellStart"/>
      <w:r w:rsidR="00F93C3C">
        <w:t>tradeoffs</w:t>
      </w:r>
      <w:proofErr w:type="spellEnd"/>
      <w:r w:rsidR="00F93C3C">
        <w:t xml:space="preserve"> between the three pillars.</w:t>
      </w:r>
    </w:p>
    <w:p w:rsidR="00650A85" w:rsidRDefault="0057265B" w:rsidP="00650A85">
      <w:pPr>
        <w:pStyle w:val="BodyText"/>
      </w:pPr>
      <w:r>
        <w:t>A</w:t>
      </w:r>
      <w:r w:rsidR="007B3DD9">
        <w:t>pplication of th</w:t>
      </w:r>
      <w:r w:rsidR="007327CC">
        <w:t>e</w:t>
      </w:r>
      <w:r w:rsidR="007B3DD9">
        <w:t xml:space="preserve"> general concept </w:t>
      </w:r>
      <w:r w:rsidR="007327CC">
        <w:t xml:space="preserve">of sustainability </w:t>
      </w:r>
      <w:r w:rsidR="007B3DD9">
        <w:t>can take different forms</w:t>
      </w:r>
      <w:r w:rsidR="007327CC">
        <w:t xml:space="preserve"> depending on the framework used.</w:t>
      </w:r>
      <w:r w:rsidR="007B3DD9">
        <w:t xml:space="preserve"> For example, </w:t>
      </w:r>
      <w:r w:rsidR="00650A85">
        <w:t>within ecological</w:t>
      </w:r>
      <w:r w:rsidR="00650A85" w:rsidRPr="00C0724B">
        <w:t xml:space="preserve"> </w:t>
      </w:r>
      <w:r w:rsidR="00650A85">
        <w:t xml:space="preserve">frameworks, </w:t>
      </w:r>
      <w:r w:rsidR="00650A85" w:rsidRPr="00C0724B">
        <w:t xml:space="preserve">sustainability refers to the capacity of biological systems to maintain their functions and processes over time. </w:t>
      </w:r>
      <w:r w:rsidR="00650A85">
        <w:t xml:space="preserve">This perspective focuses on natural capital and often </w:t>
      </w:r>
      <w:r w:rsidR="00650A85" w:rsidRPr="00134FAF">
        <w:t>highlight</w:t>
      </w:r>
      <w:r w:rsidR="00650A85">
        <w:t>s</w:t>
      </w:r>
      <w:r w:rsidR="00650A85" w:rsidRPr="00134FAF">
        <w:t xml:space="preserve"> the irreplaceability of </w:t>
      </w:r>
      <w:r w:rsidR="00650A85">
        <w:t xml:space="preserve">some </w:t>
      </w:r>
      <w:r w:rsidR="00650A85" w:rsidRPr="00134FAF">
        <w:t>natural resources</w:t>
      </w:r>
      <w:r w:rsidR="00650A85">
        <w:t xml:space="preserve"> and the rights of non</w:t>
      </w:r>
      <w:r w:rsidR="00650A85">
        <w:noBreakHyphen/>
        <w:t>human beings</w:t>
      </w:r>
      <w:r w:rsidR="00650A85" w:rsidRPr="00134FAF">
        <w:t>.</w:t>
      </w:r>
    </w:p>
    <w:p w:rsidR="0068599C" w:rsidRPr="006D008D" w:rsidRDefault="00A56026" w:rsidP="006D008D">
      <w:pPr>
        <w:pStyle w:val="BodyText"/>
      </w:pPr>
      <w:r w:rsidRPr="006D008D">
        <w:t>Within</w:t>
      </w:r>
      <w:r w:rsidR="0039558D" w:rsidRPr="006D008D">
        <w:t xml:space="preserve"> economic</w:t>
      </w:r>
      <w:r w:rsidRPr="006D008D">
        <w:t xml:space="preserve"> frameworks</w:t>
      </w:r>
      <w:r w:rsidR="0039558D" w:rsidRPr="006D008D">
        <w:t xml:space="preserve">, sustainability is </w:t>
      </w:r>
      <w:r w:rsidR="00686A73" w:rsidRPr="006D008D">
        <w:t xml:space="preserve">often </w:t>
      </w:r>
      <w:r w:rsidR="0039558D" w:rsidRPr="006D008D">
        <w:t xml:space="preserve">thought to be achieved if the wellbeing </w:t>
      </w:r>
      <w:r w:rsidR="009E77E5" w:rsidRPr="006D008D">
        <w:t>of society is maintained over time</w:t>
      </w:r>
      <w:r w:rsidR="0039558D" w:rsidRPr="006D008D">
        <w:t xml:space="preserve"> </w:t>
      </w:r>
      <w:r w:rsidR="00816F34" w:rsidRPr="006D008D">
        <w:t>(</w:t>
      </w:r>
      <w:r w:rsidR="00655C64" w:rsidRPr="006D008D">
        <w:t>Arrow et al. 2004</w:t>
      </w:r>
      <w:r w:rsidR="00FC7D08" w:rsidRPr="006D008D">
        <w:t>;</w:t>
      </w:r>
      <w:r w:rsidR="00655C64" w:rsidRPr="006D008D">
        <w:t xml:space="preserve"> </w:t>
      </w:r>
      <w:proofErr w:type="spellStart"/>
      <w:r w:rsidR="00D55B11" w:rsidRPr="006D008D">
        <w:t>Pezzey</w:t>
      </w:r>
      <w:proofErr w:type="spellEnd"/>
      <w:r w:rsidR="00D55B11" w:rsidRPr="006D008D">
        <w:t xml:space="preserve"> 1992; </w:t>
      </w:r>
      <w:r w:rsidR="00655C64" w:rsidRPr="006D008D">
        <w:t>Solow 1993</w:t>
      </w:r>
      <w:r w:rsidR="00FC7D08" w:rsidRPr="006D008D">
        <w:t>;</w:t>
      </w:r>
      <w:r w:rsidR="00655C64" w:rsidRPr="006D008D">
        <w:t xml:space="preserve"> </w:t>
      </w:r>
      <w:proofErr w:type="spellStart"/>
      <w:r w:rsidR="00655C64" w:rsidRPr="006D008D">
        <w:t>Toman</w:t>
      </w:r>
      <w:proofErr w:type="spellEnd"/>
      <w:r w:rsidR="00816F34" w:rsidRPr="006D008D">
        <w:t xml:space="preserve"> 1998</w:t>
      </w:r>
      <w:r w:rsidR="00006E43" w:rsidRPr="006D008D">
        <w:t>)</w:t>
      </w:r>
      <w:r w:rsidR="002F3206" w:rsidRPr="006D008D">
        <w:t>.</w:t>
      </w:r>
      <w:r w:rsidR="00D9125C" w:rsidRPr="006D008D">
        <w:t xml:space="preserve"> </w:t>
      </w:r>
      <w:r w:rsidR="002F3206" w:rsidRPr="006D008D">
        <w:t>T</w:t>
      </w:r>
      <w:r w:rsidR="00D9125C" w:rsidRPr="006D008D">
        <w:t>here are various formulations of th</w:t>
      </w:r>
      <w:r w:rsidR="002F3206" w:rsidRPr="006D008D">
        <w:t>is</w:t>
      </w:r>
      <w:r w:rsidR="00D9125C" w:rsidRPr="006D008D">
        <w:t xml:space="preserve"> concept</w:t>
      </w:r>
      <w:r w:rsidR="00C13E47" w:rsidRPr="006D008D">
        <w:t xml:space="preserve"> (box </w:t>
      </w:r>
      <w:r w:rsidR="00547854" w:rsidRPr="006D008D">
        <w:t>1</w:t>
      </w:r>
      <w:r w:rsidR="00BA5751" w:rsidRPr="006D008D">
        <w:t>)</w:t>
      </w:r>
      <w:r w:rsidR="0039558D" w:rsidRPr="006D008D">
        <w:t>.</w:t>
      </w:r>
      <w:r w:rsidR="00112BCA" w:rsidRPr="006D008D">
        <w:t xml:space="preserve"> </w:t>
      </w:r>
      <w:r w:rsidR="00A26C80" w:rsidRPr="006D008D">
        <w:t xml:space="preserve">Wellbeing is </w:t>
      </w:r>
      <w:r w:rsidR="002F3206" w:rsidRPr="006D008D">
        <w:t xml:space="preserve">usually </w:t>
      </w:r>
      <w:r w:rsidR="00A26C80" w:rsidRPr="006D008D">
        <w:t>broadly defined</w:t>
      </w:r>
      <w:r w:rsidR="00597DF1" w:rsidRPr="006D008D">
        <w:t xml:space="preserve"> </w:t>
      </w:r>
      <w:r w:rsidR="00A903CD" w:rsidRPr="006D008D">
        <w:t>— in addition to consumption of market goods and services, made possible by economic production (income), it</w:t>
      </w:r>
      <w:r w:rsidR="00597DF1" w:rsidRPr="006D008D">
        <w:t xml:space="preserve"> </w:t>
      </w:r>
      <w:r w:rsidR="005445EE" w:rsidRPr="006D008D">
        <w:t>include</w:t>
      </w:r>
      <w:r w:rsidR="004E6B47" w:rsidRPr="006D008D">
        <w:t>s</w:t>
      </w:r>
      <w:r w:rsidR="005445EE" w:rsidRPr="006D008D">
        <w:t xml:space="preserve"> household and environmental services and other </w:t>
      </w:r>
      <w:r w:rsidR="002F3206" w:rsidRPr="006D008D">
        <w:t>non</w:t>
      </w:r>
      <w:r w:rsidR="00B328A2" w:rsidRPr="006D008D">
        <w:noBreakHyphen/>
      </w:r>
      <w:r w:rsidR="002F3206" w:rsidRPr="006D008D">
        <w:t xml:space="preserve">market </w:t>
      </w:r>
      <w:r w:rsidR="005445EE" w:rsidRPr="006D008D">
        <w:t>outcomes, such as social connectedness</w:t>
      </w:r>
      <w:r w:rsidR="00A903CD" w:rsidRPr="006D008D">
        <w:t>.</w:t>
      </w:r>
    </w:p>
    <w:p w:rsidR="00BA5751" w:rsidRDefault="00BA5751">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BA5751">
        <w:tc>
          <w:tcPr>
            <w:tcW w:w="8771" w:type="dxa"/>
            <w:tcBorders>
              <w:top w:val="single" w:sz="6" w:space="0" w:color="auto"/>
              <w:bottom w:val="nil"/>
            </w:tcBorders>
          </w:tcPr>
          <w:p w:rsidR="00BA5751" w:rsidRDefault="00BA5751" w:rsidP="00CF1686">
            <w:pPr>
              <w:pStyle w:val="BoxTitle"/>
            </w:pPr>
            <w:r>
              <w:rPr>
                <w:b w:val="0"/>
              </w:rPr>
              <w:t xml:space="preserve">Box </w:t>
            </w:r>
            <w:bookmarkStart w:id="7" w:name="OLE_LINK7"/>
            <w:r w:rsidR="00811B50">
              <w:rPr>
                <w:b w:val="0"/>
                <w:noProof/>
              </w:rPr>
              <w:t>1</w:t>
            </w:r>
            <w:bookmarkEnd w:id="7"/>
            <w:r w:rsidR="00692021">
              <w:tab/>
              <w:t xml:space="preserve">Some economic interpretations of sustainability </w:t>
            </w:r>
          </w:p>
        </w:tc>
      </w:tr>
      <w:tr w:rsidR="00BA5751">
        <w:trPr>
          <w:cantSplit/>
        </w:trPr>
        <w:tc>
          <w:tcPr>
            <w:tcW w:w="8771" w:type="dxa"/>
            <w:tcBorders>
              <w:top w:val="nil"/>
              <w:left w:val="single" w:sz="6" w:space="0" w:color="auto"/>
              <w:bottom w:val="nil"/>
              <w:right w:val="single" w:sz="6" w:space="0" w:color="auto"/>
            </w:tcBorders>
          </w:tcPr>
          <w:p w:rsidR="00E1122D" w:rsidRDefault="00E1122D" w:rsidP="00E1122D">
            <w:pPr>
              <w:pStyle w:val="Box"/>
            </w:pPr>
            <w:r>
              <w:t>Economists have interpreted sustainability in various ways. Not all of these interpretations explicitly refer to sustainability but nonetheless embody similar ideas — that is, to achieve a non</w:t>
            </w:r>
            <w:r>
              <w:noBreakHyphen/>
              <w:t>declining level of wellbeing (sometimes referred to as utility or welfare) over time.</w:t>
            </w:r>
          </w:p>
          <w:p w:rsidR="00E1122D" w:rsidRDefault="00E1122D" w:rsidP="00E1122D">
            <w:pPr>
              <w:pStyle w:val="Box"/>
              <w:rPr>
                <w:rFonts w:cs="Arial"/>
              </w:rPr>
            </w:pPr>
            <w:r w:rsidRPr="00E67B77">
              <w:t xml:space="preserve">Three seminal contributions </w:t>
            </w:r>
            <w:r>
              <w:t xml:space="preserve">to the economic theory of sustainability </w:t>
            </w:r>
            <w:r w:rsidRPr="00E67B77">
              <w:t xml:space="preserve">were provided by </w:t>
            </w:r>
            <w:proofErr w:type="spellStart"/>
            <w:r w:rsidRPr="00E67B77">
              <w:t>Dasgupta</w:t>
            </w:r>
            <w:proofErr w:type="spellEnd"/>
            <w:r w:rsidRPr="00E67B77">
              <w:t xml:space="preserve"> and Heal (1974)</w:t>
            </w:r>
            <w:r>
              <w:t xml:space="preserve">, </w:t>
            </w:r>
            <w:r w:rsidRPr="00E67B77">
              <w:t xml:space="preserve">Solow (1974) </w:t>
            </w:r>
            <w:r>
              <w:t xml:space="preserve">and </w:t>
            </w:r>
            <w:proofErr w:type="spellStart"/>
            <w:r w:rsidRPr="00E67B77">
              <w:t>Stiglitz</w:t>
            </w:r>
            <w:proofErr w:type="spellEnd"/>
            <w:r w:rsidRPr="00E67B77">
              <w:t xml:space="preserve"> (1974)</w:t>
            </w:r>
            <w:r>
              <w:t>. Their models represented wellbeing over time in terms of welfare maximisation</w:t>
            </w:r>
            <w:r w:rsidRPr="00F12BA7">
              <w:t>.</w:t>
            </w:r>
            <w:r>
              <w:t xml:space="preserve"> They showed the </w:t>
            </w:r>
            <w:r w:rsidRPr="00E67B77">
              <w:rPr>
                <w:rFonts w:cs="Arial"/>
              </w:rPr>
              <w:t xml:space="preserve">maximum level of </w:t>
            </w:r>
            <w:r>
              <w:rPr>
                <w:rFonts w:cs="Arial"/>
              </w:rPr>
              <w:t>utility</w:t>
            </w:r>
            <w:r w:rsidRPr="00E67B77">
              <w:rPr>
                <w:rFonts w:cs="Arial"/>
              </w:rPr>
              <w:t xml:space="preserve"> that can be achieved over time </w:t>
            </w:r>
            <w:r>
              <w:rPr>
                <w:rFonts w:cs="Arial"/>
              </w:rPr>
              <w:t>with</w:t>
            </w:r>
            <w:r w:rsidRPr="00E67B77">
              <w:rPr>
                <w:rFonts w:cs="Arial"/>
              </w:rPr>
              <w:t xml:space="preserve"> a finite level of natural resources. </w:t>
            </w:r>
            <w:r>
              <w:rPr>
                <w:rFonts w:cs="Arial"/>
              </w:rPr>
              <w:t>Utility</w:t>
            </w:r>
            <w:r w:rsidRPr="00E67B77">
              <w:rPr>
                <w:rFonts w:cs="Arial"/>
              </w:rPr>
              <w:t xml:space="preserve"> can be either constant</w:t>
            </w:r>
            <w:r>
              <w:rPr>
                <w:rFonts w:cs="Arial"/>
              </w:rPr>
              <w:t xml:space="preserve"> (Solow 1974; </w:t>
            </w:r>
            <w:proofErr w:type="spellStart"/>
            <w:r>
              <w:rPr>
                <w:rFonts w:cs="Arial"/>
              </w:rPr>
              <w:t>Stiglitz</w:t>
            </w:r>
            <w:proofErr w:type="spellEnd"/>
            <w:r>
              <w:rPr>
                <w:rFonts w:cs="Arial"/>
              </w:rPr>
              <w:t xml:space="preserve"> 1974)</w:t>
            </w:r>
            <w:r w:rsidRPr="00E67B77">
              <w:rPr>
                <w:rFonts w:cs="Arial"/>
              </w:rPr>
              <w:t xml:space="preserve"> or declining</w:t>
            </w:r>
            <w:r>
              <w:rPr>
                <w:rFonts w:cs="Arial"/>
              </w:rPr>
              <w:t xml:space="preserve"> (</w:t>
            </w:r>
            <w:proofErr w:type="spellStart"/>
            <w:r>
              <w:rPr>
                <w:rFonts w:cs="Arial"/>
              </w:rPr>
              <w:t>Dasgupta</w:t>
            </w:r>
            <w:proofErr w:type="spellEnd"/>
            <w:r>
              <w:rPr>
                <w:rFonts w:cs="Arial"/>
              </w:rPr>
              <w:t xml:space="preserve"> and Heal 1974)</w:t>
            </w:r>
            <w:r w:rsidRPr="00E67B77">
              <w:rPr>
                <w:rFonts w:cs="Arial"/>
              </w:rPr>
              <w:t xml:space="preserve"> over time depending on what is assumed about the </w:t>
            </w:r>
            <w:r>
              <w:rPr>
                <w:rFonts w:cs="Arial"/>
              </w:rPr>
              <w:t>capital stock</w:t>
            </w:r>
            <w:r w:rsidRPr="00E67B77">
              <w:rPr>
                <w:rFonts w:cs="Arial"/>
              </w:rPr>
              <w:t>, technological progress</w:t>
            </w:r>
            <w:r>
              <w:rPr>
                <w:rFonts w:cs="Arial"/>
              </w:rPr>
              <w:t>,</w:t>
            </w:r>
            <w:r w:rsidRPr="00E67B77">
              <w:rPr>
                <w:rFonts w:cs="Arial"/>
              </w:rPr>
              <w:t xml:space="preserve"> and </w:t>
            </w:r>
            <w:r>
              <w:rPr>
                <w:rFonts w:cs="Arial"/>
              </w:rPr>
              <w:t>the rate at which future utility is discounted</w:t>
            </w:r>
            <w:r w:rsidRPr="00E67B77">
              <w:rPr>
                <w:rFonts w:cs="Arial"/>
              </w:rPr>
              <w:t>.</w:t>
            </w:r>
          </w:p>
          <w:p w:rsidR="00E1122D" w:rsidRPr="001C7A7C" w:rsidRDefault="00E1122D" w:rsidP="00E1122D">
            <w:pPr>
              <w:pStyle w:val="Box"/>
            </w:pPr>
            <w:r>
              <w:t xml:space="preserve">In particular, </w:t>
            </w:r>
            <w:r w:rsidRPr="00E67B77">
              <w:rPr>
                <w:rFonts w:cs="Arial"/>
              </w:rPr>
              <w:t>Solow (1974) show</w:t>
            </w:r>
            <w:r>
              <w:rPr>
                <w:rFonts w:cs="Arial"/>
              </w:rPr>
              <w:t>ed</w:t>
            </w:r>
            <w:r w:rsidRPr="00E67B77">
              <w:rPr>
                <w:rFonts w:cs="Arial"/>
              </w:rPr>
              <w:t xml:space="preserve"> that</w:t>
            </w:r>
            <w:r>
              <w:rPr>
                <w:rFonts w:cs="Arial"/>
              </w:rPr>
              <w:t>, under certain conditions,</w:t>
            </w:r>
            <w:r w:rsidRPr="00E67B77">
              <w:rPr>
                <w:rFonts w:cs="Arial"/>
              </w:rPr>
              <w:t xml:space="preserve"> constant </w:t>
            </w:r>
            <w:r>
              <w:rPr>
                <w:rFonts w:cs="Arial"/>
              </w:rPr>
              <w:t>wellbeing</w:t>
            </w:r>
            <w:r w:rsidRPr="00E67B77">
              <w:rPr>
                <w:rFonts w:cs="Arial"/>
              </w:rPr>
              <w:t xml:space="preserve"> </w:t>
            </w:r>
            <w:r>
              <w:rPr>
                <w:rFonts w:cs="Arial"/>
              </w:rPr>
              <w:t xml:space="preserve">over time </w:t>
            </w:r>
            <w:r w:rsidRPr="00E67B77">
              <w:rPr>
                <w:rFonts w:cs="Arial"/>
              </w:rPr>
              <w:t xml:space="preserve">can be achieved </w:t>
            </w:r>
            <w:r>
              <w:rPr>
                <w:rFonts w:cs="Arial"/>
              </w:rPr>
              <w:t>by maintaining the total stock of capital</w:t>
            </w:r>
            <w:r w:rsidRPr="00E67B77">
              <w:rPr>
                <w:rFonts w:cs="Arial"/>
              </w:rPr>
              <w:t xml:space="preserve">. </w:t>
            </w:r>
            <w:r>
              <w:rPr>
                <w:rFonts w:cs="Arial"/>
              </w:rPr>
              <w:t>That is, the depletion of natural capital can be off</w:t>
            </w:r>
            <w:r w:rsidR="00A42E76">
              <w:rPr>
                <w:rFonts w:cs="Arial"/>
              </w:rPr>
              <w:noBreakHyphen/>
            </w:r>
            <w:r>
              <w:rPr>
                <w:rFonts w:cs="Arial"/>
              </w:rPr>
              <w:t>set by</w:t>
            </w:r>
            <w:r w:rsidRPr="00E67B77">
              <w:rPr>
                <w:rFonts w:cs="Arial"/>
              </w:rPr>
              <w:t xml:space="preserve"> investment in manufactured</w:t>
            </w:r>
            <w:r>
              <w:rPr>
                <w:rFonts w:cs="Arial"/>
              </w:rPr>
              <w:t xml:space="preserve"> capital, or other types of capital</w:t>
            </w:r>
            <w:r w:rsidRPr="00E67B77">
              <w:rPr>
                <w:rFonts w:cs="Arial"/>
              </w:rPr>
              <w:t xml:space="preserve">. </w:t>
            </w:r>
            <w:r>
              <w:rPr>
                <w:rFonts w:cs="Arial"/>
              </w:rPr>
              <w:t>By maintaining the level of productive capital the largest possible level of constant consumption per person can be achieved over time.</w:t>
            </w:r>
          </w:p>
          <w:p w:rsidR="00E1122D" w:rsidRDefault="00E1122D" w:rsidP="00E1122D">
            <w:pPr>
              <w:pStyle w:val="Box"/>
              <w:rPr>
                <w:rFonts w:cs="Arial"/>
              </w:rPr>
            </w:pPr>
            <w:r w:rsidRPr="00E67B77">
              <w:rPr>
                <w:rFonts w:cs="Arial"/>
              </w:rPr>
              <w:t xml:space="preserve">As stated by </w:t>
            </w:r>
            <w:proofErr w:type="spellStart"/>
            <w:r w:rsidRPr="00E67B77">
              <w:rPr>
                <w:rFonts w:cs="Arial"/>
              </w:rPr>
              <w:t>Pezzey</w:t>
            </w:r>
            <w:proofErr w:type="spellEnd"/>
            <w:r w:rsidRPr="00E67B77">
              <w:rPr>
                <w:rFonts w:cs="Arial"/>
              </w:rPr>
              <w:t xml:space="preserve"> and </w:t>
            </w:r>
            <w:proofErr w:type="spellStart"/>
            <w:r w:rsidRPr="00E67B77">
              <w:rPr>
                <w:rFonts w:cs="Arial"/>
              </w:rPr>
              <w:t>Toman</w:t>
            </w:r>
            <w:proofErr w:type="spellEnd"/>
            <w:r w:rsidRPr="00E67B77">
              <w:rPr>
                <w:rFonts w:cs="Arial"/>
              </w:rPr>
              <w:t xml:space="preserve"> (2002</w:t>
            </w:r>
            <w:r>
              <w:rPr>
                <w:rFonts w:cs="Arial"/>
              </w:rPr>
              <w:t>, p. 7</w:t>
            </w:r>
            <w:r w:rsidRPr="00E67B77">
              <w:rPr>
                <w:rFonts w:cs="Arial"/>
              </w:rPr>
              <w:t>)</w:t>
            </w:r>
            <w:r>
              <w:rPr>
                <w:rFonts w:cs="Arial"/>
              </w:rPr>
              <w:t>,</w:t>
            </w:r>
            <w:r w:rsidRPr="00E67B77">
              <w:rPr>
                <w:rFonts w:cs="Arial"/>
              </w:rPr>
              <w:t xml:space="preserve"> even though Solow </w:t>
            </w:r>
            <w:r>
              <w:rPr>
                <w:rFonts w:cs="Arial"/>
              </w:rPr>
              <w:t xml:space="preserve">did not explicitly discuss </w:t>
            </w:r>
            <w:r w:rsidRPr="00E67B77">
              <w:rPr>
                <w:rFonts w:cs="Arial"/>
              </w:rPr>
              <w:t xml:space="preserve">sustainability, </w:t>
            </w:r>
            <w:r>
              <w:rPr>
                <w:rFonts w:cs="Arial"/>
              </w:rPr>
              <w:t>‘</w:t>
            </w:r>
            <w:r w:rsidRPr="00E67B77">
              <w:rPr>
                <w:rFonts w:cs="Arial"/>
              </w:rPr>
              <w:t>his was the first widely read paper to suggest in the context of formal economic growth theory, a sustainability</w:t>
            </w:r>
            <w:r w:rsidRPr="00E67B77">
              <w:rPr>
                <w:rFonts w:cs="Arial"/>
              </w:rPr>
              <w:noBreakHyphen/>
              <w:t>like objective for society’</w:t>
            </w:r>
            <w:r>
              <w:rPr>
                <w:rFonts w:cs="Arial"/>
              </w:rPr>
              <w:t xml:space="preserve"> and that this differed from the traditional economic approach of maximising the present</w:t>
            </w:r>
            <w:r>
              <w:rPr>
                <w:rFonts w:cs="Arial"/>
              </w:rPr>
              <w:noBreakHyphen/>
              <w:t>value of wellbeing</w:t>
            </w:r>
            <w:r w:rsidRPr="00E67B77">
              <w:rPr>
                <w:rFonts w:cs="Arial"/>
              </w:rPr>
              <w:t>. Solow</w:t>
            </w:r>
            <w:r>
              <w:rPr>
                <w:rFonts w:cs="Arial"/>
              </w:rPr>
              <w:t>’s maintenance of the total capital stock is similar to a ‘rule’</w:t>
            </w:r>
            <w:r w:rsidR="00A42E76">
              <w:rPr>
                <w:rFonts w:cs="Arial"/>
              </w:rPr>
              <w:t xml:space="preserve"> </w:t>
            </w:r>
            <w:r w:rsidRPr="00E67B77">
              <w:rPr>
                <w:rFonts w:cs="Arial"/>
              </w:rPr>
              <w:t xml:space="preserve">proposed by </w:t>
            </w:r>
            <w:proofErr w:type="spellStart"/>
            <w:r w:rsidRPr="00E67B77">
              <w:rPr>
                <w:rFonts w:cs="Arial"/>
              </w:rPr>
              <w:t>Hartwick</w:t>
            </w:r>
            <w:proofErr w:type="spellEnd"/>
            <w:r w:rsidRPr="00E67B77">
              <w:rPr>
                <w:rFonts w:cs="Arial"/>
              </w:rPr>
              <w:t xml:space="preserve"> (1977)</w:t>
            </w:r>
            <w:r>
              <w:rPr>
                <w:rFonts w:cs="Arial"/>
              </w:rPr>
              <w:t>.</w:t>
            </w:r>
            <w:r w:rsidRPr="00E67B77">
              <w:rPr>
                <w:rFonts w:cs="Arial"/>
              </w:rPr>
              <w:t xml:space="preserve"> </w:t>
            </w:r>
            <w:proofErr w:type="spellStart"/>
            <w:r w:rsidRPr="00E67B77">
              <w:rPr>
                <w:rFonts w:cs="Arial"/>
              </w:rPr>
              <w:t>Hartwick’s</w:t>
            </w:r>
            <w:proofErr w:type="spellEnd"/>
            <w:r w:rsidRPr="00E67B77">
              <w:rPr>
                <w:rFonts w:cs="Arial"/>
              </w:rPr>
              <w:t xml:space="preserve"> rule </w:t>
            </w:r>
            <w:r>
              <w:rPr>
                <w:rFonts w:cs="Arial"/>
              </w:rPr>
              <w:t xml:space="preserve">is </w:t>
            </w:r>
            <w:r w:rsidRPr="00E67B77">
              <w:rPr>
                <w:rFonts w:cs="Arial"/>
              </w:rPr>
              <w:t xml:space="preserve">that if all rents from exhaustible resources are invested in reproducible capital then </w:t>
            </w:r>
            <w:r>
              <w:rPr>
                <w:rFonts w:cs="Arial"/>
              </w:rPr>
              <w:t>non</w:t>
            </w:r>
            <w:r>
              <w:rPr>
                <w:rFonts w:cs="Arial"/>
              </w:rPr>
              <w:noBreakHyphen/>
              <w:t xml:space="preserve">declining </w:t>
            </w:r>
            <w:r w:rsidRPr="00E67B77">
              <w:rPr>
                <w:rFonts w:cs="Arial"/>
              </w:rPr>
              <w:t xml:space="preserve">consumption </w:t>
            </w:r>
            <w:r>
              <w:rPr>
                <w:rFonts w:cs="Arial"/>
              </w:rPr>
              <w:t>over time is achieved. However, such ‘rules’ require that different forms of capital are close, if not perfect, substitutes.</w:t>
            </w:r>
          </w:p>
          <w:p w:rsidR="00BA5751" w:rsidRDefault="00E1122D" w:rsidP="00E1122D">
            <w:pPr>
              <w:pStyle w:val="Box"/>
            </w:pPr>
            <w:r>
              <w:rPr>
                <w:rFonts w:cs="Arial"/>
              </w:rPr>
              <w:t>Sustainability has subsequently been interpreted by some economists to require a separate constraint on the conventional formulations of welfare maximisation (</w:t>
            </w:r>
            <w:proofErr w:type="spellStart"/>
            <w:r>
              <w:rPr>
                <w:rFonts w:cs="Arial"/>
              </w:rPr>
              <w:t>Pezzey</w:t>
            </w:r>
            <w:proofErr w:type="spellEnd"/>
            <w:r>
              <w:rPr>
                <w:rFonts w:cs="Arial"/>
              </w:rPr>
              <w:t xml:space="preserve"> 1992; Arrow et al. 2004). However, there is disagreement as to whether concern about sustainability requires any explicit criterion or objective over and above welfare maximisation per se (for example, Beckerman 1994).</w:t>
            </w:r>
          </w:p>
        </w:tc>
      </w:tr>
      <w:tr w:rsidR="00BA5751">
        <w:trPr>
          <w:cantSplit/>
        </w:trPr>
        <w:tc>
          <w:tcPr>
            <w:tcW w:w="8771" w:type="dxa"/>
            <w:tcBorders>
              <w:top w:val="nil"/>
              <w:left w:val="single" w:sz="6" w:space="0" w:color="auto"/>
              <w:bottom w:val="single" w:sz="6" w:space="0" w:color="auto"/>
              <w:right w:val="single" w:sz="6" w:space="0" w:color="auto"/>
            </w:tcBorders>
          </w:tcPr>
          <w:p w:rsidR="00BA5751" w:rsidRDefault="00BA5751">
            <w:pPr>
              <w:pStyle w:val="Box"/>
              <w:spacing w:before="0" w:line="120" w:lineRule="exact"/>
            </w:pPr>
          </w:p>
        </w:tc>
      </w:tr>
      <w:tr w:rsidR="00BA5751" w:rsidRPr="000863A5">
        <w:tc>
          <w:tcPr>
            <w:tcW w:w="8771" w:type="dxa"/>
            <w:tcBorders>
              <w:top w:val="nil"/>
              <w:left w:val="nil"/>
              <w:bottom w:val="nil"/>
              <w:right w:val="nil"/>
            </w:tcBorders>
          </w:tcPr>
          <w:p w:rsidR="00BA5751" w:rsidRPr="00CD1D69" w:rsidRDefault="00BA5751" w:rsidP="0094433C">
            <w:pPr>
              <w:pStyle w:val="Box"/>
              <w:keepNext w:val="0"/>
              <w:spacing w:before="60" w:after="60" w:line="80" w:lineRule="exact"/>
              <w:rPr>
                <w:b/>
                <w:sz w:val="14"/>
              </w:rPr>
            </w:pPr>
          </w:p>
        </w:tc>
      </w:tr>
    </w:tbl>
    <w:p w:rsidR="00EA79D8" w:rsidRDefault="00EA79D8" w:rsidP="00C72536">
      <w:r w:rsidRPr="002302E8">
        <w:t>In this context — where wellbeing is at least maintained over time — sustainability can be attained by preserving the total stock of capital. The stock of capital is broadly defined as the ‘productive’ base that provides the opportunities from which wellbeing is ultimately derived. It includes all of society’s capital assets — produced (roads, buildings, machinery), natural (ecosystems, minerals, fossil fuels), human (education, skills, knowledge,</w:t>
      </w:r>
      <w:r w:rsidR="00DA6C3E">
        <w:rPr>
          <w:rStyle w:val="FootnoteReference"/>
          <w:szCs w:val="20"/>
        </w:rPr>
        <w:footnoteReference w:id="2"/>
      </w:r>
      <w:r w:rsidRPr="00C72536">
        <w:rPr>
          <w:rStyle w:val="BodyTextChar"/>
        </w:rPr>
        <w:t xml:space="preserve"> health) and social (institutions and relationships that govern interactions between people). People value </w:t>
      </w:r>
      <w:r>
        <w:t>n</w:t>
      </w:r>
      <w:r w:rsidRPr="00BD23BF">
        <w:t xml:space="preserve">atural capital </w:t>
      </w:r>
      <w:r w:rsidRPr="00C72536">
        <w:rPr>
          <w:rStyle w:val="BodyTextChar"/>
        </w:rPr>
        <w:lastRenderedPageBreak/>
        <w:t>for the services it provides, including the benefit from knowing that certain natural capital exists (‘existence’ or ‘non</w:t>
      </w:r>
      <w:r w:rsidRPr="00C72536">
        <w:rPr>
          <w:rStyle w:val="BodyTextChar"/>
        </w:rPr>
        <w:noBreakHyphen/>
        <w:t>use’ value).</w:t>
      </w:r>
    </w:p>
    <w:p w:rsidR="00E1122D" w:rsidRDefault="00E1122D" w:rsidP="00C72536">
      <w:pPr>
        <w:pStyle w:val="BodyText"/>
      </w:pPr>
      <w:r>
        <w:t>Implicit in this interpretation of sustainability is the assumption that</w:t>
      </w:r>
      <w:r w:rsidRPr="003924C6">
        <w:t xml:space="preserve"> natural capital can be </w:t>
      </w:r>
      <w:r>
        <w:t xml:space="preserve">depleted, provided that society invests in </w:t>
      </w:r>
      <w:r w:rsidRPr="003924C6">
        <w:t xml:space="preserve">other forms of capital </w:t>
      </w:r>
      <w:r>
        <w:t xml:space="preserve">(to offset this depletion) so </w:t>
      </w:r>
      <w:r w:rsidRPr="003924C6">
        <w:t xml:space="preserve">the total capital stock </w:t>
      </w:r>
      <w:r>
        <w:t>does not decline over time. This assumes that different forms of capital are substitutes. For example, the stock of capital could be augmented by investment in produced capital to offset a loss of natural capital. Similarly, human capital accumulation through educational attainment and skill acquisition can be a substitute for produced capital. Technological advancement can also increase the ‘effective’ stock of capital, thereby enabling production with fewer physical capital inputs. This assumption of substitutability lies at the core of the sustainability debate, and is discussed in detail below.</w:t>
      </w:r>
    </w:p>
    <w:p w:rsidR="00E1122D" w:rsidRPr="002302E8" w:rsidRDefault="00E1122D" w:rsidP="00C72536">
      <w:pPr>
        <w:pStyle w:val="BodyText"/>
      </w:pPr>
      <w:r w:rsidRPr="002302E8">
        <w:t>The other defining feature of how sustainability is interpreted relates to the level of wellbeing that is considered sustainable. A sustainability criterion of ‘maintaining wellbeing’ focuses on changes in wellbeing over time rather than on whether the highest possible level of wellbeing is achieved at any point in time (Arrow et al. 2004). Thus, in theory, the achievement of constant wellbeing at a subsistence level of consumption could satisfy this interpretation of sustainability (</w:t>
      </w:r>
      <w:proofErr w:type="spellStart"/>
      <w:r w:rsidRPr="002302E8">
        <w:t>Stavins</w:t>
      </w:r>
      <w:proofErr w:type="spellEnd"/>
      <w:r w:rsidRPr="002302E8">
        <w:t>, Wagner and Wagner 2003). A broader and more meaningful view of sustainability also requires resources to be used and allocated efficiently over time — where production is carried out at minimum cost and resources are directed to the areas that contribute most to wellbeing (</w:t>
      </w:r>
      <w:proofErr w:type="spellStart"/>
      <w:r w:rsidRPr="002302E8">
        <w:t>Stavins</w:t>
      </w:r>
      <w:proofErr w:type="spellEnd"/>
      <w:r w:rsidRPr="002302E8">
        <w:t>, Wagner and Wagner 2003). Given economic efficiency at each point in time, then economic sustainability can be interpreted as the allocation of resources over time (savings and investment) in a way that provides the highest level of wellbeing for current and future generations.</w:t>
      </w:r>
    </w:p>
    <w:p w:rsidR="00B3588C" w:rsidRPr="002302E8" w:rsidRDefault="0008314C" w:rsidP="002302E8">
      <w:pPr>
        <w:pStyle w:val="Heading3"/>
      </w:pPr>
      <w:r w:rsidRPr="002302E8">
        <w:t>W</w:t>
      </w:r>
      <w:r w:rsidR="0052293E" w:rsidRPr="002302E8">
        <w:t>ellbeing</w:t>
      </w:r>
      <w:r w:rsidR="006F0069" w:rsidRPr="002302E8">
        <w:t xml:space="preserve"> is difficult to </w:t>
      </w:r>
      <w:r w:rsidR="00E4058C" w:rsidRPr="002302E8">
        <w:t>define</w:t>
      </w:r>
    </w:p>
    <w:p w:rsidR="00545390" w:rsidRDefault="00655E7A" w:rsidP="00C72536">
      <w:pPr>
        <w:pStyle w:val="BodyText"/>
      </w:pPr>
      <w:r>
        <w:t>The concept of wellbeing is central to the economic interpretation of sustainability</w:t>
      </w:r>
      <w:r w:rsidR="00A41A61">
        <w:t xml:space="preserve">. </w:t>
      </w:r>
      <w:r w:rsidR="005A59EB">
        <w:t xml:space="preserve">Conventionally, </w:t>
      </w:r>
      <w:r w:rsidR="00D23666">
        <w:t>national statistical accounts</w:t>
      </w:r>
      <w:r w:rsidR="0068599C">
        <w:t>,</w:t>
      </w:r>
      <w:r w:rsidR="00833E41">
        <w:t xml:space="preserve"> and some economic models</w:t>
      </w:r>
      <w:r w:rsidR="0068599C">
        <w:t>,</w:t>
      </w:r>
      <w:r w:rsidR="005958EC">
        <w:t xml:space="preserve"> </w:t>
      </w:r>
      <w:r w:rsidR="00C36588">
        <w:t xml:space="preserve">use </w:t>
      </w:r>
      <w:r w:rsidR="00A41A61">
        <w:t xml:space="preserve">income </w:t>
      </w:r>
      <w:r w:rsidR="00543A76">
        <w:t xml:space="preserve">or </w:t>
      </w:r>
      <w:r w:rsidR="00545390" w:rsidRPr="00E67B77">
        <w:t>consumption</w:t>
      </w:r>
      <w:r w:rsidR="00C94D43">
        <w:t xml:space="preserve"> of goods and services</w:t>
      </w:r>
      <w:r w:rsidR="005A59EB">
        <w:t xml:space="preserve"> </w:t>
      </w:r>
      <w:r w:rsidR="00B24BDB">
        <w:t>that have a</w:t>
      </w:r>
      <w:r w:rsidR="00E32CF0">
        <w:t>n</w:t>
      </w:r>
      <w:r w:rsidR="00CE0056">
        <w:t xml:space="preserve"> </w:t>
      </w:r>
      <w:r w:rsidR="00E32CF0">
        <w:t xml:space="preserve">observable </w:t>
      </w:r>
      <w:r w:rsidR="00CE0056">
        <w:t>economic value (market goods and services)</w:t>
      </w:r>
      <w:r w:rsidR="00C36588">
        <w:t xml:space="preserve"> as a</w:t>
      </w:r>
      <w:r w:rsidR="002A2346">
        <w:t xml:space="preserve">n indicator </w:t>
      </w:r>
      <w:r w:rsidR="007267D9">
        <w:t>of</w:t>
      </w:r>
      <w:r w:rsidR="00C36588">
        <w:t xml:space="preserve"> wellbeing</w:t>
      </w:r>
      <w:r w:rsidR="00CE0056">
        <w:t xml:space="preserve">. This </w:t>
      </w:r>
      <w:r w:rsidR="006B69E5">
        <w:t xml:space="preserve">generally </w:t>
      </w:r>
      <w:r w:rsidR="00CE0056">
        <w:t xml:space="preserve">excludes the </w:t>
      </w:r>
      <w:r w:rsidR="00545390" w:rsidRPr="00E67B77">
        <w:t>non</w:t>
      </w:r>
      <w:r w:rsidR="00545390" w:rsidRPr="00E67B77">
        <w:noBreakHyphen/>
        <w:t xml:space="preserve">market </w:t>
      </w:r>
      <w:r w:rsidR="00BC6CFB">
        <w:t>outcomes that contribute to</w:t>
      </w:r>
      <w:r w:rsidR="00545390" w:rsidRPr="00E67B77">
        <w:t xml:space="preserve"> we</w:t>
      </w:r>
      <w:r w:rsidR="00CD092D">
        <w:t>llbeing</w:t>
      </w:r>
      <w:r w:rsidR="00CE0056">
        <w:t xml:space="preserve"> — for example, utility that is derived from </w:t>
      </w:r>
      <w:r w:rsidR="002E792D">
        <w:t xml:space="preserve">leisure activities, voluntary work, </w:t>
      </w:r>
      <w:r w:rsidR="00CE0056">
        <w:t xml:space="preserve">or </w:t>
      </w:r>
      <w:r w:rsidR="00BC6CFB">
        <w:t>social interactions supported by</w:t>
      </w:r>
      <w:r w:rsidR="00CE0056">
        <w:t xml:space="preserve"> various forms of social capital</w:t>
      </w:r>
      <w:r w:rsidR="0052293E">
        <w:t xml:space="preserve">. </w:t>
      </w:r>
      <w:r w:rsidR="00545390" w:rsidRPr="00E67B77">
        <w:t xml:space="preserve">This is not to say that economists do not recognise </w:t>
      </w:r>
      <w:r w:rsidR="00313823">
        <w:t>the importance of these for</w:t>
      </w:r>
      <w:r w:rsidR="00B24BDB">
        <w:t xml:space="preserve"> wellbeing</w:t>
      </w:r>
      <w:r w:rsidR="00121E35">
        <w:t xml:space="preserve"> (</w:t>
      </w:r>
      <w:r w:rsidR="00121E35" w:rsidRPr="00D5114D">
        <w:t>box</w:t>
      </w:r>
      <w:r w:rsidR="00121E35">
        <w:t> </w:t>
      </w:r>
      <w:r w:rsidR="00C26D2F">
        <w:t>2</w:t>
      </w:r>
      <w:r w:rsidR="00121E35">
        <w:t>)</w:t>
      </w:r>
      <w:r w:rsidR="002A2346">
        <w:t xml:space="preserve">. </w:t>
      </w:r>
      <w:r w:rsidR="00545390" w:rsidRPr="00E67B77">
        <w:t xml:space="preserve">Rather, many models </w:t>
      </w:r>
      <w:r w:rsidR="00301DB0">
        <w:t xml:space="preserve">do not explicitly take </w:t>
      </w:r>
      <w:r w:rsidR="00121E35">
        <w:t>non</w:t>
      </w:r>
      <w:r w:rsidR="00121E35">
        <w:noBreakHyphen/>
        <w:t xml:space="preserve">market outcomes </w:t>
      </w:r>
      <w:r w:rsidR="00301DB0">
        <w:t>into account due</w:t>
      </w:r>
      <w:r w:rsidR="00545390" w:rsidRPr="00E67B77">
        <w:t xml:space="preserve"> to the difficulty of precis</w:t>
      </w:r>
      <w:r w:rsidR="0052293E">
        <w:t xml:space="preserve">ely defining and measuring </w:t>
      </w:r>
      <w:r w:rsidR="00BC6CFB">
        <w:t>their value</w:t>
      </w:r>
      <w:r w:rsidR="00545390" w:rsidRPr="00E67B77">
        <w:t>.</w:t>
      </w:r>
    </w:p>
    <w:p w:rsidR="0089120C" w:rsidRPr="00CD1D69" w:rsidRDefault="0089120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89120C">
        <w:tc>
          <w:tcPr>
            <w:tcW w:w="8771" w:type="dxa"/>
            <w:tcBorders>
              <w:top w:val="single" w:sz="6" w:space="0" w:color="auto"/>
              <w:bottom w:val="nil"/>
            </w:tcBorders>
          </w:tcPr>
          <w:p w:rsidR="0089120C" w:rsidRDefault="0089120C" w:rsidP="00200AA4">
            <w:pPr>
              <w:pStyle w:val="BoxTitle"/>
            </w:pPr>
            <w:r>
              <w:rPr>
                <w:b w:val="0"/>
              </w:rPr>
              <w:t xml:space="preserve">Box </w:t>
            </w:r>
            <w:bookmarkStart w:id="8" w:name="OLE_LINK1"/>
            <w:r w:rsidR="00811B50">
              <w:rPr>
                <w:b w:val="0"/>
                <w:noProof/>
              </w:rPr>
              <w:t>2</w:t>
            </w:r>
            <w:bookmarkEnd w:id="8"/>
            <w:r>
              <w:tab/>
              <w:t>Measuring wellbeing</w:t>
            </w:r>
            <w:r w:rsidR="00315D1C">
              <w:t xml:space="preserve"> </w:t>
            </w:r>
          </w:p>
        </w:tc>
      </w:tr>
      <w:tr w:rsidR="0089120C">
        <w:trPr>
          <w:cantSplit/>
        </w:trPr>
        <w:tc>
          <w:tcPr>
            <w:tcW w:w="8771" w:type="dxa"/>
            <w:tcBorders>
              <w:top w:val="nil"/>
              <w:left w:val="single" w:sz="6" w:space="0" w:color="auto"/>
              <w:bottom w:val="nil"/>
              <w:right w:val="single" w:sz="6" w:space="0" w:color="auto"/>
            </w:tcBorders>
          </w:tcPr>
          <w:p w:rsidR="00121E35" w:rsidRDefault="00315D1C" w:rsidP="0089120C">
            <w:pPr>
              <w:pStyle w:val="Box"/>
            </w:pPr>
            <w:r>
              <w:t>T</w:t>
            </w:r>
            <w:r w:rsidRPr="00E67B77">
              <w:t xml:space="preserve">he Australian Treasury’s </w:t>
            </w:r>
            <w:r w:rsidRPr="00E67B77">
              <w:rPr>
                <w:i/>
              </w:rPr>
              <w:t>Wellbeing Framework</w:t>
            </w:r>
            <w:r w:rsidR="00121E35">
              <w:rPr>
                <w:i/>
              </w:rPr>
              <w:t xml:space="preserve"> </w:t>
            </w:r>
            <w:r>
              <w:t>attempt</w:t>
            </w:r>
            <w:r w:rsidR="00121E35">
              <w:t>s</w:t>
            </w:r>
            <w:r w:rsidRPr="00E67B77">
              <w:t xml:space="preserve"> to consider a range of determinants </w:t>
            </w:r>
            <w:r w:rsidR="001A7BEC">
              <w:t>of</w:t>
            </w:r>
            <w:r w:rsidR="001A7BEC" w:rsidRPr="00E67B77">
              <w:t xml:space="preserve"> </w:t>
            </w:r>
            <w:r w:rsidRPr="00E67B77">
              <w:t xml:space="preserve">utility (beyond income and GDP). The </w:t>
            </w:r>
            <w:r w:rsidR="00AB0127">
              <w:t>framework</w:t>
            </w:r>
            <w:r w:rsidR="00AB0127" w:rsidRPr="00E67B77">
              <w:t xml:space="preserve"> </w:t>
            </w:r>
            <w:r w:rsidRPr="00E67B77">
              <w:t>suggest</w:t>
            </w:r>
            <w:r w:rsidR="0041319A">
              <w:t>s</w:t>
            </w:r>
            <w:r w:rsidRPr="00E67B77">
              <w:t xml:space="preserve"> that</w:t>
            </w:r>
            <w:r w:rsidR="00121E35">
              <w:t>,</w:t>
            </w:r>
            <w:r w:rsidRPr="00E67B77">
              <w:t xml:space="preserve"> ultimately, all preferences for what is important to people could </w:t>
            </w:r>
            <w:r w:rsidR="00AB0127">
              <w:t xml:space="preserve">perhaps </w:t>
            </w:r>
            <w:r w:rsidRPr="00E67B77">
              <w:t>be expressed as ‘consumption’ of a generalised good, even if this good is intangib</w:t>
            </w:r>
            <w:r>
              <w:t>le (Australian Treasury 2004</w:t>
            </w:r>
            <w:r w:rsidRPr="00E67B77">
              <w:t xml:space="preserve">). As noted in the framework, this interpretation of utility can also include other dimensions of wellbeing, such as capabilities and individual personal characteristics (as </w:t>
            </w:r>
            <w:r w:rsidR="006C2A44">
              <w:t>described</w:t>
            </w:r>
            <w:r w:rsidR="006C2A44" w:rsidRPr="00E67B77">
              <w:t xml:space="preserve"> </w:t>
            </w:r>
            <w:r w:rsidRPr="00E67B77">
              <w:t>by Sen 1999).</w:t>
            </w:r>
          </w:p>
          <w:p w:rsidR="00315D1C" w:rsidRDefault="00121E35" w:rsidP="0089120C">
            <w:pPr>
              <w:pStyle w:val="Box"/>
            </w:pPr>
            <w:r>
              <w:t>However, c</w:t>
            </w:r>
            <w:r w:rsidR="00315D1C">
              <w:t xml:space="preserve">onsideration of these types of outcomes in policy analysis is hampered by </w:t>
            </w:r>
            <w:r w:rsidR="0041319A">
              <w:t xml:space="preserve">a </w:t>
            </w:r>
            <w:r w:rsidR="00315D1C">
              <w:t xml:space="preserve">lack of data. </w:t>
            </w:r>
            <w:proofErr w:type="spellStart"/>
            <w:r w:rsidR="00315D1C">
              <w:t>Stiglitz</w:t>
            </w:r>
            <w:proofErr w:type="spellEnd"/>
            <w:r w:rsidR="00315D1C">
              <w:t xml:space="preserve">, </w:t>
            </w:r>
            <w:proofErr w:type="spellStart"/>
            <w:r w:rsidR="00315D1C">
              <w:t>Sen</w:t>
            </w:r>
            <w:proofErr w:type="spellEnd"/>
            <w:r w:rsidR="00315D1C">
              <w:t xml:space="preserve"> and </w:t>
            </w:r>
            <w:proofErr w:type="spellStart"/>
            <w:r w:rsidR="00315D1C">
              <w:t>Fitoussi</w:t>
            </w:r>
            <w:proofErr w:type="spellEnd"/>
            <w:r w:rsidR="00315D1C">
              <w:t xml:space="preserve"> (2009) recommend</w:t>
            </w:r>
            <w:r>
              <w:t>ed</w:t>
            </w:r>
            <w:r w:rsidR="00315D1C">
              <w:t xml:space="preserve"> more systematic collection of data on these non</w:t>
            </w:r>
            <w:r w:rsidR="00B328A2">
              <w:noBreakHyphen/>
            </w:r>
            <w:r w:rsidR="00315D1C">
              <w:t>market outcomes. The OECD</w:t>
            </w:r>
            <w:r w:rsidR="00602BB8">
              <w:t xml:space="preserve"> (2012)</w:t>
            </w:r>
            <w:r w:rsidR="00315D1C">
              <w:t xml:space="preserve"> </w:t>
            </w:r>
            <w:r w:rsidR="00315D1C" w:rsidRPr="0053298F">
              <w:rPr>
                <w:i/>
              </w:rPr>
              <w:t>Measur</w:t>
            </w:r>
            <w:r w:rsidR="00022068">
              <w:rPr>
                <w:i/>
              </w:rPr>
              <w:t>ing Wellbeing and</w:t>
            </w:r>
            <w:r w:rsidR="00315D1C" w:rsidRPr="0053298F">
              <w:rPr>
                <w:i/>
              </w:rPr>
              <w:t xml:space="preserve"> </w:t>
            </w:r>
            <w:r w:rsidR="00022068">
              <w:rPr>
                <w:i/>
              </w:rPr>
              <w:t>P</w:t>
            </w:r>
            <w:r w:rsidR="00315D1C" w:rsidRPr="0053298F">
              <w:rPr>
                <w:i/>
              </w:rPr>
              <w:t>rogress</w:t>
            </w:r>
            <w:r w:rsidR="005B5005">
              <w:t xml:space="preserve"> </w:t>
            </w:r>
            <w:r w:rsidR="00315D1C">
              <w:t xml:space="preserve">project has </w:t>
            </w:r>
            <w:r w:rsidR="00416A4B">
              <w:t>attempted to do this by</w:t>
            </w:r>
            <w:r w:rsidR="002B462E">
              <w:t xml:space="preserve"> </w:t>
            </w:r>
            <w:r w:rsidR="00315D1C">
              <w:t xml:space="preserve">building on human development measures that have been </w:t>
            </w:r>
            <w:r w:rsidR="002B462E">
              <w:t xml:space="preserve">around for </w:t>
            </w:r>
            <w:r w:rsidR="00226D3C">
              <w:t>several decades</w:t>
            </w:r>
            <w:r w:rsidR="00315D1C">
              <w:t>.</w:t>
            </w:r>
          </w:p>
          <w:p w:rsidR="0089120C" w:rsidRPr="006B32CE" w:rsidRDefault="007368C1" w:rsidP="0089120C">
            <w:pPr>
              <w:pStyle w:val="Box"/>
            </w:pPr>
            <w:r>
              <w:t xml:space="preserve">A </w:t>
            </w:r>
            <w:r w:rsidR="0089120C" w:rsidRPr="004916E3">
              <w:t xml:space="preserve">range of indicators </w:t>
            </w:r>
            <w:r>
              <w:t xml:space="preserve">have been used </w:t>
            </w:r>
            <w:r w:rsidR="0089120C" w:rsidRPr="004916E3">
              <w:t xml:space="preserve">that attempt to measure </w:t>
            </w:r>
            <w:r w:rsidR="00315D1C">
              <w:t xml:space="preserve">dimensions of </w:t>
            </w:r>
            <w:r w:rsidR="0089120C" w:rsidRPr="004916E3">
              <w:t xml:space="preserve">wellbeing </w:t>
            </w:r>
            <w:r w:rsidR="00315D1C">
              <w:t xml:space="preserve">beyond income and </w:t>
            </w:r>
            <w:r>
              <w:t xml:space="preserve">the </w:t>
            </w:r>
            <w:r w:rsidR="00315D1C">
              <w:t>consumption of market goods and services (which are measured in GDP)</w:t>
            </w:r>
            <w:r w:rsidR="003E2A7E">
              <w:t xml:space="preserve">. </w:t>
            </w:r>
            <w:r w:rsidR="0089120C" w:rsidRPr="004916E3">
              <w:t xml:space="preserve">These often </w:t>
            </w:r>
            <w:r w:rsidR="0089120C" w:rsidRPr="006B32CE">
              <w:t xml:space="preserve">incorporate a suite of different </w:t>
            </w:r>
            <w:r>
              <w:t>metrics</w:t>
            </w:r>
            <w:r w:rsidRPr="006B32CE">
              <w:t xml:space="preserve"> </w:t>
            </w:r>
            <w:r w:rsidR="0089120C" w:rsidRPr="006B32CE">
              <w:t>of wellbeing. Some examples include:</w:t>
            </w:r>
          </w:p>
          <w:p w:rsidR="0089120C" w:rsidRPr="00404151" w:rsidRDefault="007368C1" w:rsidP="0089120C">
            <w:pPr>
              <w:pStyle w:val="BoxListBullet"/>
            </w:pPr>
            <w:r>
              <w:t>t</w:t>
            </w:r>
            <w:r w:rsidR="0089120C" w:rsidRPr="00631C7E">
              <w:t>he Human Development Index — based on three aspects of human development: health (life expectancy at birth), education (</w:t>
            </w:r>
            <w:r w:rsidR="00602BB8">
              <w:t>average</w:t>
            </w:r>
            <w:r w:rsidR="0089120C" w:rsidRPr="00631C7E">
              <w:t xml:space="preserve"> years of schooling) and income (gross national income p</w:t>
            </w:r>
            <w:r w:rsidR="0089120C" w:rsidRPr="004204E8">
              <w:t>er capita)</w:t>
            </w:r>
          </w:p>
          <w:p w:rsidR="0089120C" w:rsidRPr="00404151" w:rsidRDefault="0089120C" w:rsidP="0089120C">
            <w:pPr>
              <w:pStyle w:val="BoxListBullet"/>
            </w:pPr>
            <w:r w:rsidRPr="004916E3">
              <w:t>the Better Life Index — compris</w:t>
            </w:r>
            <w:r w:rsidR="007368C1">
              <w:t>ing</w:t>
            </w:r>
            <w:r w:rsidRPr="004916E3">
              <w:t xml:space="preserve"> 11 </w:t>
            </w:r>
            <w:r w:rsidR="005513E9">
              <w:t>variables</w:t>
            </w:r>
            <w:r w:rsidRPr="004916E3">
              <w:t xml:space="preserve"> thought essential to wellbeing in terms of </w:t>
            </w:r>
            <w:r w:rsidRPr="004916E3">
              <w:rPr>
                <w:rStyle w:val="Emphasis"/>
                <w:i w:val="0"/>
              </w:rPr>
              <w:t>material living conditions</w:t>
            </w:r>
            <w:r w:rsidRPr="004916E3">
              <w:t xml:space="preserve"> (housing, income, </w:t>
            </w:r>
            <w:r w:rsidR="00602BB8">
              <w:t xml:space="preserve">and </w:t>
            </w:r>
            <w:r w:rsidRPr="004916E3">
              <w:t xml:space="preserve">jobs) and </w:t>
            </w:r>
            <w:r w:rsidRPr="004916E3">
              <w:rPr>
                <w:rStyle w:val="Emphasis"/>
                <w:i w:val="0"/>
              </w:rPr>
              <w:t>quality of life</w:t>
            </w:r>
            <w:r w:rsidRPr="004916E3">
              <w:t xml:space="preserve"> (community, education, environment, governance, health, life satisfaction, safety and work</w:t>
            </w:r>
            <w:r w:rsidR="00B328A2">
              <w:noBreakHyphen/>
            </w:r>
            <w:r w:rsidRPr="004916E3">
              <w:t>life balance) (OECD 2012).</w:t>
            </w:r>
          </w:p>
          <w:p w:rsidR="0089120C" w:rsidRDefault="007368C1" w:rsidP="001A3FE5">
            <w:pPr>
              <w:pStyle w:val="Box"/>
            </w:pPr>
            <w:r>
              <w:t>T</w:t>
            </w:r>
            <w:r w:rsidR="0089120C" w:rsidRPr="004916E3">
              <w:t xml:space="preserve">he Australian Bureau of Statistics has developed </w:t>
            </w:r>
            <w:r w:rsidR="0089120C" w:rsidRPr="0053298F">
              <w:rPr>
                <w:i/>
              </w:rPr>
              <w:t>Measures of Australia’s Progress</w:t>
            </w:r>
            <w:r w:rsidR="00A9787F">
              <w:t xml:space="preserve"> that</w:t>
            </w:r>
            <w:r w:rsidR="00416A4B">
              <w:t xml:space="preserve"> </w:t>
            </w:r>
            <w:r w:rsidR="0089120C" w:rsidRPr="004916E3">
              <w:t>incorporate three groups of indicators: society, economy and the environment. Within these groups</w:t>
            </w:r>
            <w:r w:rsidR="00A9787F">
              <w:t>,</w:t>
            </w:r>
            <w:r w:rsidR="0089120C" w:rsidRPr="004916E3">
              <w:t xml:space="preserve"> indicators include life expectancy at birth, the unemployment rate, real net national disposable income per capita, </w:t>
            </w:r>
            <w:r w:rsidR="00BD11E3">
              <w:t xml:space="preserve">and </w:t>
            </w:r>
            <w:r w:rsidR="0089120C" w:rsidRPr="004916E3">
              <w:t xml:space="preserve">home ownership rates </w:t>
            </w:r>
            <w:r w:rsidR="00E80D04" w:rsidRPr="004916E3">
              <w:t>(ABS 2010</w:t>
            </w:r>
            <w:r w:rsidR="0089120C" w:rsidRPr="004916E3">
              <w:t>).</w:t>
            </w:r>
          </w:p>
        </w:tc>
      </w:tr>
      <w:tr w:rsidR="0089120C">
        <w:trPr>
          <w:cantSplit/>
        </w:trPr>
        <w:tc>
          <w:tcPr>
            <w:tcW w:w="8771" w:type="dxa"/>
            <w:tcBorders>
              <w:top w:val="nil"/>
              <w:left w:val="single" w:sz="6" w:space="0" w:color="auto"/>
              <w:bottom w:val="single" w:sz="6" w:space="0" w:color="auto"/>
              <w:right w:val="single" w:sz="6" w:space="0" w:color="auto"/>
            </w:tcBorders>
          </w:tcPr>
          <w:p w:rsidR="0089120C" w:rsidRDefault="0089120C">
            <w:pPr>
              <w:pStyle w:val="Box"/>
              <w:spacing w:before="0" w:line="120" w:lineRule="exact"/>
            </w:pPr>
          </w:p>
        </w:tc>
      </w:tr>
      <w:tr w:rsidR="0089120C">
        <w:tc>
          <w:tcPr>
            <w:tcW w:w="8771" w:type="dxa"/>
            <w:tcBorders>
              <w:top w:val="nil"/>
              <w:left w:val="nil"/>
              <w:bottom w:val="nil"/>
              <w:right w:val="nil"/>
            </w:tcBorders>
          </w:tcPr>
          <w:p w:rsidR="0089120C" w:rsidRDefault="0089120C">
            <w:pPr>
              <w:pStyle w:val="Box"/>
              <w:keepNext w:val="0"/>
              <w:spacing w:before="60" w:after="60" w:line="80" w:lineRule="exact"/>
              <w:rPr>
                <w:b/>
                <w:color w:val="FF00FF"/>
                <w:sz w:val="14"/>
              </w:rPr>
            </w:pPr>
          </w:p>
        </w:tc>
      </w:tr>
    </w:tbl>
    <w:p w:rsidR="00B24F71" w:rsidRPr="002302E8" w:rsidRDefault="00B24F71" w:rsidP="002302E8">
      <w:pPr>
        <w:pStyle w:val="Heading3"/>
      </w:pPr>
      <w:r w:rsidRPr="002302E8">
        <w:t>Intergenerational equity</w:t>
      </w:r>
    </w:p>
    <w:p w:rsidR="00B24F71" w:rsidRDefault="00B24F71" w:rsidP="00C72536">
      <w:pPr>
        <w:pStyle w:val="BodyText"/>
      </w:pPr>
      <w:r>
        <w:t xml:space="preserve">Interpreting sustainability as requiring that wellbeing be at least maintained over time embodies </w:t>
      </w:r>
      <w:r w:rsidR="00F2406D">
        <w:t>concerns about</w:t>
      </w:r>
      <w:r w:rsidR="006C2A44">
        <w:t xml:space="preserve"> </w:t>
      </w:r>
      <w:r>
        <w:t xml:space="preserve">intergenerational equity. In this context, each generation </w:t>
      </w:r>
      <w:r w:rsidRPr="001A4556">
        <w:t>must make a decision regarding the amount of capital to consume</w:t>
      </w:r>
      <w:r>
        <w:t xml:space="preserve"> now</w:t>
      </w:r>
      <w:r w:rsidRPr="001A4556">
        <w:t xml:space="preserve"> (for the benefit of the current generation) and how much capital to </w:t>
      </w:r>
      <w:r>
        <w:t>accumulate or preserve, including conservation of natural capital,</w:t>
      </w:r>
      <w:r w:rsidRPr="001A4556">
        <w:t xml:space="preserve"> for the benefit of future generations</w:t>
      </w:r>
      <w:r>
        <w:t>. Solow (1993) refer</w:t>
      </w:r>
      <w:r w:rsidR="007368C1">
        <w:t>red</w:t>
      </w:r>
      <w:r>
        <w:t xml:space="preserve"> to this decision as a ‘trade with posterity’ — where the current generation consumes some natural capital, but in exchange they save and invest in produced and human capital so that future generations inherit an equivalent or larger total stock of capital.</w:t>
      </w:r>
    </w:p>
    <w:p w:rsidR="00E44ACC" w:rsidRDefault="00B24F71" w:rsidP="00B24F71">
      <w:pPr>
        <w:spacing w:before="240" w:line="320" w:lineRule="atLeast"/>
        <w:jc w:val="both"/>
        <w:rPr>
          <w:szCs w:val="20"/>
        </w:rPr>
      </w:pPr>
      <w:r w:rsidRPr="00C72536">
        <w:rPr>
          <w:rStyle w:val="BodyTextChar"/>
        </w:rPr>
        <w:lastRenderedPageBreak/>
        <w:t xml:space="preserve">Implicit in this interpretation of intergenerational equity is the assumption that </w:t>
      </w:r>
      <w:r w:rsidR="00E44ACC" w:rsidRPr="00C72536">
        <w:rPr>
          <w:rStyle w:val="BodyTextChar"/>
        </w:rPr>
        <w:t>maintaining the total</w:t>
      </w:r>
      <w:r w:rsidRPr="00C72536">
        <w:rPr>
          <w:rStyle w:val="BodyTextChar"/>
        </w:rPr>
        <w:t xml:space="preserve"> capital stock can produce outcomes that would achieve </w:t>
      </w:r>
      <w:r w:rsidR="00753ECD" w:rsidRPr="00C72536">
        <w:rPr>
          <w:rStyle w:val="BodyTextChar"/>
        </w:rPr>
        <w:t xml:space="preserve">at least </w:t>
      </w:r>
      <w:r w:rsidRPr="00C72536">
        <w:rPr>
          <w:rStyle w:val="BodyTextChar"/>
        </w:rPr>
        <w:t>constant wellbeing over time</w:t>
      </w:r>
      <w:r w:rsidR="001A7BEC" w:rsidRPr="00C72536">
        <w:rPr>
          <w:rStyle w:val="BodyTextChar"/>
        </w:rPr>
        <w:t>.</w:t>
      </w:r>
      <w:r>
        <w:rPr>
          <w:rStyle w:val="FootnoteReference"/>
          <w:szCs w:val="20"/>
        </w:rPr>
        <w:footnoteReference w:id="3"/>
      </w:r>
      <w:r w:rsidRPr="00C72536">
        <w:rPr>
          <w:rStyle w:val="BodyTextChar"/>
        </w:rPr>
        <w:t xml:space="preserve"> </w:t>
      </w:r>
      <w:r w:rsidR="00E44ACC" w:rsidRPr="00C72536">
        <w:rPr>
          <w:rStyle w:val="BodyTextChar"/>
        </w:rPr>
        <w:t>This</w:t>
      </w:r>
      <w:r w:rsidRPr="00C72536">
        <w:rPr>
          <w:rStyle w:val="BodyTextChar"/>
        </w:rPr>
        <w:t xml:space="preserve"> could</w:t>
      </w:r>
      <w:r w:rsidR="00E44ACC" w:rsidRPr="00C72536">
        <w:rPr>
          <w:rStyle w:val="BodyTextChar"/>
        </w:rPr>
        <w:t>, however,</w:t>
      </w:r>
      <w:r w:rsidRPr="00C72536">
        <w:rPr>
          <w:rStyle w:val="BodyTextChar"/>
        </w:rPr>
        <w:t xml:space="preserve"> be achieved through many different consumption paths and mixes of capital. </w:t>
      </w:r>
      <w:r w:rsidR="00E44ACC" w:rsidRPr="00C72536">
        <w:rPr>
          <w:rStyle w:val="BodyTextChar"/>
        </w:rPr>
        <w:t>There are two critical areas of uncertainty</w:t>
      </w:r>
      <w:r w:rsidR="00202655" w:rsidRPr="00C72536">
        <w:rPr>
          <w:rStyle w:val="BodyTextChar"/>
        </w:rPr>
        <w:t xml:space="preserve"> related to this</w:t>
      </w:r>
      <w:r w:rsidR="00753ECD" w:rsidRPr="00C72536">
        <w:rPr>
          <w:rStyle w:val="BodyTextChar"/>
        </w:rPr>
        <w:t>.</w:t>
      </w:r>
    </w:p>
    <w:p w:rsidR="00753ECD" w:rsidRDefault="00E44ACC" w:rsidP="00753ECD">
      <w:pPr>
        <w:pStyle w:val="ListBullet"/>
      </w:pPr>
      <w:r>
        <w:t xml:space="preserve">Possible </w:t>
      </w:r>
      <w:r w:rsidR="00B24F71">
        <w:t xml:space="preserve">‘production’ pathways depend largely on technological developments that allow different combinations of capital to produce </w:t>
      </w:r>
      <w:r w:rsidR="00202655">
        <w:t xml:space="preserve">particular </w:t>
      </w:r>
      <w:r w:rsidR="00B24F71">
        <w:t xml:space="preserve">sets of outcomes. While some </w:t>
      </w:r>
      <w:r w:rsidR="00753ECD">
        <w:t>techn</w:t>
      </w:r>
      <w:r w:rsidR="00602BB8">
        <w:t>ological</w:t>
      </w:r>
      <w:r w:rsidR="00753ECD">
        <w:t xml:space="preserve"> </w:t>
      </w:r>
      <w:r w:rsidR="00B24F71">
        <w:t xml:space="preserve">developments </w:t>
      </w:r>
      <w:r w:rsidR="001C14D8">
        <w:t xml:space="preserve">and substitution possibilities </w:t>
      </w:r>
      <w:r w:rsidR="00B24F71">
        <w:t>can be foreseen, much is unknown.</w:t>
      </w:r>
    </w:p>
    <w:p w:rsidR="00E44ACC" w:rsidRPr="00C13E47" w:rsidRDefault="00B24F71" w:rsidP="00753ECD">
      <w:pPr>
        <w:pStyle w:val="ListBullet"/>
      </w:pPr>
      <w:r w:rsidRPr="00E44ACC">
        <w:t xml:space="preserve">The tastes or preferences of future generations are also unknown. Choices at </w:t>
      </w:r>
      <w:r w:rsidR="002E628F" w:rsidRPr="00485069">
        <w:t>any</w:t>
      </w:r>
      <w:r w:rsidRPr="00194777">
        <w:t xml:space="preserve"> point in </w:t>
      </w:r>
      <w:r w:rsidR="002E628F" w:rsidRPr="00194777">
        <w:t>time</w:t>
      </w:r>
      <w:r w:rsidRPr="0026386B">
        <w:t xml:space="preserve"> depend on preferences for different forms of consumption. </w:t>
      </w:r>
      <w:r w:rsidR="005977DE">
        <w:t>In addition</w:t>
      </w:r>
      <w:r w:rsidRPr="0026386B">
        <w:t xml:space="preserve">, preferences, even in the </w:t>
      </w:r>
      <w:r w:rsidR="002E628F" w:rsidRPr="00C13E47">
        <w:t>span of a single</w:t>
      </w:r>
      <w:r w:rsidRPr="00C13E47">
        <w:t xml:space="preserve"> generation, </w:t>
      </w:r>
      <w:r w:rsidR="00E44ACC" w:rsidRPr="00C13E47">
        <w:t xml:space="preserve">can </w:t>
      </w:r>
      <w:r w:rsidRPr="00C13E47">
        <w:t>change. Given this uncertainty, it is often assumed that future generations have the same preferences as the current generation</w:t>
      </w:r>
      <w:r w:rsidR="00E44ACC" w:rsidRPr="00C13E47">
        <w:t>.</w:t>
      </w:r>
    </w:p>
    <w:p w:rsidR="00B24F71" w:rsidRDefault="00E44ACC" w:rsidP="00C72536">
      <w:pPr>
        <w:pStyle w:val="BodyText"/>
      </w:pPr>
      <w:r>
        <w:t xml:space="preserve">Moreover, some </w:t>
      </w:r>
      <w:proofErr w:type="spellStart"/>
      <w:r>
        <w:t>judgement</w:t>
      </w:r>
      <w:proofErr w:type="spellEnd"/>
      <w:r>
        <w:t xml:space="preserve"> of the importance of future generations</w:t>
      </w:r>
      <w:r w:rsidR="00602BB8">
        <w:t>’</w:t>
      </w:r>
      <w:r>
        <w:t xml:space="preserve"> wellbeing must be made by those making the investment decisions. In general</w:t>
      </w:r>
      <w:r w:rsidR="001C14D8">
        <w:t>,</w:t>
      </w:r>
      <w:r>
        <w:t xml:space="preserve"> sustainability</w:t>
      </w:r>
      <w:r w:rsidR="0045210C">
        <w:t xml:space="preserve"> is taken to imply</w:t>
      </w:r>
      <w:r>
        <w:t xml:space="preserve"> that</w:t>
      </w:r>
      <w:r w:rsidR="00B24F71">
        <w:t xml:space="preserve"> the wellbeing </w:t>
      </w:r>
      <w:r>
        <w:t xml:space="preserve">of future generations </w:t>
      </w:r>
      <w:r w:rsidR="00B24F71">
        <w:t xml:space="preserve">matters as much as that of </w:t>
      </w:r>
      <w:r w:rsidR="002E628F">
        <w:t xml:space="preserve">the </w:t>
      </w:r>
      <w:r w:rsidR="00B24F71">
        <w:t>current generation.</w:t>
      </w:r>
    </w:p>
    <w:p w:rsidR="00B24F71" w:rsidRDefault="00B24F71" w:rsidP="00C72536">
      <w:pPr>
        <w:pStyle w:val="BodyText"/>
      </w:pPr>
      <w:r>
        <w:t>What constitutes i</w:t>
      </w:r>
      <w:r w:rsidRPr="007476BF">
        <w:t>ntergenerational equity is therefore highly subjective</w:t>
      </w:r>
      <w:r w:rsidR="0045210C">
        <w:t xml:space="preserve">, both in the assumptions about </w:t>
      </w:r>
      <w:r w:rsidR="00202655">
        <w:t>preferences</w:t>
      </w:r>
      <w:r w:rsidR="0045210C">
        <w:t xml:space="preserve"> and technology</w:t>
      </w:r>
      <w:r w:rsidR="00AF6E81">
        <w:t>,</w:t>
      </w:r>
      <w:r w:rsidR="0045210C">
        <w:t xml:space="preserve"> and in judgements about equal opportunities across generations</w:t>
      </w:r>
      <w:r>
        <w:t>.</w:t>
      </w:r>
      <w:r w:rsidR="00753ECD">
        <w:t xml:space="preserve"> </w:t>
      </w:r>
      <w:r>
        <w:t xml:space="preserve">Consequently, applying the concept of sustainability requires a greater understanding </w:t>
      </w:r>
      <w:r w:rsidRPr="0068599C">
        <w:t xml:space="preserve">of </w:t>
      </w:r>
      <w:r>
        <w:t xml:space="preserve">how the </w:t>
      </w:r>
      <w:r w:rsidR="00202655">
        <w:t>present generation</w:t>
      </w:r>
      <w:r>
        <w:t xml:space="preserve"> values different forms of capital and </w:t>
      </w:r>
      <w:r w:rsidR="00097251">
        <w:t xml:space="preserve">also </w:t>
      </w:r>
      <w:r w:rsidR="005977DE">
        <w:t xml:space="preserve">of </w:t>
      </w:r>
      <w:r>
        <w:t xml:space="preserve">the technical limits to </w:t>
      </w:r>
      <w:r w:rsidRPr="000C58DD">
        <w:t>substitut</w:t>
      </w:r>
      <w:r>
        <w:t xml:space="preserve">ion between the </w:t>
      </w:r>
      <w:r w:rsidR="00202655">
        <w:t xml:space="preserve">different </w:t>
      </w:r>
      <w:r>
        <w:t>forms of capital.</w:t>
      </w:r>
    </w:p>
    <w:p w:rsidR="003C5B4F" w:rsidRPr="002302E8" w:rsidRDefault="008D34CB" w:rsidP="002302E8">
      <w:pPr>
        <w:pStyle w:val="Heading3"/>
      </w:pPr>
      <w:r w:rsidRPr="002302E8">
        <w:t xml:space="preserve">How substitutable are </w:t>
      </w:r>
      <w:r w:rsidR="00CC5A11" w:rsidRPr="002302E8">
        <w:t xml:space="preserve">natural capital and other forms of capital? </w:t>
      </w:r>
    </w:p>
    <w:p w:rsidR="00B25FAA" w:rsidRPr="00E67B77" w:rsidRDefault="00B25FAA" w:rsidP="00C72536">
      <w:pPr>
        <w:pStyle w:val="BodyText"/>
      </w:pPr>
      <w:r>
        <w:t>T</w:t>
      </w:r>
      <w:r w:rsidRPr="00E67B77">
        <w:t xml:space="preserve">he </w:t>
      </w:r>
      <w:r w:rsidR="00651E0E">
        <w:t xml:space="preserve">central </w:t>
      </w:r>
      <w:r w:rsidR="00F77343">
        <w:t>issue</w:t>
      </w:r>
      <w:r w:rsidR="00651E0E">
        <w:t xml:space="preserve"> for the </w:t>
      </w:r>
      <w:r>
        <w:t>economic</w:t>
      </w:r>
      <w:r w:rsidRPr="00E67B77">
        <w:t xml:space="preserve"> view of sustainability </w:t>
      </w:r>
      <w:r w:rsidR="00651E0E">
        <w:t>is the extent to which</w:t>
      </w:r>
      <w:r w:rsidRPr="00E67B77">
        <w:t xml:space="preserve"> </w:t>
      </w:r>
      <w:r w:rsidR="00DB72FC">
        <w:t xml:space="preserve">different </w:t>
      </w:r>
      <w:r w:rsidRPr="00E67B77">
        <w:t xml:space="preserve">forms of capital </w:t>
      </w:r>
      <w:r>
        <w:t xml:space="preserve">can </w:t>
      </w:r>
      <w:r w:rsidRPr="00E67B77">
        <w:t xml:space="preserve">be substituted </w:t>
      </w:r>
      <w:r w:rsidR="00B475B2">
        <w:t xml:space="preserve">for each other </w:t>
      </w:r>
      <w:r w:rsidRPr="00E67B77">
        <w:t xml:space="preserve">in order to maintain </w:t>
      </w:r>
      <w:r>
        <w:t>wellbeing</w:t>
      </w:r>
      <w:r w:rsidR="00195FDC">
        <w:t xml:space="preserve">. </w:t>
      </w:r>
      <w:r>
        <w:t>T</w:t>
      </w:r>
      <w:r w:rsidRPr="00E67B77">
        <w:t xml:space="preserve">his is contentious </w:t>
      </w:r>
      <w:r w:rsidR="00F77343">
        <w:t>as</w:t>
      </w:r>
      <w:r w:rsidRPr="00E67B77">
        <w:t xml:space="preserve"> there are widely conflicting views on </w:t>
      </w:r>
      <w:r w:rsidR="00651E0E">
        <w:t xml:space="preserve">whether </w:t>
      </w:r>
      <w:r w:rsidRPr="00E67B77">
        <w:t>it is ethically defensible, and technically feasible, to substitute natural capital for other forms of capital.</w:t>
      </w:r>
    </w:p>
    <w:p w:rsidR="000D2E0F" w:rsidRPr="00E67B77" w:rsidRDefault="003D4F50" w:rsidP="00C72536">
      <w:pPr>
        <w:pStyle w:val="BodyText"/>
      </w:pPr>
      <w:r>
        <w:lastRenderedPageBreak/>
        <w:t>The</w:t>
      </w:r>
      <w:r w:rsidR="000D2E0F" w:rsidRPr="00E67B77">
        <w:t xml:space="preserve"> idea that natural capital can be substituted </w:t>
      </w:r>
      <w:r w:rsidR="005977DE">
        <w:t>for</w:t>
      </w:r>
      <w:r w:rsidR="005977DE" w:rsidRPr="00E67B77">
        <w:t xml:space="preserve"> </w:t>
      </w:r>
      <w:r w:rsidR="00163C64">
        <w:t>other forms of</w:t>
      </w:r>
      <w:r w:rsidR="000D2E0F" w:rsidRPr="00E67B77">
        <w:t xml:space="preserve"> capital</w:t>
      </w:r>
      <w:r>
        <w:t xml:space="preserve"> </w:t>
      </w:r>
      <w:r w:rsidR="000D2E0F" w:rsidRPr="00E67B77">
        <w:t>is commonly referred to as ‘</w:t>
      </w:r>
      <w:r w:rsidR="000D2E0F" w:rsidRPr="00FF58B8">
        <w:t>weak sustainability</w:t>
      </w:r>
      <w:r w:rsidR="000D2E0F" w:rsidRPr="00FC4A6B">
        <w:t>’</w:t>
      </w:r>
      <w:r w:rsidR="00C267EE">
        <w:t>.</w:t>
      </w:r>
      <w:r w:rsidR="006A2E10">
        <w:t xml:space="preserve"> It is often associated with work on the economics of exhaustible resources by </w:t>
      </w:r>
      <w:proofErr w:type="spellStart"/>
      <w:r w:rsidR="006A2E10">
        <w:t>Hartwick</w:t>
      </w:r>
      <w:proofErr w:type="spellEnd"/>
      <w:r w:rsidR="006A2E10">
        <w:t xml:space="preserve"> (1977) and Solow (1974)</w:t>
      </w:r>
      <w:r w:rsidR="00787CD7">
        <w:t xml:space="preserve"> (box </w:t>
      </w:r>
      <w:r w:rsidR="00547854">
        <w:t>1</w:t>
      </w:r>
      <w:r w:rsidR="00787CD7">
        <w:t>)</w:t>
      </w:r>
      <w:r w:rsidR="006A2E10">
        <w:t>.</w:t>
      </w:r>
      <w:r w:rsidR="005977DE">
        <w:t xml:space="preserve"> </w:t>
      </w:r>
      <w:r w:rsidR="00B951DA">
        <w:t>Weak sustainability</w:t>
      </w:r>
      <w:r w:rsidR="000D2E0F" w:rsidRPr="00E67B77">
        <w:t xml:space="preserve"> implies that as natural capital is depleted</w:t>
      </w:r>
      <w:r w:rsidR="000569FB">
        <w:t>,</w:t>
      </w:r>
      <w:r w:rsidR="000D2E0F" w:rsidRPr="00E67B77">
        <w:t xml:space="preserve"> </w:t>
      </w:r>
      <w:r w:rsidR="00EC1BCE">
        <w:t>other forms of capital</w:t>
      </w:r>
      <w:r w:rsidR="000D2E0F" w:rsidRPr="00E67B77">
        <w:t xml:space="preserve"> can </w:t>
      </w:r>
      <w:r w:rsidR="00A9787F">
        <w:t xml:space="preserve">be </w:t>
      </w:r>
      <w:r w:rsidR="000D2E0F" w:rsidRPr="00E67B77">
        <w:t>increase</w:t>
      </w:r>
      <w:r w:rsidR="00A9787F">
        <w:t>d</w:t>
      </w:r>
      <w:r w:rsidR="00265E7F" w:rsidRPr="00E67B77">
        <w:t xml:space="preserve"> </w:t>
      </w:r>
      <w:r w:rsidR="000D2E0F" w:rsidRPr="00E67B77">
        <w:t xml:space="preserve">to </w:t>
      </w:r>
      <w:r w:rsidR="00A9787F">
        <w:t>restore</w:t>
      </w:r>
      <w:r w:rsidR="006F0069">
        <w:t xml:space="preserve"> the total capital stock, </w:t>
      </w:r>
      <w:r w:rsidR="000D2E0F" w:rsidRPr="00E67B77">
        <w:t xml:space="preserve">and hence maintain </w:t>
      </w:r>
      <w:r w:rsidR="00244B4B">
        <w:t>per person consumption</w:t>
      </w:r>
      <w:r w:rsidR="00B223AE">
        <w:t xml:space="preserve"> (or wellbeing)</w:t>
      </w:r>
      <w:r w:rsidR="005A20B5">
        <w:t>.</w:t>
      </w:r>
      <w:r w:rsidR="000E4DF0">
        <w:t xml:space="preserve"> </w:t>
      </w:r>
      <w:r w:rsidR="00265E7F">
        <w:t xml:space="preserve">This does not require any particular </w:t>
      </w:r>
      <w:r w:rsidR="003F253B">
        <w:t>type</w:t>
      </w:r>
      <w:r w:rsidR="00265E7F">
        <w:t xml:space="preserve"> of capital </w:t>
      </w:r>
      <w:r w:rsidR="000A34F8">
        <w:t>to be maintained</w:t>
      </w:r>
      <w:r w:rsidR="005977DE">
        <w:t xml:space="preserve"> (</w:t>
      </w:r>
      <w:r w:rsidR="00B951DA">
        <w:t xml:space="preserve">subject to some minimum </w:t>
      </w:r>
      <w:r w:rsidR="005977DE">
        <w:t xml:space="preserve">amount </w:t>
      </w:r>
      <w:r w:rsidR="00B951DA">
        <w:t>of each required to support life</w:t>
      </w:r>
      <w:r w:rsidR="005977DE">
        <w:t>)</w:t>
      </w:r>
      <w:r w:rsidR="00265E7F">
        <w:t xml:space="preserve">. </w:t>
      </w:r>
      <w:r w:rsidR="000D2E0F" w:rsidRPr="00E67B77">
        <w:t xml:space="preserve">In its </w:t>
      </w:r>
      <w:r w:rsidR="00B475B2">
        <w:t>narrowest</w:t>
      </w:r>
      <w:r w:rsidR="00B475B2" w:rsidRPr="00E67B77">
        <w:t xml:space="preserve"> </w:t>
      </w:r>
      <w:r w:rsidR="000D2E0F" w:rsidRPr="00E67B77">
        <w:t xml:space="preserve">form, </w:t>
      </w:r>
      <w:r w:rsidR="000E4DF0">
        <w:t>this</w:t>
      </w:r>
      <w:r w:rsidR="000D2E0F" w:rsidRPr="00E67B77">
        <w:t xml:space="preserve"> suggests that substitution between natural and other forms of capital can occur extensively, even if large</w:t>
      </w:r>
      <w:r w:rsidR="000D2E0F" w:rsidRPr="00E67B77">
        <w:noBreakHyphen/>
        <w:t>scale depletion of a natural asset occurs. This may be acceptable to a society that wishes</w:t>
      </w:r>
      <w:r w:rsidR="008D34CB">
        <w:t xml:space="preserve">, for example, </w:t>
      </w:r>
      <w:r w:rsidR="000D2E0F" w:rsidRPr="00E67B77">
        <w:t xml:space="preserve">to consume a natural asset such as coal or biodiversity, in exchange </w:t>
      </w:r>
      <w:r w:rsidR="008D34CB">
        <w:t xml:space="preserve">(substitution) </w:t>
      </w:r>
      <w:r w:rsidR="000D2E0F" w:rsidRPr="00E67B77">
        <w:t>for</w:t>
      </w:r>
      <w:r w:rsidR="005977DE">
        <w:t>,</w:t>
      </w:r>
      <w:r w:rsidR="000D2E0F" w:rsidRPr="00E67B77">
        <w:t xml:space="preserve"> say, more road </w:t>
      </w:r>
      <w:r w:rsidR="00FE4AE7">
        <w:t xml:space="preserve">or health </w:t>
      </w:r>
      <w:r w:rsidR="000D2E0F" w:rsidRPr="00E67B77">
        <w:t xml:space="preserve">infrastructure. </w:t>
      </w:r>
      <w:r w:rsidR="00EC1BCE">
        <w:t>B</w:t>
      </w:r>
      <w:r w:rsidR="000D2E0F" w:rsidRPr="00E67B77">
        <w:t xml:space="preserve">ased on this interpretation, the levels of </w:t>
      </w:r>
      <w:r w:rsidR="0045210C">
        <w:t xml:space="preserve">different </w:t>
      </w:r>
      <w:r w:rsidR="0035473F">
        <w:t>forms</w:t>
      </w:r>
      <w:r w:rsidR="0045210C">
        <w:t xml:space="preserve"> of</w:t>
      </w:r>
      <w:r w:rsidR="0045210C" w:rsidRPr="00E67B77">
        <w:t xml:space="preserve"> </w:t>
      </w:r>
      <w:r w:rsidR="000D2E0F" w:rsidRPr="00E67B77">
        <w:t>capital are unimportant</w:t>
      </w:r>
      <w:r w:rsidR="005977DE">
        <w:t>;</w:t>
      </w:r>
      <w:r w:rsidR="000D2E0F" w:rsidRPr="00E67B77">
        <w:t xml:space="preserve"> it is the total stock of capital that matters</w:t>
      </w:r>
      <w:r w:rsidR="00082A8E">
        <w:t xml:space="preserve"> for sustainability</w:t>
      </w:r>
      <w:r w:rsidR="000D2E0F" w:rsidRPr="00E67B77">
        <w:t xml:space="preserve">. </w:t>
      </w:r>
      <w:r w:rsidR="0035473F">
        <w:t>W</w:t>
      </w:r>
      <w:r w:rsidR="005653F1">
        <w:t>eak sustainability is</w:t>
      </w:r>
      <w:r w:rsidR="000A34F8">
        <w:t xml:space="preserve"> consistent with a view of the world where increased knowledge </w:t>
      </w:r>
      <w:r w:rsidR="00616972">
        <w:t xml:space="preserve">and technological advancement </w:t>
      </w:r>
      <w:r w:rsidR="006A2E10">
        <w:t xml:space="preserve">(increased </w:t>
      </w:r>
      <w:r w:rsidR="00FD471B">
        <w:t>produced</w:t>
      </w:r>
      <w:r w:rsidR="00B951DA">
        <w:t xml:space="preserve"> and </w:t>
      </w:r>
      <w:r w:rsidR="006A2E10">
        <w:t xml:space="preserve">human capital) </w:t>
      </w:r>
      <w:r w:rsidR="000A34F8">
        <w:t xml:space="preserve">will enable more goods and services to be made with fewer </w:t>
      </w:r>
      <w:r w:rsidR="0045210C">
        <w:t xml:space="preserve">physical </w:t>
      </w:r>
      <w:r w:rsidR="000A34F8">
        <w:t>inputs.</w:t>
      </w:r>
    </w:p>
    <w:p w:rsidR="003E6553" w:rsidRDefault="000A34F8" w:rsidP="00C72536">
      <w:pPr>
        <w:pStyle w:val="BodyText"/>
      </w:pPr>
      <w:r>
        <w:t xml:space="preserve">In contrast, </w:t>
      </w:r>
      <w:r w:rsidR="000D2E0F" w:rsidRPr="00E67B77">
        <w:t>‘</w:t>
      </w:r>
      <w:r w:rsidR="00DB72FC" w:rsidRPr="00FF58B8">
        <w:t>s</w:t>
      </w:r>
      <w:r w:rsidR="000D2E0F" w:rsidRPr="00FF58B8">
        <w:t>trong sustainability</w:t>
      </w:r>
      <w:r w:rsidR="000D2E0F" w:rsidRPr="00FC4A6B">
        <w:t>’</w:t>
      </w:r>
      <w:r w:rsidR="000D2E0F" w:rsidRPr="00E67B77">
        <w:rPr>
          <w:i/>
        </w:rPr>
        <w:t xml:space="preserve"> </w:t>
      </w:r>
      <w:r w:rsidR="000D2E0F" w:rsidRPr="00E67B77">
        <w:t xml:space="preserve">dismisses the idea of substitution on the premise that natural capital </w:t>
      </w:r>
      <w:r w:rsidR="00693318">
        <w:t xml:space="preserve">is </w:t>
      </w:r>
      <w:r w:rsidR="00B11E4A">
        <w:t>complementary to other forms of capital, including social capital</w:t>
      </w:r>
      <w:r w:rsidR="00F77FAB">
        <w:t xml:space="preserve">, and is </w:t>
      </w:r>
      <w:r w:rsidR="00B04286">
        <w:t xml:space="preserve">therefore largely </w:t>
      </w:r>
      <w:r w:rsidR="00B475B2">
        <w:t>‘non</w:t>
      </w:r>
      <w:r w:rsidR="00B475B2">
        <w:noBreakHyphen/>
        <w:t>substitutable’</w:t>
      </w:r>
      <w:r w:rsidR="00F77FAB">
        <w:t>. This view</w:t>
      </w:r>
      <w:r w:rsidR="00B475B2">
        <w:t xml:space="preserve"> </w:t>
      </w:r>
      <w:r w:rsidR="00D847B9">
        <w:t xml:space="preserve">is </w:t>
      </w:r>
      <w:r w:rsidR="000D2E0F" w:rsidRPr="00E67B77">
        <w:t xml:space="preserve">commonly </w:t>
      </w:r>
      <w:r w:rsidR="00F77343">
        <w:t>promulgated</w:t>
      </w:r>
      <w:r w:rsidR="000D2E0F" w:rsidRPr="00E67B77">
        <w:t xml:space="preserve"> by ecological economists</w:t>
      </w:r>
      <w:r w:rsidR="00011A19">
        <w:t xml:space="preserve"> (Daly 1990)</w:t>
      </w:r>
      <w:r w:rsidR="000D2E0F" w:rsidRPr="00E67B77">
        <w:t xml:space="preserve">. </w:t>
      </w:r>
      <w:r w:rsidR="00FE4AE7">
        <w:t>Nonetheless, t</w:t>
      </w:r>
      <w:r w:rsidR="00EE57E5">
        <w:t xml:space="preserve">here is a broad spectrum of views on what strong sustainability is. </w:t>
      </w:r>
      <w:r w:rsidR="003C405B">
        <w:t>I</w:t>
      </w:r>
      <w:r w:rsidR="00EE57E5">
        <w:t xml:space="preserve">nterpreted </w:t>
      </w:r>
      <w:r w:rsidR="00112E08">
        <w:t>strictly</w:t>
      </w:r>
      <w:r w:rsidR="000D2E0F" w:rsidRPr="00E67B77">
        <w:t xml:space="preserve">, </w:t>
      </w:r>
      <w:r w:rsidR="00EE57E5">
        <w:t xml:space="preserve">strong sustainability </w:t>
      </w:r>
      <w:r w:rsidR="009D5185">
        <w:t>implies</w:t>
      </w:r>
      <w:r w:rsidR="000D2E0F" w:rsidRPr="00E67B77">
        <w:t xml:space="preserve"> </w:t>
      </w:r>
      <w:r w:rsidR="008535FD">
        <w:t xml:space="preserve">that </w:t>
      </w:r>
      <w:r w:rsidR="000D2E0F" w:rsidRPr="00E67B77">
        <w:t>every component of the environment and every specie</w:t>
      </w:r>
      <w:r w:rsidR="008535FD">
        <w:t>s</w:t>
      </w:r>
      <w:r w:rsidR="00D847B9">
        <w:t xml:space="preserve"> must be preserved indefinitely</w:t>
      </w:r>
      <w:r w:rsidR="00F77FAB">
        <w:t>,</w:t>
      </w:r>
      <w:r w:rsidR="00EE57E5">
        <w:t xml:space="preserve"> and that it is </w:t>
      </w:r>
      <w:r w:rsidR="000D2E0F" w:rsidRPr="00E67B77">
        <w:t>ethically indefensible for future generations to be compensated for losses of natural capital via consumpt</w:t>
      </w:r>
      <w:r w:rsidR="00EC1BCE">
        <w:t xml:space="preserve">ion of </w:t>
      </w:r>
      <w:r w:rsidR="000E5C7B">
        <w:t xml:space="preserve">services from </w:t>
      </w:r>
      <w:r w:rsidR="00EC1BCE">
        <w:t>other forms of capital.</w:t>
      </w:r>
      <w:r w:rsidR="00EE57E5">
        <w:t xml:space="preserve"> </w:t>
      </w:r>
      <w:r w:rsidR="00F83C42">
        <w:t xml:space="preserve">This implies that </w:t>
      </w:r>
      <w:r w:rsidR="00833530">
        <w:t>a very high, potentially</w:t>
      </w:r>
      <w:r w:rsidR="00F83C42">
        <w:t xml:space="preserve"> infinite</w:t>
      </w:r>
      <w:r w:rsidR="00833530">
        <w:t>,</w:t>
      </w:r>
      <w:r w:rsidR="00F83C42">
        <w:t xml:space="preserve"> value is placed on these resources. </w:t>
      </w:r>
      <w:r w:rsidR="00EE57E5">
        <w:t xml:space="preserve">Other views </w:t>
      </w:r>
      <w:r w:rsidR="004F5387">
        <w:t xml:space="preserve">suggest </w:t>
      </w:r>
      <w:r w:rsidR="00EE57E5">
        <w:t>that non</w:t>
      </w:r>
      <w:r w:rsidR="00EE57E5">
        <w:noBreakHyphen/>
        <w:t xml:space="preserve">renewable and renewable forms of natural capital can be substituted </w:t>
      </w:r>
      <w:r w:rsidR="0045210C">
        <w:t xml:space="preserve">for each other </w:t>
      </w:r>
      <w:r w:rsidR="00EE57E5">
        <w:t xml:space="preserve">as long as the total stock of </w:t>
      </w:r>
      <w:r w:rsidR="004F5387">
        <w:t xml:space="preserve">natural </w:t>
      </w:r>
      <w:r w:rsidR="00EE57E5">
        <w:t>capital is maintained.</w:t>
      </w:r>
    </w:p>
    <w:p w:rsidR="0004695F" w:rsidRDefault="00B475B2" w:rsidP="00C72536">
      <w:pPr>
        <w:pStyle w:val="BodyText"/>
      </w:pPr>
      <w:r>
        <w:t>There is some common ground between proponents of</w:t>
      </w:r>
      <w:r w:rsidR="000D2E0F" w:rsidRPr="00E67B77">
        <w:t xml:space="preserve"> weak </w:t>
      </w:r>
      <w:r w:rsidR="00AD7FFE">
        <w:t>and</w:t>
      </w:r>
      <w:r w:rsidR="000D2E0F" w:rsidRPr="00E67B77">
        <w:t xml:space="preserve"> strong sustainability</w:t>
      </w:r>
      <w:r>
        <w:t xml:space="preserve">. </w:t>
      </w:r>
      <w:r w:rsidR="00AD7FFE">
        <w:t>Many</w:t>
      </w:r>
      <w:r w:rsidR="0004166C">
        <w:t xml:space="preserve"> agree that </w:t>
      </w:r>
      <w:r w:rsidR="000D2E0F" w:rsidRPr="00E67B77">
        <w:t>some natural capital is essential for production</w:t>
      </w:r>
      <w:r w:rsidR="008D34CB">
        <w:t xml:space="preserve"> of other forms of capital (produced, social and human)</w:t>
      </w:r>
      <w:r w:rsidR="000D2E0F" w:rsidRPr="00E67B77">
        <w:t xml:space="preserve">, and </w:t>
      </w:r>
      <w:r>
        <w:t>that</w:t>
      </w:r>
      <w:r w:rsidR="000D2E0F" w:rsidRPr="00E67B77">
        <w:t xml:space="preserve"> it is not possible to maintain </w:t>
      </w:r>
      <w:r w:rsidR="004F5387">
        <w:t>all</w:t>
      </w:r>
      <w:r w:rsidR="000D2E0F" w:rsidRPr="00E67B77">
        <w:t xml:space="preserve"> natural capital inde</w:t>
      </w:r>
      <w:r w:rsidR="00D847B9">
        <w:t>finitely</w:t>
      </w:r>
      <w:r w:rsidR="008D698A">
        <w:t xml:space="preserve"> (</w:t>
      </w:r>
      <w:proofErr w:type="spellStart"/>
      <w:r w:rsidR="008D698A">
        <w:t>Ne</w:t>
      </w:r>
      <w:r w:rsidR="0014116F">
        <w:t>u</w:t>
      </w:r>
      <w:r w:rsidR="008D698A">
        <w:t>mayer</w:t>
      </w:r>
      <w:proofErr w:type="spellEnd"/>
      <w:r w:rsidR="008D698A">
        <w:t xml:space="preserve"> 2010</w:t>
      </w:r>
      <w:r w:rsidR="00F77FAB">
        <w:t>;</w:t>
      </w:r>
      <w:r w:rsidR="008D698A">
        <w:t xml:space="preserve"> Solow 1993)</w:t>
      </w:r>
      <w:r w:rsidR="000D2E0F" w:rsidRPr="00E67B77">
        <w:t xml:space="preserve">. </w:t>
      </w:r>
      <w:r w:rsidR="000E5C7B">
        <w:t xml:space="preserve">Indeed, natural systems evolve </w:t>
      </w:r>
      <w:r w:rsidR="00833530">
        <w:t>and</w:t>
      </w:r>
      <w:r w:rsidR="000E5C7B">
        <w:t xml:space="preserve"> cannot be preserved ‘as is’. </w:t>
      </w:r>
      <w:r w:rsidR="00244B4B">
        <w:t xml:space="preserve">Most </w:t>
      </w:r>
      <w:r w:rsidR="0078467F">
        <w:t xml:space="preserve">proponents </w:t>
      </w:r>
      <w:r w:rsidR="00244B4B">
        <w:t>also</w:t>
      </w:r>
      <w:r w:rsidR="000D2E0F" w:rsidRPr="00E67B77">
        <w:t xml:space="preserve"> accept that certain natural resources</w:t>
      </w:r>
      <w:r w:rsidR="00370C21">
        <w:t xml:space="preserve"> are non</w:t>
      </w:r>
      <w:r w:rsidR="00370C21">
        <w:noBreakHyphen/>
        <w:t>substitutable</w:t>
      </w:r>
      <w:r w:rsidR="0078467F">
        <w:t xml:space="preserve">, at least below </w:t>
      </w:r>
      <w:r w:rsidR="003F253B">
        <w:t>some</w:t>
      </w:r>
      <w:r w:rsidR="0078467F">
        <w:t xml:space="preserve"> threshold</w:t>
      </w:r>
      <w:r w:rsidR="009D5185">
        <w:t xml:space="preserve"> </w:t>
      </w:r>
      <w:r w:rsidR="000D2E0F" w:rsidRPr="00E67B77">
        <w:t xml:space="preserve">— especially those </w:t>
      </w:r>
      <w:r w:rsidR="00F77FAB">
        <w:t xml:space="preserve">resources </w:t>
      </w:r>
      <w:r w:rsidR="000D2E0F" w:rsidRPr="00E67B77">
        <w:t>that</w:t>
      </w:r>
      <w:r w:rsidR="00F77FAB">
        <w:t xml:space="preserve"> are</w:t>
      </w:r>
      <w:r w:rsidR="000D2E0F" w:rsidRPr="00E67B77">
        <w:t xml:space="preserve"> </w:t>
      </w:r>
      <w:r w:rsidR="00370C21">
        <w:t xml:space="preserve">essential </w:t>
      </w:r>
      <w:r w:rsidR="00F77FAB">
        <w:t xml:space="preserve">to </w:t>
      </w:r>
      <w:r w:rsidR="00370C21">
        <w:t xml:space="preserve">support </w:t>
      </w:r>
      <w:r w:rsidR="00F77FAB">
        <w:t>life</w:t>
      </w:r>
      <w:r w:rsidR="000D2E0F" w:rsidRPr="00E67B77">
        <w:t xml:space="preserve">. </w:t>
      </w:r>
      <w:r w:rsidR="00AD7FFE">
        <w:t xml:space="preserve">Thus, </w:t>
      </w:r>
      <w:r w:rsidR="0028107C">
        <w:t>d</w:t>
      </w:r>
      <w:r w:rsidR="001962E8">
        <w:t xml:space="preserve">espite </w:t>
      </w:r>
      <w:r w:rsidR="008D5382">
        <w:t>different views</w:t>
      </w:r>
      <w:r w:rsidR="00244B4B">
        <w:t>,</w:t>
      </w:r>
      <w:r w:rsidR="000D2E0F" w:rsidRPr="00E67B77">
        <w:t xml:space="preserve"> </w:t>
      </w:r>
      <w:r w:rsidR="00370C21">
        <w:t xml:space="preserve">the two </w:t>
      </w:r>
      <w:r w:rsidR="00D847B9">
        <w:t xml:space="preserve">paradigms </w:t>
      </w:r>
      <w:r w:rsidR="000D2E0F" w:rsidRPr="00E67B77">
        <w:t xml:space="preserve">need not always be in conflict. Indeed, the maintenance of a minimum </w:t>
      </w:r>
      <w:r w:rsidR="00244B4B">
        <w:t>level</w:t>
      </w:r>
      <w:r w:rsidR="008D5382">
        <w:t xml:space="preserve"> of</w:t>
      </w:r>
      <w:r w:rsidR="000D2E0F" w:rsidRPr="00E67B77">
        <w:t xml:space="preserve"> natural </w:t>
      </w:r>
      <w:r w:rsidR="00163C64">
        <w:t>capital</w:t>
      </w:r>
      <w:r w:rsidR="000D2E0F" w:rsidRPr="00E67B77">
        <w:t xml:space="preserve"> (an aspect of strong sustainability) could also be consist</w:t>
      </w:r>
      <w:r w:rsidR="008D5382">
        <w:t xml:space="preserve">ent with weak sustainability. This </w:t>
      </w:r>
      <w:r w:rsidR="00A239FC">
        <w:t>w</w:t>
      </w:r>
      <w:r w:rsidR="008D5382">
        <w:t xml:space="preserve">ould occur </w:t>
      </w:r>
      <w:r w:rsidR="00A239FC">
        <w:t xml:space="preserve">because society could be expected to place </w:t>
      </w:r>
      <w:r w:rsidR="00F77FAB">
        <w:t xml:space="preserve">a </w:t>
      </w:r>
      <w:r w:rsidR="00A239FC">
        <w:t>high value on scarce natural resources</w:t>
      </w:r>
      <w:r w:rsidR="00112BCA">
        <w:t xml:space="preserve">. </w:t>
      </w:r>
      <w:r w:rsidR="00A239FC">
        <w:t xml:space="preserve">Moreover, </w:t>
      </w:r>
      <w:r w:rsidR="00F3397B">
        <w:t xml:space="preserve">declining </w:t>
      </w:r>
      <w:r w:rsidR="00F3397B">
        <w:lastRenderedPageBreak/>
        <w:t xml:space="preserve">levels of a natural resource, say </w:t>
      </w:r>
      <w:r w:rsidR="00A239FC">
        <w:t>a certain mineral</w:t>
      </w:r>
      <w:r w:rsidR="00F3397B">
        <w:t xml:space="preserve">, would be </w:t>
      </w:r>
      <w:r w:rsidR="00A239FC">
        <w:t>revealed in a reasonably well</w:t>
      </w:r>
      <w:r w:rsidR="00B328A2">
        <w:noBreakHyphen/>
      </w:r>
      <w:r w:rsidR="00A239FC">
        <w:t>functioning market via</w:t>
      </w:r>
      <w:r w:rsidR="00F77FAB">
        <w:t xml:space="preserve"> </w:t>
      </w:r>
      <w:r w:rsidR="00F3397B">
        <w:t xml:space="preserve">higher prices. </w:t>
      </w:r>
      <w:r>
        <w:t xml:space="preserve">This would provide </w:t>
      </w:r>
      <w:r w:rsidR="006D225D">
        <w:t>incentive</w:t>
      </w:r>
      <w:r w:rsidR="00D90229">
        <w:t>s</w:t>
      </w:r>
      <w:r>
        <w:t xml:space="preserve"> </w:t>
      </w:r>
      <w:r w:rsidR="006D225D">
        <w:t xml:space="preserve">for producers and consumers to </w:t>
      </w:r>
      <w:r>
        <w:t xml:space="preserve">seek out </w:t>
      </w:r>
      <w:r w:rsidR="00F3397B">
        <w:t xml:space="preserve">substitute </w:t>
      </w:r>
      <w:r w:rsidR="006D225D">
        <w:t>sources</w:t>
      </w:r>
      <w:r w:rsidR="00F3397B">
        <w:t xml:space="preserve">, </w:t>
      </w:r>
      <w:r w:rsidR="00FD471B">
        <w:t xml:space="preserve">or to manage </w:t>
      </w:r>
      <w:r w:rsidR="0064196E">
        <w:t xml:space="preserve">the </w:t>
      </w:r>
      <w:r w:rsidR="00FD471B">
        <w:t>existing</w:t>
      </w:r>
      <w:r w:rsidR="0064196E">
        <w:t xml:space="preserve"> stock</w:t>
      </w:r>
      <w:r w:rsidR="00C629A8">
        <w:t xml:space="preserve"> more efficiently</w:t>
      </w:r>
      <w:r w:rsidR="0064196E">
        <w:t>.</w:t>
      </w:r>
    </w:p>
    <w:p w:rsidR="006A1F16" w:rsidRPr="002302E8" w:rsidRDefault="006A1F16" w:rsidP="00C72536">
      <w:pPr>
        <w:pStyle w:val="BodyText"/>
      </w:pPr>
      <w:r w:rsidRPr="002302E8">
        <w:t xml:space="preserve">The weak versus strong sustainability debate is therefore more usefully characterised as a debate about the </w:t>
      </w:r>
      <w:r w:rsidRPr="002302E8">
        <w:rPr>
          <w:i/>
        </w:rPr>
        <w:t>degree</w:t>
      </w:r>
      <w:r w:rsidRPr="00C72536">
        <w:t xml:space="preserve"> </w:t>
      </w:r>
      <w:r w:rsidRPr="002302E8">
        <w:t>of substitution, and the mechanism to ascertain the appropriate degree of substitution, rather than whether any substitution can occur at all. From an economic perspective, relative prices (broadly defined, where they reflect the social value of all forms of capital to the community), are the primary mechanism through which decisions regarding substitution across capital types can be made. However, as discussed below, while prices are revealed where there are markets and the markets</w:t>
      </w:r>
      <w:r w:rsidR="00A42E76">
        <w:t xml:space="preserve"> </w:t>
      </w:r>
      <w:r w:rsidRPr="002302E8">
        <w:t xml:space="preserve">function effectively, this is not the case for some types of capital, most notably natural capital. This means that other approaches, such as </w:t>
      </w:r>
      <w:r w:rsidR="00EB2836" w:rsidRPr="002302E8">
        <w:t xml:space="preserve">taxes or </w:t>
      </w:r>
      <w:r w:rsidRPr="002302E8">
        <w:t>regulation, may be needed to protect natural capital that is deemed vital. However, the strong sustainability approach offers no obvious analytical framework or mechanism for determining when this might be the case, or for establishing community values of different types of capital.</w:t>
      </w:r>
    </w:p>
    <w:p w:rsidR="000D2E0F" w:rsidRPr="002302E8" w:rsidRDefault="00A16167" w:rsidP="00C72536">
      <w:pPr>
        <w:pStyle w:val="BodyText"/>
      </w:pPr>
      <w:r w:rsidRPr="002302E8">
        <w:t>The effectiveness of markets</w:t>
      </w:r>
      <w:r w:rsidR="00730AC8" w:rsidRPr="002302E8">
        <w:t>,</w:t>
      </w:r>
      <w:r w:rsidRPr="002302E8">
        <w:t xml:space="preserve"> or any other mechanism</w:t>
      </w:r>
      <w:r w:rsidR="00730AC8" w:rsidRPr="002302E8">
        <w:t xml:space="preserve">, in achieving a sustainable allocation of resources over time is hampered by </w:t>
      </w:r>
      <w:r w:rsidR="00097251" w:rsidRPr="002302E8">
        <w:t>the high level of uncertainty regarding the</w:t>
      </w:r>
      <w:r w:rsidR="003E6553" w:rsidRPr="002302E8">
        <w:t xml:space="preserve"> </w:t>
      </w:r>
      <w:r w:rsidR="0004695F" w:rsidRPr="002302E8">
        <w:t xml:space="preserve">degree </w:t>
      </w:r>
      <w:r w:rsidR="00C14AA7" w:rsidRPr="002302E8">
        <w:t xml:space="preserve">to which </w:t>
      </w:r>
      <w:r w:rsidR="0004695F" w:rsidRPr="002302E8">
        <w:t xml:space="preserve">substitution </w:t>
      </w:r>
      <w:r w:rsidR="00244B4B" w:rsidRPr="002302E8">
        <w:t xml:space="preserve">is </w:t>
      </w:r>
      <w:r w:rsidR="00097251" w:rsidRPr="002302E8">
        <w:t xml:space="preserve">actually </w:t>
      </w:r>
      <w:r w:rsidR="00C14AA7" w:rsidRPr="002302E8">
        <w:t>possible.</w:t>
      </w:r>
      <w:r w:rsidR="00F77FAB" w:rsidRPr="002302E8">
        <w:t xml:space="preserve"> </w:t>
      </w:r>
      <w:r w:rsidR="00C14AA7" w:rsidRPr="002302E8">
        <w:t>S</w:t>
      </w:r>
      <w:r w:rsidR="0004695F" w:rsidRPr="002302E8">
        <w:t>ubstitution possibilities</w:t>
      </w:r>
      <w:r w:rsidR="00C14AA7" w:rsidRPr="002302E8">
        <w:t xml:space="preserve"> are determined in part by</w:t>
      </w:r>
      <w:r w:rsidR="007F3577" w:rsidRPr="002302E8">
        <w:t xml:space="preserve"> </w:t>
      </w:r>
      <w:r w:rsidR="00B37289" w:rsidRPr="002302E8">
        <w:t>future technical advancements</w:t>
      </w:r>
      <w:r w:rsidR="005F1415" w:rsidRPr="002302E8">
        <w:t xml:space="preserve"> </w:t>
      </w:r>
      <w:r w:rsidR="00B37289" w:rsidRPr="002302E8">
        <w:t>and</w:t>
      </w:r>
      <w:r w:rsidR="0004695F" w:rsidRPr="002302E8">
        <w:t xml:space="preserve"> </w:t>
      </w:r>
      <w:r w:rsidR="00730AC8" w:rsidRPr="002302E8">
        <w:t xml:space="preserve">the </w:t>
      </w:r>
      <w:r w:rsidR="0004695F" w:rsidRPr="002302E8">
        <w:t>preferences</w:t>
      </w:r>
      <w:r w:rsidR="00483A51" w:rsidRPr="002302E8">
        <w:t xml:space="preserve"> </w:t>
      </w:r>
      <w:r w:rsidR="000D2E0F" w:rsidRPr="002302E8">
        <w:t>of future generatio</w:t>
      </w:r>
      <w:r w:rsidR="0004166C" w:rsidRPr="002302E8">
        <w:t>ns</w:t>
      </w:r>
      <w:r w:rsidR="00730AC8" w:rsidRPr="002302E8">
        <w:t>, two factors which are not unrelated</w:t>
      </w:r>
      <w:r w:rsidR="00373948" w:rsidRPr="002302E8">
        <w:t xml:space="preserve">. </w:t>
      </w:r>
      <w:r w:rsidR="008D698A" w:rsidRPr="002302E8">
        <w:t>As previously noted by the Commission:</w:t>
      </w:r>
    </w:p>
    <w:p w:rsidR="008D698A" w:rsidRPr="00C72536" w:rsidRDefault="008D698A" w:rsidP="00C72536">
      <w:pPr>
        <w:pStyle w:val="Quote"/>
      </w:pPr>
      <w:r w:rsidRPr="002302E8">
        <w:t>… we do not know with any precision what the resource needs of future generations will be, so it is difficult to know what needs to be conserved. Further complicating this issue, it is likely that technological change will mean that we will be able to do more with less, and we might be able to switch our dependence on some non</w:t>
      </w:r>
      <w:r w:rsidR="00B328A2" w:rsidRPr="002302E8">
        <w:noBreakHyphen/>
      </w:r>
      <w:r w:rsidRPr="002302E8">
        <w:t>renewable resources to other non</w:t>
      </w:r>
      <w:r w:rsidR="00B328A2" w:rsidRPr="002302E8">
        <w:noBreakHyphen/>
      </w:r>
      <w:r w:rsidRPr="002302E8">
        <w:t>renewable, or renewable resources. (PC 2006, p. xxx)</w:t>
      </w:r>
    </w:p>
    <w:p w:rsidR="00A33DFF" w:rsidRDefault="00F46BBD" w:rsidP="00CC5A11">
      <w:pPr>
        <w:pStyle w:val="Heading2"/>
      </w:pPr>
      <w:r>
        <w:t xml:space="preserve">Applying sustainability concepts in practice </w:t>
      </w:r>
    </w:p>
    <w:p w:rsidR="006A1F16" w:rsidRDefault="006A1F16" w:rsidP="00C72536">
      <w:pPr>
        <w:pStyle w:val="BodyText"/>
      </w:pPr>
      <w:r>
        <w:t xml:space="preserve">As noted previously, </w:t>
      </w:r>
      <w:r w:rsidRPr="00C44236">
        <w:t xml:space="preserve">sustainability </w:t>
      </w:r>
      <w:r>
        <w:t xml:space="preserve">can be taken to mean </w:t>
      </w:r>
      <w:r w:rsidRPr="00C44236">
        <w:t>that all resources are used efficiently</w:t>
      </w:r>
      <w:r w:rsidRPr="00F70AE9">
        <w:t xml:space="preserve"> — both within and between generations</w:t>
      </w:r>
      <w:r>
        <w:t xml:space="preserve"> — and that the productive base of society (the total capital stock) is more or less preserved over time</w:t>
      </w:r>
      <w:r w:rsidRPr="00F70AE9">
        <w:t xml:space="preserve">. </w:t>
      </w:r>
      <w:r w:rsidRPr="00C44236">
        <w:t xml:space="preserve">Markets </w:t>
      </w:r>
      <w:r>
        <w:t>and prices have an essential role to play in this context. When markets are complete and function well (</w:t>
      </w:r>
      <w:r w:rsidR="00EB2836">
        <w:t xml:space="preserve">that is, </w:t>
      </w:r>
      <w:r>
        <w:t xml:space="preserve">all capital is traded through efficient markets so the price reflects the relative value), they provide a mechanism for allocating resources to their highest value uses and users. Prices will also reflect the value placed by society on individual resources. Where they rise in response to resource scarcity, </w:t>
      </w:r>
      <w:r>
        <w:lastRenderedPageBreak/>
        <w:t>prices provide an incentive for consumers and producers to use resources more efficiently or to seek out substitutes. These processes contribute to improving wellbeing and are therefore relevant to sustainability.</w:t>
      </w:r>
    </w:p>
    <w:p w:rsidR="00FC0C97" w:rsidRPr="002302E8" w:rsidRDefault="00FA2498" w:rsidP="00C72536">
      <w:pPr>
        <w:pStyle w:val="BodyText"/>
      </w:pPr>
      <w:r w:rsidRPr="002302E8">
        <w:t>However, there are</w:t>
      </w:r>
      <w:r w:rsidR="00BE03B7" w:rsidRPr="002302E8">
        <w:t xml:space="preserve"> </w:t>
      </w:r>
      <w:r w:rsidR="00DC218C" w:rsidRPr="002302E8">
        <w:t xml:space="preserve">several </w:t>
      </w:r>
      <w:r w:rsidR="00BE03B7" w:rsidRPr="002302E8">
        <w:t xml:space="preserve">reasons why </w:t>
      </w:r>
      <w:r w:rsidR="00AF5377" w:rsidRPr="002302E8">
        <w:t>market processes</w:t>
      </w:r>
      <w:r w:rsidR="007E2CE1" w:rsidRPr="002302E8">
        <w:t xml:space="preserve"> may </w:t>
      </w:r>
      <w:r w:rsidR="00C629A8" w:rsidRPr="002302E8">
        <w:t xml:space="preserve">not deliver an optimal level of </w:t>
      </w:r>
      <w:r w:rsidR="007E2CE1" w:rsidRPr="002302E8">
        <w:t>sustainab</w:t>
      </w:r>
      <w:r w:rsidR="00C629A8" w:rsidRPr="002302E8">
        <w:t>ility</w:t>
      </w:r>
      <w:r w:rsidR="007E2CE1" w:rsidRPr="002302E8">
        <w:t>.</w:t>
      </w:r>
      <w:r w:rsidR="00F77FAB" w:rsidRPr="002302E8">
        <w:t xml:space="preserve"> </w:t>
      </w:r>
      <w:r w:rsidR="00BE03B7" w:rsidRPr="002302E8">
        <w:t>First,</w:t>
      </w:r>
      <w:r w:rsidR="00DC218C" w:rsidRPr="002302E8">
        <w:t xml:space="preserve"> there are various imperfections in markets </w:t>
      </w:r>
      <w:r w:rsidR="00D60F8D" w:rsidRPr="002302E8">
        <w:t xml:space="preserve">(‘market failures’) </w:t>
      </w:r>
      <w:r w:rsidR="00DC218C" w:rsidRPr="002302E8">
        <w:t>that mean that some resources are misallocated or overused</w:t>
      </w:r>
      <w:r w:rsidR="0098182F" w:rsidRPr="002302E8">
        <w:t xml:space="preserve"> (examples </w:t>
      </w:r>
      <w:r w:rsidR="00F77FAB" w:rsidRPr="002302E8">
        <w:t xml:space="preserve">are provided </w:t>
      </w:r>
      <w:r w:rsidR="0098182F" w:rsidRPr="002302E8">
        <w:t>in the following section)</w:t>
      </w:r>
      <w:r w:rsidR="00DC218C" w:rsidRPr="002302E8">
        <w:t xml:space="preserve">. </w:t>
      </w:r>
      <w:r w:rsidR="00EB69BE" w:rsidRPr="002302E8">
        <w:t>T</w:t>
      </w:r>
      <w:r w:rsidR="00D60F8D" w:rsidRPr="002302E8">
        <w:t>his has implications for sustainability as it means that the capital stock is being used inefficiently</w:t>
      </w:r>
      <w:r w:rsidR="00611C3A" w:rsidRPr="002302E8">
        <w:t>,</w:t>
      </w:r>
      <w:r w:rsidR="0092254A" w:rsidRPr="002302E8">
        <w:t xml:space="preserve"> and as a </w:t>
      </w:r>
      <w:r w:rsidR="00D60F8D" w:rsidRPr="002302E8">
        <w:t>consequence</w:t>
      </w:r>
      <w:r w:rsidR="00611C3A" w:rsidRPr="002302E8">
        <w:t>,</w:t>
      </w:r>
      <w:r w:rsidR="00D60F8D" w:rsidRPr="002302E8">
        <w:t xml:space="preserve"> wellbeing is not as high as it otherwise could be. </w:t>
      </w:r>
      <w:r w:rsidR="00FC0C97" w:rsidRPr="002302E8">
        <w:t>In particular, incomplete information on the value the community places on capital</w:t>
      </w:r>
      <w:r w:rsidR="00730AC8" w:rsidRPr="002302E8">
        <w:t xml:space="preserve"> services</w:t>
      </w:r>
      <w:r w:rsidR="00FC0C97" w:rsidRPr="002302E8">
        <w:t xml:space="preserve"> </w:t>
      </w:r>
      <w:r w:rsidR="00730AC8" w:rsidRPr="002302E8">
        <w:t>that are</w:t>
      </w:r>
      <w:r w:rsidR="00FC0C97" w:rsidRPr="002302E8">
        <w:t xml:space="preserve"> not traded in markets</w:t>
      </w:r>
      <w:r w:rsidR="00D6235E" w:rsidRPr="002302E8">
        <w:t xml:space="preserve"> reduces the efficiency of market allocation</w:t>
      </w:r>
      <w:r w:rsidR="00FC0C97" w:rsidRPr="002302E8">
        <w:t>.</w:t>
      </w:r>
    </w:p>
    <w:p w:rsidR="00E15B0C" w:rsidRPr="002302E8" w:rsidRDefault="00DC218C" w:rsidP="00C72536">
      <w:pPr>
        <w:pStyle w:val="BodyText"/>
      </w:pPr>
      <w:r w:rsidRPr="002302E8">
        <w:t xml:space="preserve">Second, </w:t>
      </w:r>
      <w:r w:rsidR="00EB69BE" w:rsidRPr="002302E8">
        <w:t>e</w:t>
      </w:r>
      <w:r w:rsidR="00B96B59" w:rsidRPr="002302E8">
        <w:t>ven if resources are used efficiently</w:t>
      </w:r>
      <w:r w:rsidR="00EB69BE" w:rsidRPr="002302E8">
        <w:t xml:space="preserve"> </w:t>
      </w:r>
      <w:r w:rsidR="00AB2328" w:rsidRPr="002302E8">
        <w:t xml:space="preserve">by </w:t>
      </w:r>
      <w:r w:rsidR="00B96B59" w:rsidRPr="002302E8">
        <w:t>the current generation</w:t>
      </w:r>
      <w:r w:rsidR="00E15B0C" w:rsidRPr="002302E8">
        <w:t>,</w:t>
      </w:r>
      <w:r w:rsidR="00B96B59" w:rsidRPr="002302E8">
        <w:t xml:space="preserve"> </w:t>
      </w:r>
      <w:r w:rsidR="000F26CD" w:rsidRPr="002302E8">
        <w:t xml:space="preserve">capital investment </w:t>
      </w:r>
      <w:r w:rsidR="00B96B59" w:rsidRPr="002302E8">
        <w:t xml:space="preserve">may </w:t>
      </w:r>
      <w:r w:rsidR="000F26CD" w:rsidRPr="002302E8">
        <w:t>be deficient</w:t>
      </w:r>
      <w:r w:rsidR="00E15B0C" w:rsidRPr="002302E8">
        <w:t xml:space="preserve"> </w:t>
      </w:r>
      <w:r w:rsidR="00B96B59" w:rsidRPr="002302E8">
        <w:t>(relative to the amount of capital depleted)</w:t>
      </w:r>
      <w:r w:rsidR="00D6235E" w:rsidRPr="002302E8">
        <w:t xml:space="preserve">, or </w:t>
      </w:r>
      <w:r w:rsidR="000F26CD" w:rsidRPr="002302E8">
        <w:t>not</w:t>
      </w:r>
      <w:r w:rsidR="00DC2CDE" w:rsidRPr="002302E8">
        <w:t xml:space="preserve"> </w:t>
      </w:r>
      <w:r w:rsidR="00D6235E" w:rsidRPr="002302E8">
        <w:t xml:space="preserve">the </w:t>
      </w:r>
      <w:r w:rsidR="00000904" w:rsidRPr="002302E8">
        <w:t>‘</w:t>
      </w:r>
      <w:r w:rsidR="00D6235E" w:rsidRPr="002302E8">
        <w:t>right</w:t>
      </w:r>
      <w:r w:rsidR="00000904" w:rsidRPr="002302E8">
        <w:t>’</w:t>
      </w:r>
      <w:r w:rsidR="00D6235E" w:rsidRPr="002302E8">
        <w:t xml:space="preserve"> type of capital</w:t>
      </w:r>
      <w:r w:rsidR="00B96B59" w:rsidRPr="002302E8">
        <w:t xml:space="preserve">. </w:t>
      </w:r>
      <w:r w:rsidR="00535D95" w:rsidRPr="002302E8">
        <w:t>This may leave future generations with</w:t>
      </w:r>
      <w:r w:rsidR="00B96B59" w:rsidRPr="002302E8">
        <w:t xml:space="preserve"> </w:t>
      </w:r>
      <w:r w:rsidR="00535D95" w:rsidRPr="002302E8">
        <w:t>in</w:t>
      </w:r>
      <w:r w:rsidR="00B96B59" w:rsidRPr="002302E8">
        <w:t xml:space="preserve">adequate resources to sustain a level of wellbeing </w:t>
      </w:r>
      <w:r w:rsidR="00C1481B" w:rsidRPr="002302E8">
        <w:t xml:space="preserve">that is </w:t>
      </w:r>
      <w:r w:rsidR="00B96B59" w:rsidRPr="002302E8">
        <w:t>equivalent to t</w:t>
      </w:r>
      <w:r w:rsidR="00D53B65" w:rsidRPr="002302E8">
        <w:t xml:space="preserve">hat of the current generation. </w:t>
      </w:r>
      <w:r w:rsidR="000F26CD" w:rsidRPr="002302E8">
        <w:t xml:space="preserve">Decisions by the </w:t>
      </w:r>
      <w:r w:rsidR="00E15B0C" w:rsidRPr="002302E8">
        <w:t xml:space="preserve">current generation </w:t>
      </w:r>
      <w:r w:rsidR="00000904" w:rsidRPr="002302E8">
        <w:t xml:space="preserve">may </w:t>
      </w:r>
      <w:r w:rsidR="000F26CD" w:rsidRPr="002302E8">
        <w:t>be deficient because of in</w:t>
      </w:r>
      <w:r w:rsidR="00D6235E" w:rsidRPr="002302E8">
        <w:t xml:space="preserve">complete information </w:t>
      </w:r>
      <w:r w:rsidR="00AB2328" w:rsidRPr="002302E8">
        <w:t xml:space="preserve">about </w:t>
      </w:r>
      <w:r w:rsidR="00D6235E" w:rsidRPr="002302E8">
        <w:t xml:space="preserve">ecological processes </w:t>
      </w:r>
      <w:r w:rsidR="000F26CD" w:rsidRPr="002302E8">
        <w:t xml:space="preserve">or </w:t>
      </w:r>
      <w:r w:rsidR="00D6235E" w:rsidRPr="002302E8">
        <w:t>the extent to which the different forms of capital can be substituted for one another.</w:t>
      </w:r>
      <w:r w:rsidR="00945725" w:rsidRPr="002302E8">
        <w:t xml:space="preserve"> In addition, </w:t>
      </w:r>
      <w:r w:rsidR="00F77FAB" w:rsidRPr="002302E8">
        <w:t>as discussed earlier</w:t>
      </w:r>
      <w:r w:rsidR="00945725" w:rsidRPr="002302E8">
        <w:rPr>
          <w:rStyle w:val="CommentReference"/>
          <w:b w:val="0"/>
          <w:vanish w:val="0"/>
          <w:color w:val="auto"/>
          <w:sz w:val="26"/>
        </w:rPr>
        <w:t xml:space="preserve">, </w:t>
      </w:r>
      <w:r w:rsidR="00945725" w:rsidRPr="002302E8">
        <w:t>there is uncertainty about the preferences of future generations and</w:t>
      </w:r>
      <w:r w:rsidR="00000904" w:rsidRPr="002302E8">
        <w:t>,</w:t>
      </w:r>
      <w:r w:rsidR="00945725" w:rsidRPr="002302E8">
        <w:t xml:space="preserve"> hence</w:t>
      </w:r>
      <w:r w:rsidR="00000904" w:rsidRPr="002302E8">
        <w:t>,</w:t>
      </w:r>
      <w:r w:rsidR="00945725" w:rsidRPr="002302E8">
        <w:t xml:space="preserve"> </w:t>
      </w:r>
      <w:r w:rsidR="00000904" w:rsidRPr="002302E8">
        <w:t>the</w:t>
      </w:r>
      <w:r w:rsidR="00945725" w:rsidRPr="002302E8">
        <w:t xml:space="preserve"> mix of capital they will prefer.</w:t>
      </w:r>
    </w:p>
    <w:p w:rsidR="006A1F16" w:rsidRPr="00C72536" w:rsidRDefault="006A1F16" w:rsidP="00C72536">
      <w:pPr>
        <w:pStyle w:val="BodyText"/>
        <w:rPr>
          <w:rStyle w:val="BodyTextChar"/>
        </w:rPr>
      </w:pPr>
      <w:r w:rsidRPr="00C72536">
        <w:rPr>
          <w:rStyle w:val="BodyTextChar"/>
        </w:rPr>
        <w:t>Notwithstanding these problems, previous generations have shown a strong willingness to provide for their descendants and have made numerous innovations and investments in capital that have benefited ensuing generations (PC 1998). This is reflected in the actions that have already been taken to incorporate the idea of sustainability into Australian policies (box</w:t>
      </w:r>
      <w:r>
        <w:t> </w:t>
      </w:r>
      <w:r w:rsidRPr="00C72536">
        <w:rPr>
          <w:rStyle w:val="BodyTextChar"/>
        </w:rPr>
        <w:t>3). The challenge for public policy is to identify when policy intervention could deliver net benefits. There are a number of practical steps that have the potential to improve decision making in this context They involve improving:</w:t>
      </w:r>
    </w:p>
    <w:p w:rsidR="006A1F16" w:rsidRDefault="006A1F16" w:rsidP="00F16843">
      <w:pPr>
        <w:pStyle w:val="ListBullet"/>
      </w:pPr>
      <w:r>
        <w:t>the efficiency of resource use (for example, through appropriate pricing or regulation where this delivers net benefits)</w:t>
      </w:r>
    </w:p>
    <w:p w:rsidR="006A1F16" w:rsidRDefault="006A1F16" w:rsidP="00F16843">
      <w:pPr>
        <w:pStyle w:val="ListBullet"/>
      </w:pPr>
      <w:r>
        <w:t>our understanding of ecological systems</w:t>
      </w:r>
    </w:p>
    <w:p w:rsidR="006A1F16" w:rsidRDefault="006A1F16" w:rsidP="00F16843">
      <w:pPr>
        <w:pStyle w:val="ListBullet"/>
      </w:pPr>
      <w:r>
        <w:t>our ability to measure the capital stock.</w:t>
      </w:r>
    </w:p>
    <w:p w:rsidR="00B96B59" w:rsidRDefault="00736747" w:rsidP="00C72536">
      <w:pPr>
        <w:pStyle w:val="BodyText"/>
      </w:pPr>
      <w:r>
        <w:t xml:space="preserve">These </w:t>
      </w:r>
      <w:r w:rsidR="0077057B">
        <w:t>steps</w:t>
      </w:r>
      <w:r>
        <w:t xml:space="preserve"> are interrelated as improvements in one area will assist our understanding of the other areas</w:t>
      </w:r>
      <w:r w:rsidR="00947AD9">
        <w:t xml:space="preserve">. </w:t>
      </w:r>
      <w:r>
        <w:t>Practical endeavours in the</w:t>
      </w:r>
      <w:r w:rsidR="00B96B59">
        <w:t xml:space="preserve"> </w:t>
      </w:r>
      <w:r w:rsidR="009C4A5C">
        <w:t xml:space="preserve">second and third </w:t>
      </w:r>
      <w:r w:rsidR="00B96B59">
        <w:t xml:space="preserve">areas are </w:t>
      </w:r>
      <w:r w:rsidR="00B96B59" w:rsidRPr="003330B7">
        <w:t xml:space="preserve">important </w:t>
      </w:r>
      <w:r w:rsidR="00B96B59">
        <w:t xml:space="preserve">to understand the rates of substitution between the different types of capital now and in the future </w:t>
      </w:r>
      <w:r w:rsidR="00C104EB">
        <w:t>as the levels of capital change. They are also important</w:t>
      </w:r>
      <w:r w:rsidR="00B96B59">
        <w:t xml:space="preserve"> </w:t>
      </w:r>
      <w:r w:rsidR="0073095A">
        <w:t>to inform</w:t>
      </w:r>
      <w:r>
        <w:t xml:space="preserve"> </w:t>
      </w:r>
      <w:r w:rsidR="00C104EB">
        <w:t>policies</w:t>
      </w:r>
      <w:r w:rsidR="003046B5">
        <w:t xml:space="preserve"> that</w:t>
      </w:r>
      <w:r w:rsidR="00C104EB">
        <w:t xml:space="preserve"> improve the efficiency of resource use.</w:t>
      </w:r>
    </w:p>
    <w:p w:rsidR="000F354C" w:rsidRPr="00CD1D69" w:rsidRDefault="000F354C" w:rsidP="000F354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0F354C" w:rsidTr="000F354C">
        <w:tc>
          <w:tcPr>
            <w:tcW w:w="8771" w:type="dxa"/>
            <w:tcBorders>
              <w:top w:val="single" w:sz="6" w:space="0" w:color="auto"/>
              <w:bottom w:val="nil"/>
            </w:tcBorders>
          </w:tcPr>
          <w:p w:rsidR="000F354C" w:rsidRDefault="000F354C" w:rsidP="000F354C">
            <w:pPr>
              <w:pStyle w:val="BoxTitle"/>
            </w:pPr>
            <w:r>
              <w:rPr>
                <w:b w:val="0"/>
              </w:rPr>
              <w:t xml:space="preserve">Box </w:t>
            </w:r>
            <w:bookmarkStart w:id="9" w:name="OLE_LINK2"/>
            <w:r w:rsidR="00811B50">
              <w:rPr>
                <w:b w:val="0"/>
                <w:noProof/>
              </w:rPr>
              <w:t>3</w:t>
            </w:r>
            <w:bookmarkEnd w:id="9"/>
            <w:r>
              <w:tab/>
              <w:t>Sustainability in Australia</w:t>
            </w:r>
            <w:r w:rsidR="00923A19">
              <w:t>n government policies</w:t>
            </w:r>
          </w:p>
        </w:tc>
      </w:tr>
      <w:tr w:rsidR="000F354C" w:rsidTr="000F354C">
        <w:trPr>
          <w:cantSplit/>
        </w:trPr>
        <w:tc>
          <w:tcPr>
            <w:tcW w:w="8771" w:type="dxa"/>
            <w:tcBorders>
              <w:top w:val="nil"/>
              <w:left w:val="single" w:sz="6" w:space="0" w:color="auto"/>
              <w:bottom w:val="nil"/>
              <w:right w:val="single" w:sz="6" w:space="0" w:color="auto"/>
            </w:tcBorders>
          </w:tcPr>
          <w:p w:rsidR="000F354C" w:rsidRDefault="000F354C" w:rsidP="000F354C">
            <w:pPr>
              <w:pStyle w:val="Box"/>
            </w:pPr>
            <w:r>
              <w:t>T</w:t>
            </w:r>
            <w:r w:rsidRPr="002F22A5">
              <w:t xml:space="preserve">he </w:t>
            </w:r>
            <w:r w:rsidRPr="00FF58B8">
              <w:rPr>
                <w:i/>
              </w:rPr>
              <w:t>National Strategy for Ecologically Sustainable Development</w:t>
            </w:r>
            <w:r w:rsidRPr="002F22A5">
              <w:t xml:space="preserve"> </w:t>
            </w:r>
            <w:r w:rsidR="0017647B">
              <w:t>(</w:t>
            </w:r>
            <w:proofErr w:type="spellStart"/>
            <w:r w:rsidR="0017647B">
              <w:t>NSESD</w:t>
            </w:r>
            <w:proofErr w:type="spellEnd"/>
            <w:r w:rsidR="0017647B">
              <w:t xml:space="preserve">) was released in 1992. </w:t>
            </w:r>
            <w:r>
              <w:t xml:space="preserve">It </w:t>
            </w:r>
            <w:r w:rsidRPr="002F22A5">
              <w:t>set core objectives and guiding principles for ecologically sustainable development</w:t>
            </w:r>
            <w:r w:rsidR="006C5EFD">
              <w:t xml:space="preserve"> and</w:t>
            </w:r>
            <w:r w:rsidRPr="002F22A5">
              <w:t xml:space="preserve"> put in place a broad national agenda for sustainable development in Australia (Co</w:t>
            </w:r>
            <w:r w:rsidR="002D6EEC">
              <w:t xml:space="preserve">mmonwealth of </w:t>
            </w:r>
            <w:r w:rsidRPr="002F22A5">
              <w:t>A</w:t>
            </w:r>
            <w:r w:rsidR="002D6EEC">
              <w:t>ustralia</w:t>
            </w:r>
            <w:r w:rsidRPr="002F22A5">
              <w:t xml:space="preserve"> 1992). The </w:t>
            </w:r>
            <w:proofErr w:type="spellStart"/>
            <w:r w:rsidRPr="002F22A5">
              <w:t>NSESD</w:t>
            </w:r>
            <w:proofErr w:type="spellEnd"/>
            <w:r w:rsidRPr="002F22A5">
              <w:t xml:space="preserve"> principles are widely referenced and have been incorporated in</w:t>
            </w:r>
            <w:r>
              <w:t>to</w:t>
            </w:r>
            <w:r w:rsidRPr="002F22A5">
              <w:t xml:space="preserve"> many state and </w:t>
            </w:r>
            <w:r w:rsidR="009C4A5C">
              <w:t>Australian</w:t>
            </w:r>
            <w:r w:rsidR="00C91FA1">
              <w:t xml:space="preserve"> Government</w:t>
            </w:r>
            <w:r w:rsidR="009C4A5C" w:rsidRPr="002F22A5">
              <w:t xml:space="preserve"> </w:t>
            </w:r>
            <w:r w:rsidRPr="002F22A5">
              <w:t>policies and legislation</w:t>
            </w:r>
            <w:r>
              <w:t>.</w:t>
            </w:r>
          </w:p>
          <w:p w:rsidR="000F354C" w:rsidRPr="00275490" w:rsidRDefault="009C4A5C" w:rsidP="000F354C">
            <w:pPr>
              <w:pStyle w:val="Box"/>
            </w:pPr>
            <w:r>
              <w:t>P</w:t>
            </w:r>
            <w:r w:rsidR="000F354C" w:rsidRPr="00275490">
              <w:t xml:space="preserve">rior to the release of the </w:t>
            </w:r>
            <w:proofErr w:type="spellStart"/>
            <w:r w:rsidR="000F354C" w:rsidRPr="00275490">
              <w:t>NSESD</w:t>
            </w:r>
            <w:proofErr w:type="spellEnd"/>
            <w:r w:rsidR="000F354C" w:rsidRPr="00275490">
              <w:t xml:space="preserve">, all </w:t>
            </w:r>
            <w:r>
              <w:t>levels of</w:t>
            </w:r>
            <w:r w:rsidRPr="00275490">
              <w:t xml:space="preserve"> </w:t>
            </w:r>
            <w:r>
              <w:t>g</w:t>
            </w:r>
            <w:r w:rsidR="000F354C" w:rsidRPr="00275490">
              <w:t xml:space="preserve">overnment agreed to the </w:t>
            </w:r>
            <w:r w:rsidR="000F354C" w:rsidRPr="00FF58B8">
              <w:rPr>
                <w:i/>
              </w:rPr>
              <w:t>Intergovernmental Agreement on the Environment</w:t>
            </w:r>
            <w:r w:rsidR="000F354C" w:rsidRPr="00275490">
              <w:t xml:space="preserve"> (</w:t>
            </w:r>
            <w:proofErr w:type="spellStart"/>
            <w:r w:rsidR="000F354C" w:rsidRPr="00275490">
              <w:t>IGAE</w:t>
            </w:r>
            <w:proofErr w:type="spellEnd"/>
            <w:r w:rsidR="000F354C" w:rsidRPr="00275490">
              <w:t>) to facilitate a cooperative national approach to the environment</w:t>
            </w:r>
            <w:r w:rsidR="00C91FA1">
              <w:t>,</w:t>
            </w:r>
            <w:r w:rsidR="000F354C" w:rsidRPr="00275490">
              <w:t xml:space="preserve"> improve environmental protection</w:t>
            </w:r>
            <w:r w:rsidR="00C91FA1">
              <w:t>,</w:t>
            </w:r>
            <w:r w:rsidR="000F354C" w:rsidRPr="00275490">
              <w:t xml:space="preserve"> reduce disputes between the </w:t>
            </w:r>
            <w:r>
              <w:t>Australian</w:t>
            </w:r>
            <w:r w:rsidR="006C5EFD">
              <w:t xml:space="preserve"> and </w:t>
            </w:r>
            <w:r w:rsidR="003F5CCB">
              <w:t>s</w:t>
            </w:r>
            <w:r w:rsidR="000F354C" w:rsidRPr="00275490">
              <w:t xml:space="preserve">tate and </w:t>
            </w:r>
            <w:r w:rsidR="003F5CCB">
              <w:t>t</w:t>
            </w:r>
            <w:r w:rsidR="000F354C" w:rsidRPr="00275490">
              <w:t>erritor</w:t>
            </w:r>
            <w:r>
              <w:t>y governments</w:t>
            </w:r>
            <w:r w:rsidR="000F354C" w:rsidRPr="00275490">
              <w:t xml:space="preserve"> on environmental issues</w:t>
            </w:r>
            <w:r w:rsidR="00C91FA1">
              <w:t>,</w:t>
            </w:r>
            <w:r w:rsidR="000F354C" w:rsidRPr="00275490">
              <w:t xml:space="preserve"> and define the roles of </w:t>
            </w:r>
            <w:r>
              <w:t>different levels of</w:t>
            </w:r>
            <w:r w:rsidRPr="00275490">
              <w:t xml:space="preserve"> </w:t>
            </w:r>
            <w:r w:rsidR="000F354C" w:rsidRPr="00275490">
              <w:t>government (COAG 1992).</w:t>
            </w:r>
            <w:r w:rsidR="002D6EEC">
              <w:t xml:space="preserve"> </w:t>
            </w:r>
            <w:r w:rsidR="000F354C">
              <w:t xml:space="preserve">While presented differently, the </w:t>
            </w:r>
            <w:proofErr w:type="spellStart"/>
            <w:r w:rsidR="000F354C">
              <w:t>IGAE</w:t>
            </w:r>
            <w:proofErr w:type="spellEnd"/>
            <w:r w:rsidR="000F354C">
              <w:t xml:space="preserve"> principles significant</w:t>
            </w:r>
            <w:r w:rsidR="006C5EFD">
              <w:t>ly</w:t>
            </w:r>
            <w:r w:rsidR="000F354C">
              <w:t xml:space="preserve"> overlap with those outlined in the </w:t>
            </w:r>
            <w:proofErr w:type="spellStart"/>
            <w:r w:rsidR="000F354C">
              <w:t>NSESD</w:t>
            </w:r>
            <w:proofErr w:type="spellEnd"/>
            <w:r w:rsidR="000F354C">
              <w:t>, though they are more focused on the integration of environmental and economic considerations.</w:t>
            </w:r>
          </w:p>
          <w:p w:rsidR="000F354C" w:rsidRDefault="000F354C" w:rsidP="000F354C">
            <w:pPr>
              <w:pStyle w:val="Box"/>
            </w:pPr>
            <w:r w:rsidRPr="00275490">
              <w:t xml:space="preserve">A further </w:t>
            </w:r>
            <w:r w:rsidR="009C4A5C" w:rsidRPr="00275490">
              <w:t>i</w:t>
            </w:r>
            <w:r w:rsidR="009C4A5C">
              <w:t>ntegration</w:t>
            </w:r>
            <w:r w:rsidR="009C4A5C" w:rsidRPr="00275490">
              <w:t xml:space="preserve"> </w:t>
            </w:r>
            <w:r w:rsidRPr="00275490">
              <w:t xml:space="preserve">of sustainability into Australian </w:t>
            </w:r>
            <w:r w:rsidR="006C5EFD">
              <w:t>G</w:t>
            </w:r>
            <w:r w:rsidRPr="00275490">
              <w:t>overnment decision</w:t>
            </w:r>
            <w:r w:rsidRPr="00275490">
              <w:noBreakHyphen/>
              <w:t xml:space="preserve">making processes occurred through the introduction of </w:t>
            </w:r>
            <w:r w:rsidRPr="002162AF">
              <w:t>the</w:t>
            </w:r>
            <w:r w:rsidRPr="00275490">
              <w:rPr>
                <w:b/>
              </w:rPr>
              <w:t xml:space="preserve"> </w:t>
            </w:r>
            <w:r w:rsidRPr="00FF58B8">
              <w:rPr>
                <w:i/>
              </w:rPr>
              <w:t>Environment Protection and Biodiversity Conservation Act 1999</w:t>
            </w:r>
            <w:r w:rsidRPr="0053298F">
              <w:rPr>
                <w:i/>
              </w:rPr>
              <w:t xml:space="preserve"> </w:t>
            </w:r>
            <w:r w:rsidR="006C5EFD">
              <w:t>(</w:t>
            </w:r>
            <w:proofErr w:type="spellStart"/>
            <w:r w:rsidR="006C5EFD">
              <w:t>Cwlth</w:t>
            </w:r>
            <w:proofErr w:type="spellEnd"/>
            <w:r w:rsidR="006C5EFD">
              <w:t xml:space="preserve">) </w:t>
            </w:r>
            <w:r>
              <w:t>(</w:t>
            </w:r>
            <w:proofErr w:type="spellStart"/>
            <w:r>
              <w:t>EPBC</w:t>
            </w:r>
            <w:proofErr w:type="spellEnd"/>
            <w:r>
              <w:t xml:space="preserve"> Act)</w:t>
            </w:r>
            <w:r w:rsidRPr="00275490">
              <w:t>. This Act provides a legal framework for national environment</w:t>
            </w:r>
            <w:r w:rsidR="006C5EFD">
              <w:t>al</w:t>
            </w:r>
            <w:r w:rsidRPr="00275490">
              <w:t xml:space="preserve"> and heritage protection</w:t>
            </w:r>
            <w:r w:rsidR="009C4A5C">
              <w:t>,</w:t>
            </w:r>
            <w:r w:rsidRPr="00275490">
              <w:t xml:space="preserve"> and bio</w:t>
            </w:r>
            <w:r>
              <w:t>diversity conservation</w:t>
            </w:r>
            <w:r w:rsidR="006C5EFD">
              <w:t>.</w:t>
            </w:r>
            <w:r>
              <w:t xml:space="preserve"> </w:t>
            </w:r>
            <w:r w:rsidR="006C5EFD">
              <w:t xml:space="preserve">It </w:t>
            </w:r>
            <w:r>
              <w:t xml:space="preserve">contains </w:t>
            </w:r>
            <w:r w:rsidRPr="00275490">
              <w:t xml:space="preserve">principles of ecologically sustainable development that are similar to those in the </w:t>
            </w:r>
            <w:proofErr w:type="spellStart"/>
            <w:r w:rsidRPr="00275490">
              <w:t>IGAE</w:t>
            </w:r>
            <w:proofErr w:type="spellEnd"/>
            <w:r w:rsidRPr="00275490">
              <w:t xml:space="preserve"> and </w:t>
            </w:r>
            <w:proofErr w:type="spellStart"/>
            <w:r w:rsidRPr="00275490">
              <w:t>NSESD</w:t>
            </w:r>
            <w:proofErr w:type="spellEnd"/>
            <w:r w:rsidR="00AA4A14">
              <w:t>.</w:t>
            </w:r>
          </w:p>
          <w:p w:rsidR="00DB2D72" w:rsidRDefault="000F354C" w:rsidP="00DB2D72">
            <w:pPr>
              <w:pStyle w:val="Box"/>
            </w:pPr>
            <w:r>
              <w:t>Public policy</w:t>
            </w:r>
            <w:r w:rsidRPr="005927FF">
              <w:t xml:space="preserve"> concerns about sustainability have often encompassed a range of issues in addition to environmental conservation, including population growth, migration, </w:t>
            </w:r>
            <w:r w:rsidR="001266A6">
              <w:t xml:space="preserve">cultural issues, </w:t>
            </w:r>
            <w:r w:rsidRPr="005927FF">
              <w:t xml:space="preserve">and urban and regional development. An example is </w:t>
            </w:r>
            <w:r>
              <w:t xml:space="preserve">the </w:t>
            </w:r>
            <w:r w:rsidRPr="00FF58B8">
              <w:rPr>
                <w:i/>
              </w:rPr>
              <w:t>Sustainable Population Strategy</w:t>
            </w:r>
            <w:r>
              <w:t xml:space="preserve">, which is </w:t>
            </w:r>
            <w:r w:rsidRPr="005927FF">
              <w:t>intended to ensure that ‘future population change is compatible with the economic, environmental and so</w:t>
            </w:r>
            <w:r w:rsidR="00642BE1">
              <w:t>cial wellbeing of Australia’ (</w:t>
            </w:r>
            <w:proofErr w:type="spellStart"/>
            <w:r w:rsidR="00642BE1">
              <w:t>DSEWPC</w:t>
            </w:r>
            <w:proofErr w:type="spellEnd"/>
            <w:r w:rsidRPr="005927FF">
              <w:t xml:space="preserve"> 2011</w:t>
            </w:r>
            <w:r w:rsidR="00CC6472">
              <w:t>, p. 6</w:t>
            </w:r>
            <w:r w:rsidRPr="005927FF">
              <w:t>)</w:t>
            </w:r>
            <w:r>
              <w:t xml:space="preserve">. Another example is the </w:t>
            </w:r>
            <w:r w:rsidRPr="00FF58B8">
              <w:rPr>
                <w:i/>
              </w:rPr>
              <w:t>Intergenerational Report,</w:t>
            </w:r>
            <w:r>
              <w:t xml:space="preserve"> which is released every </w:t>
            </w:r>
            <w:r w:rsidR="006C5EFD">
              <w:t>five</w:t>
            </w:r>
            <w:r>
              <w:t xml:space="preserve"> years and is intended </w:t>
            </w:r>
            <w:r w:rsidRPr="002D2700">
              <w:t>to assess the long</w:t>
            </w:r>
            <w:r w:rsidR="000E1AE9">
              <w:noBreakHyphen/>
            </w:r>
            <w:r w:rsidRPr="002D2700">
              <w:t xml:space="preserve">term sustainability of </w:t>
            </w:r>
            <w:r w:rsidR="006C5EFD">
              <w:t>Australian Government</w:t>
            </w:r>
            <w:r w:rsidR="006C5EFD" w:rsidRPr="002D2700">
              <w:t xml:space="preserve"> </w:t>
            </w:r>
            <w:r w:rsidRPr="002D2700">
              <w:t>finances and examine the impact of current policies and trends, including population ageing a</w:t>
            </w:r>
            <w:r>
              <w:t xml:space="preserve">nd slower population growth </w:t>
            </w:r>
            <w:r w:rsidRPr="002D2700">
              <w:t>(</w:t>
            </w:r>
            <w:r>
              <w:t xml:space="preserve">Australian </w:t>
            </w:r>
            <w:r w:rsidR="00CA6B50">
              <w:t>Treasury</w:t>
            </w:r>
            <w:r w:rsidRPr="002D2700">
              <w:t xml:space="preserve"> 2010).</w:t>
            </w:r>
            <w:r w:rsidR="001266A6">
              <w:t xml:space="preserve"> An example of how sustainability is thought about in terms of </w:t>
            </w:r>
            <w:r w:rsidR="001266A6" w:rsidRPr="00FF58B8">
              <w:t>cultural values</w:t>
            </w:r>
            <w:r w:rsidR="001266A6">
              <w:t xml:space="preserve"> is the recent declaration of the Southern Tanami as Australia’s largest Indigenous Protected Area. This area was declared as protected partly on t</w:t>
            </w:r>
            <w:r w:rsidR="00A25A53">
              <w:t xml:space="preserve">he grounds of sustainability — </w:t>
            </w:r>
            <w:r w:rsidR="001266A6">
              <w:t xml:space="preserve">under the International Union for the Conservation of Nature’s category six, which </w:t>
            </w:r>
            <w:r w:rsidR="00A25A53">
              <w:t>‘</w:t>
            </w:r>
            <w:r w:rsidR="001266A6">
              <w:t>ensures the conservation of natural and cultural values while enabling sustainable use of natural resources’ (</w:t>
            </w:r>
            <w:proofErr w:type="spellStart"/>
            <w:r w:rsidR="00DC3F51">
              <w:t>DSEWPC</w:t>
            </w:r>
            <w:proofErr w:type="spellEnd"/>
            <w:r w:rsidR="00DC3F51" w:rsidDel="00DC3F51">
              <w:t xml:space="preserve"> </w:t>
            </w:r>
            <w:r w:rsidR="001266A6">
              <w:t>2012).</w:t>
            </w:r>
          </w:p>
          <w:p w:rsidR="000F354C" w:rsidRDefault="00DB2D72" w:rsidP="009C655B">
            <w:pPr>
              <w:pStyle w:val="Box"/>
            </w:pPr>
            <w:r>
              <w:t xml:space="preserve">In October 2012, the Australian Government established the </w:t>
            </w:r>
            <w:r w:rsidRPr="00FF58B8">
              <w:rPr>
                <w:i/>
              </w:rPr>
              <w:t>National Sustainability Council</w:t>
            </w:r>
            <w:r>
              <w:t xml:space="preserve"> to provide advice on sustainability issues and to report biannually against a set of sustainability indicators for Australia. The indicators are intended to provide stock and flow information about social</w:t>
            </w:r>
            <w:r w:rsidR="000E1AE9">
              <w:t>, human</w:t>
            </w:r>
            <w:r>
              <w:t xml:space="preserve">, natural and economic capital </w:t>
            </w:r>
            <w:r w:rsidR="00295024">
              <w:t>(</w:t>
            </w:r>
            <w:proofErr w:type="spellStart"/>
            <w:r>
              <w:t>DSEWPC</w:t>
            </w:r>
            <w:proofErr w:type="spellEnd"/>
            <w:r>
              <w:t xml:space="preserve"> 2013).</w:t>
            </w:r>
          </w:p>
        </w:tc>
      </w:tr>
      <w:tr w:rsidR="000F354C" w:rsidTr="000F354C">
        <w:trPr>
          <w:cantSplit/>
        </w:trPr>
        <w:tc>
          <w:tcPr>
            <w:tcW w:w="8771" w:type="dxa"/>
            <w:tcBorders>
              <w:top w:val="nil"/>
              <w:left w:val="single" w:sz="6" w:space="0" w:color="auto"/>
              <w:bottom w:val="single" w:sz="6" w:space="0" w:color="auto"/>
              <w:right w:val="single" w:sz="6" w:space="0" w:color="auto"/>
            </w:tcBorders>
          </w:tcPr>
          <w:p w:rsidR="000F354C" w:rsidRDefault="000F354C" w:rsidP="000F354C">
            <w:pPr>
              <w:pStyle w:val="Box"/>
              <w:spacing w:before="0" w:line="120" w:lineRule="exact"/>
            </w:pPr>
          </w:p>
        </w:tc>
      </w:tr>
      <w:tr w:rsidR="000F354C" w:rsidTr="000F354C">
        <w:tc>
          <w:tcPr>
            <w:tcW w:w="8771" w:type="dxa"/>
            <w:tcBorders>
              <w:top w:val="nil"/>
              <w:left w:val="nil"/>
              <w:bottom w:val="nil"/>
              <w:right w:val="nil"/>
            </w:tcBorders>
          </w:tcPr>
          <w:p w:rsidR="000F354C" w:rsidRDefault="000F354C" w:rsidP="000F354C">
            <w:pPr>
              <w:pStyle w:val="Box"/>
              <w:keepNext w:val="0"/>
              <w:spacing w:before="60" w:after="60" w:line="80" w:lineRule="exact"/>
              <w:rPr>
                <w:b/>
                <w:color w:val="FF00FF"/>
                <w:sz w:val="14"/>
              </w:rPr>
            </w:pPr>
          </w:p>
        </w:tc>
      </w:tr>
    </w:tbl>
    <w:p w:rsidR="0029418F" w:rsidRPr="002302E8" w:rsidRDefault="00B96B59" w:rsidP="002302E8">
      <w:pPr>
        <w:pStyle w:val="Heading3"/>
      </w:pPr>
      <w:r w:rsidRPr="002302E8">
        <w:lastRenderedPageBreak/>
        <w:t>Improving the efficiency of resource use</w:t>
      </w:r>
    </w:p>
    <w:p w:rsidR="002005CC" w:rsidRPr="00B17D78" w:rsidRDefault="0029418F" w:rsidP="00C72536">
      <w:pPr>
        <w:pStyle w:val="BodyText"/>
      </w:pPr>
      <w:r w:rsidRPr="00B17D78">
        <w:t>Whe</w:t>
      </w:r>
      <w:r w:rsidR="00D916D1" w:rsidRPr="00B17D78">
        <w:t>re</w:t>
      </w:r>
      <w:r w:rsidRPr="00B17D78">
        <w:t xml:space="preserve"> markets function </w:t>
      </w:r>
      <w:r w:rsidR="00D916D1" w:rsidRPr="00B17D78">
        <w:t>eff</w:t>
      </w:r>
      <w:r w:rsidR="002A07BB" w:rsidRPr="00B17D78">
        <w:t>iciently</w:t>
      </w:r>
      <w:r w:rsidRPr="00B17D78">
        <w:t>, scarce resources — including environmental resources — are directed to th</w:t>
      </w:r>
      <w:r w:rsidR="00E0248D" w:rsidRPr="00B17D78">
        <w:t>e</w:t>
      </w:r>
      <w:r w:rsidRPr="00B17D78">
        <w:t xml:space="preserve"> uses, and users, </w:t>
      </w:r>
      <w:r w:rsidR="00E0248D" w:rsidRPr="00B17D78">
        <w:t>wh</w:t>
      </w:r>
      <w:r w:rsidR="002A07BB" w:rsidRPr="00B17D78">
        <w:t>ich</w:t>
      </w:r>
      <w:r w:rsidR="00E0248D" w:rsidRPr="00B17D78">
        <w:t xml:space="preserve"> </w:t>
      </w:r>
      <w:r w:rsidRPr="00B17D78">
        <w:t xml:space="preserve">value them most highly. </w:t>
      </w:r>
      <w:r w:rsidR="00AF6E81" w:rsidRPr="00B17D78">
        <w:t>In principle</w:t>
      </w:r>
      <w:r w:rsidR="002A07BB" w:rsidRPr="00B17D78">
        <w:t>, t</w:t>
      </w:r>
      <w:r w:rsidRPr="00B17D78">
        <w:t xml:space="preserve">his </w:t>
      </w:r>
      <w:r w:rsidR="002A07BB" w:rsidRPr="00B17D78">
        <w:t xml:space="preserve">can </w:t>
      </w:r>
      <w:r w:rsidRPr="00B17D78">
        <w:t>result in an allocation of resources that maximises the wellbeing of society. However, where markets do not function well (for example</w:t>
      </w:r>
      <w:r w:rsidR="00D916D1" w:rsidRPr="00B17D78">
        <w:t>,</w:t>
      </w:r>
      <w:r w:rsidRPr="00B17D78">
        <w:t xml:space="preserve"> due to </w:t>
      </w:r>
      <w:r w:rsidR="00CE491F" w:rsidRPr="00B17D78">
        <w:t>a lack of effective competition</w:t>
      </w:r>
      <w:r w:rsidRPr="00B17D78">
        <w:t xml:space="preserve"> or </w:t>
      </w:r>
      <w:r w:rsidR="002A07BB" w:rsidRPr="00B17D78">
        <w:t xml:space="preserve">lack of </w:t>
      </w:r>
      <w:r w:rsidRPr="00B17D78">
        <w:t>information</w:t>
      </w:r>
      <w:r w:rsidR="002B2990" w:rsidRPr="00B17D78">
        <w:t>) or are not complete (for example</w:t>
      </w:r>
      <w:r w:rsidR="009A2647" w:rsidRPr="00B17D78">
        <w:t>,</w:t>
      </w:r>
      <w:r w:rsidR="002B2990" w:rsidRPr="00B17D78">
        <w:t xml:space="preserve"> </w:t>
      </w:r>
      <w:r w:rsidR="00E33D36" w:rsidRPr="00B17D78">
        <w:t xml:space="preserve">as a result of </w:t>
      </w:r>
      <w:r w:rsidR="002B2990" w:rsidRPr="00B17D78">
        <w:t xml:space="preserve">externalities, </w:t>
      </w:r>
      <w:r w:rsidR="00C87F33" w:rsidRPr="00B17D78">
        <w:t>or the public</w:t>
      </w:r>
      <w:r w:rsidR="004706DF">
        <w:noBreakHyphen/>
      </w:r>
      <w:r w:rsidR="00C87F33" w:rsidRPr="00B17D78">
        <w:t>good characteristics of some good</w:t>
      </w:r>
      <w:r w:rsidR="00224E0E" w:rsidRPr="00B17D78">
        <w:t>s</w:t>
      </w:r>
      <w:r w:rsidR="00C87F33" w:rsidRPr="00B17D78">
        <w:t xml:space="preserve"> and services</w:t>
      </w:r>
      <w:r w:rsidR="002B2990" w:rsidRPr="00B17D78">
        <w:t>)</w:t>
      </w:r>
      <w:r w:rsidR="002005CC" w:rsidRPr="00B17D78">
        <w:t xml:space="preserve"> (box</w:t>
      </w:r>
      <w:r w:rsidR="00DC2CDE" w:rsidRPr="00B17D78">
        <w:t> </w:t>
      </w:r>
      <w:r w:rsidR="00BD51C5" w:rsidRPr="00B17D78">
        <w:t>4</w:t>
      </w:r>
      <w:r w:rsidR="00224E0E" w:rsidRPr="00B17D78">
        <w:t>)</w:t>
      </w:r>
      <w:r w:rsidR="000E03B8" w:rsidRPr="00B17D78">
        <w:t xml:space="preserve">, </w:t>
      </w:r>
      <w:r w:rsidRPr="00B17D78">
        <w:t xml:space="preserve">then wellbeing </w:t>
      </w:r>
      <w:r w:rsidR="000F26CD" w:rsidRPr="00B17D78">
        <w:t>may</w:t>
      </w:r>
      <w:r w:rsidR="00DC2CDE" w:rsidRPr="00B17D78">
        <w:t xml:space="preserve"> </w:t>
      </w:r>
      <w:r w:rsidRPr="00B17D78">
        <w:t>not</w:t>
      </w:r>
      <w:r w:rsidR="001C055A" w:rsidRPr="00B17D78">
        <w:t xml:space="preserve"> be </w:t>
      </w:r>
      <w:r w:rsidRPr="00B17D78">
        <w:t>as high as it could be.</w:t>
      </w:r>
      <w:r w:rsidR="00B64D5B" w:rsidRPr="00B17D78">
        <w:t xml:space="preserve"> Indeed, what the market values need not accord with what </w:t>
      </w:r>
      <w:r w:rsidR="00B64D5B" w:rsidRPr="00B17D78">
        <w:rPr>
          <w:i/>
        </w:rPr>
        <w:t>society</w:t>
      </w:r>
      <w:r w:rsidR="00B64D5B" w:rsidRPr="00B17D78">
        <w:t xml:space="preserve"> values, or even with the interests of the economy as a whole in the long run (Banks 2009).</w:t>
      </w:r>
      <w:r w:rsidRPr="00B17D78">
        <w:t xml:space="preserve"> </w:t>
      </w:r>
      <w:r w:rsidR="00873FA4" w:rsidRPr="00B17D78">
        <w:t>As a</w:t>
      </w:r>
      <w:r w:rsidRPr="00B17D78">
        <w:t xml:space="preserve"> consequence, there </w:t>
      </w:r>
      <w:r w:rsidR="00B919D4" w:rsidRPr="00B17D78">
        <w:t>may be a</w:t>
      </w:r>
      <w:r w:rsidRPr="00B17D78">
        <w:t xml:space="preserve"> role for government</w:t>
      </w:r>
      <w:r w:rsidR="009A2647" w:rsidRPr="00B17D78">
        <w:t>s</w:t>
      </w:r>
      <w:r w:rsidRPr="00B17D78">
        <w:t xml:space="preserve"> to address externalities, facilitate the operation of efficient markets, and take into account the public</w:t>
      </w:r>
      <w:r w:rsidR="00B52B3B" w:rsidRPr="00B17D78">
        <w:noBreakHyphen/>
      </w:r>
      <w:r w:rsidRPr="00B17D78">
        <w:t>good aspects of the environment and other resources.</w:t>
      </w:r>
    </w:p>
    <w:p w:rsidR="002005CC" w:rsidRDefault="002005CC">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2005CC">
        <w:tc>
          <w:tcPr>
            <w:tcW w:w="8771" w:type="dxa"/>
            <w:tcBorders>
              <w:top w:val="single" w:sz="6" w:space="0" w:color="auto"/>
              <w:bottom w:val="nil"/>
            </w:tcBorders>
          </w:tcPr>
          <w:p w:rsidR="002005CC" w:rsidRDefault="002005CC" w:rsidP="00CE491F">
            <w:pPr>
              <w:pStyle w:val="BoxTitle"/>
            </w:pPr>
            <w:r>
              <w:rPr>
                <w:b w:val="0"/>
              </w:rPr>
              <w:t xml:space="preserve">Box </w:t>
            </w:r>
            <w:bookmarkStart w:id="10" w:name="OLE_LINK8"/>
            <w:r w:rsidR="00811B50">
              <w:rPr>
                <w:b w:val="0"/>
                <w:noProof/>
              </w:rPr>
              <w:t>4</w:t>
            </w:r>
            <w:bookmarkEnd w:id="10"/>
            <w:r>
              <w:tab/>
            </w:r>
            <w:r w:rsidR="00CE491F">
              <w:t>Some sources of m</w:t>
            </w:r>
            <w:r>
              <w:t>arket failures</w:t>
            </w:r>
          </w:p>
        </w:tc>
      </w:tr>
      <w:tr w:rsidR="002005CC">
        <w:trPr>
          <w:cantSplit/>
        </w:trPr>
        <w:tc>
          <w:tcPr>
            <w:tcW w:w="8771" w:type="dxa"/>
            <w:tcBorders>
              <w:top w:val="nil"/>
              <w:left w:val="single" w:sz="6" w:space="0" w:color="auto"/>
              <w:bottom w:val="nil"/>
              <w:right w:val="single" w:sz="6" w:space="0" w:color="auto"/>
            </w:tcBorders>
          </w:tcPr>
          <w:p w:rsidR="002223E1" w:rsidRDefault="002223E1" w:rsidP="002223E1">
            <w:pPr>
              <w:pStyle w:val="Box"/>
            </w:pPr>
            <w:r>
              <w:rPr>
                <w:i/>
              </w:rPr>
              <w:t xml:space="preserve">Externalities </w:t>
            </w:r>
            <w:r w:rsidRPr="00612E45">
              <w:t>arise where an activity involves ‘</w:t>
            </w:r>
            <w:proofErr w:type="spellStart"/>
            <w:r w:rsidRPr="00612E45">
              <w:t>spillovers</w:t>
            </w:r>
            <w:proofErr w:type="spellEnd"/>
            <w:r w:rsidRPr="00612E45">
              <w:t>’ of positive or negative impacts on other</w:t>
            </w:r>
            <w:r>
              <w:t xml:space="preserve">s </w:t>
            </w:r>
            <w:r w:rsidRPr="00612E45">
              <w:t>in the community</w:t>
            </w:r>
            <w:r>
              <w:t xml:space="preserve"> who are not party to the activity. As a result, these impacts </w:t>
            </w:r>
            <w:r w:rsidRPr="00612E45">
              <w:t xml:space="preserve">are not taken into account by the parties </w:t>
            </w:r>
            <w:r>
              <w:t>undertaking the</w:t>
            </w:r>
            <w:r w:rsidRPr="00612E45">
              <w:t xml:space="preserve"> activity. For example, there are a number of positive externalities associated with education</w:t>
            </w:r>
            <w:r>
              <w:t xml:space="preserve"> (investment in human capital)</w:t>
            </w:r>
            <w:r w:rsidRPr="00612E45">
              <w:t xml:space="preserve">. These external benefits are typically not considered in an individual’s decision to </w:t>
            </w:r>
            <w:r>
              <w:t>study.</w:t>
            </w:r>
            <w:r w:rsidRPr="00612E45">
              <w:t xml:space="preserve"> As a result, </w:t>
            </w:r>
            <w:r>
              <w:t>if education levels were determined by the market only (with no government assistance)</w:t>
            </w:r>
            <w:r w:rsidR="00757825">
              <w:t>,</w:t>
            </w:r>
            <w:r>
              <w:t xml:space="preserve"> </w:t>
            </w:r>
            <w:r w:rsidRPr="00612E45">
              <w:t xml:space="preserve">the </w:t>
            </w:r>
            <w:r>
              <w:t>highest level of community wellbeing possible might not be achieved</w:t>
            </w:r>
            <w:r w:rsidR="00957D1D">
              <w:t>.</w:t>
            </w:r>
          </w:p>
          <w:p w:rsidR="002223E1" w:rsidRDefault="002223E1" w:rsidP="002223E1">
            <w:pPr>
              <w:pStyle w:val="Box"/>
            </w:pPr>
            <w:r>
              <w:rPr>
                <w:i/>
              </w:rPr>
              <w:t xml:space="preserve">Public goods </w:t>
            </w:r>
            <w:r>
              <w:t xml:space="preserve">are </w:t>
            </w:r>
            <w:r w:rsidR="00757825">
              <w:t xml:space="preserve">goods </w:t>
            </w:r>
            <w:r>
              <w:t xml:space="preserve">where one person’s consumption does not reduce consumption by others, and where it is not possible to exclude individuals from </w:t>
            </w:r>
            <w:r w:rsidR="00B555C8">
              <w:t xml:space="preserve">using them </w:t>
            </w:r>
            <w:r>
              <w:t xml:space="preserve">(for example, national defence). These goods tend to be underprovided or not provided at all in private markets because people can consume the good </w:t>
            </w:r>
            <w:r>
              <w:rPr>
                <w:szCs w:val="22"/>
              </w:rPr>
              <w:t>without paying for it. For example, emergency services for fire and flood control</w:t>
            </w:r>
            <w:r w:rsidR="00CC6472">
              <w:rPr>
                <w:szCs w:val="22"/>
              </w:rPr>
              <w:t>,</w:t>
            </w:r>
            <w:r>
              <w:rPr>
                <w:szCs w:val="22"/>
              </w:rPr>
              <w:t xml:space="preserve"> and </w:t>
            </w:r>
            <w:r>
              <w:t>some</w:t>
            </w:r>
            <w:r w:rsidRPr="00342F92">
              <w:t xml:space="preserve"> natural </w:t>
            </w:r>
            <w:r>
              <w:t>capital, such as biodiversity,</w:t>
            </w:r>
            <w:r w:rsidRPr="00342F92">
              <w:t xml:space="preserve"> </w:t>
            </w:r>
            <w:r>
              <w:t xml:space="preserve">all exhibit </w:t>
            </w:r>
            <w:r w:rsidRPr="00342F92">
              <w:t>p</w:t>
            </w:r>
            <w:r>
              <w:t>ublic</w:t>
            </w:r>
            <w:r w:rsidR="008F233B">
              <w:noBreakHyphen/>
            </w:r>
            <w:r>
              <w:t>good characteristics.</w:t>
            </w:r>
            <w:r w:rsidR="00957D1D">
              <w:t xml:space="preserve"> </w:t>
            </w:r>
            <w:r w:rsidR="00957D1D" w:rsidRPr="00F54192">
              <w:t xml:space="preserve">The value of </w:t>
            </w:r>
            <w:r w:rsidR="00C6471C" w:rsidRPr="00F54192">
              <w:t xml:space="preserve">some </w:t>
            </w:r>
            <w:r w:rsidR="00957D1D" w:rsidRPr="00F54192">
              <w:t>capital, such as a pristine wetland, landmark building, or language and culture</w:t>
            </w:r>
            <w:r w:rsidR="00C6471C" w:rsidRPr="00F54192">
              <w:t>,</w:t>
            </w:r>
            <w:r w:rsidR="00957D1D" w:rsidRPr="00F54192">
              <w:t xml:space="preserve"> come from their public</w:t>
            </w:r>
            <w:r w:rsidR="008F233B">
              <w:noBreakHyphen/>
            </w:r>
            <w:r w:rsidR="00957D1D" w:rsidRPr="00F54192">
              <w:t>good characteristics.</w:t>
            </w:r>
          </w:p>
          <w:p w:rsidR="002005CC" w:rsidRDefault="00CE491F" w:rsidP="008F233B">
            <w:pPr>
              <w:pStyle w:val="Box"/>
            </w:pPr>
            <w:r w:rsidRPr="00342F92">
              <w:rPr>
                <w:i/>
              </w:rPr>
              <w:t>I</w:t>
            </w:r>
            <w:r>
              <w:rPr>
                <w:i/>
              </w:rPr>
              <w:t>nadequate</w:t>
            </w:r>
            <w:r w:rsidRPr="00342F92">
              <w:rPr>
                <w:i/>
              </w:rPr>
              <w:t xml:space="preserve"> </w:t>
            </w:r>
            <w:r w:rsidR="002223E1" w:rsidRPr="00342F92">
              <w:rPr>
                <w:i/>
              </w:rPr>
              <w:t>information</w:t>
            </w:r>
            <w:r w:rsidR="008F233B">
              <w:t xml:space="preserve"> can arise where i</w:t>
            </w:r>
            <w:r w:rsidR="002223E1" w:rsidRPr="00342F92">
              <w:t>nformation has public</w:t>
            </w:r>
            <w:r w:rsidR="004706DF">
              <w:noBreakHyphen/>
            </w:r>
            <w:r w:rsidR="002223E1" w:rsidRPr="00342F92">
              <w:t xml:space="preserve">good characteristics and as a result </w:t>
            </w:r>
            <w:r w:rsidR="008F233B">
              <w:t>may be</w:t>
            </w:r>
            <w:r w:rsidR="008F233B" w:rsidRPr="00342F92">
              <w:t xml:space="preserve"> </w:t>
            </w:r>
            <w:r w:rsidR="002223E1" w:rsidRPr="00342F92">
              <w:t>underprovided by the market. This is especially the case for some environmental research including information on biological processes. Uncertainty about many aspects of the environment (and people’s preferences for the environment) can further exacerbate information failures.</w:t>
            </w:r>
          </w:p>
        </w:tc>
      </w:tr>
      <w:tr w:rsidR="002005CC">
        <w:trPr>
          <w:cantSplit/>
        </w:trPr>
        <w:tc>
          <w:tcPr>
            <w:tcW w:w="8771" w:type="dxa"/>
            <w:tcBorders>
              <w:top w:val="nil"/>
              <w:left w:val="single" w:sz="6" w:space="0" w:color="auto"/>
              <w:bottom w:val="single" w:sz="6" w:space="0" w:color="auto"/>
              <w:right w:val="single" w:sz="6" w:space="0" w:color="auto"/>
            </w:tcBorders>
          </w:tcPr>
          <w:p w:rsidR="002005CC" w:rsidRDefault="002005CC">
            <w:pPr>
              <w:pStyle w:val="Box"/>
              <w:spacing w:before="0" w:line="120" w:lineRule="exact"/>
            </w:pPr>
          </w:p>
        </w:tc>
      </w:tr>
      <w:tr w:rsidR="002005CC" w:rsidRPr="000863A5">
        <w:tc>
          <w:tcPr>
            <w:tcW w:w="8771" w:type="dxa"/>
            <w:tcBorders>
              <w:top w:val="nil"/>
              <w:left w:val="nil"/>
              <w:bottom w:val="nil"/>
              <w:right w:val="nil"/>
            </w:tcBorders>
          </w:tcPr>
          <w:p w:rsidR="002005CC" w:rsidRPr="000863A5" w:rsidRDefault="002005CC" w:rsidP="002005CC">
            <w:pPr>
              <w:pStyle w:val="Box"/>
              <w:keepNext w:val="0"/>
              <w:spacing w:before="60" w:after="60" w:line="80" w:lineRule="exact"/>
              <w:rPr>
                <w:b/>
                <w:sz w:val="14"/>
              </w:rPr>
            </w:pPr>
          </w:p>
        </w:tc>
      </w:tr>
    </w:tbl>
    <w:p w:rsidR="00EB69BE" w:rsidRPr="00B17D78" w:rsidRDefault="00345D60" w:rsidP="00C72536">
      <w:pPr>
        <w:pStyle w:val="BodyText"/>
      </w:pPr>
      <w:r w:rsidRPr="00B17D78">
        <w:t>P</w:t>
      </w:r>
      <w:r w:rsidR="00EB69BE" w:rsidRPr="00B17D78">
        <w:t xml:space="preserve">olicies </w:t>
      </w:r>
      <w:r w:rsidRPr="00B17D78">
        <w:t xml:space="preserve">to address market failures </w:t>
      </w:r>
      <w:r w:rsidR="00EB69BE" w:rsidRPr="00B17D78">
        <w:t>can be promoted purely on economic effici</w:t>
      </w:r>
      <w:r w:rsidR="00B44962" w:rsidRPr="00B17D78">
        <w:t xml:space="preserve">ency grounds. </w:t>
      </w:r>
      <w:r w:rsidR="009C2F14" w:rsidRPr="00B17D78">
        <w:t>H</w:t>
      </w:r>
      <w:r w:rsidR="008F3BB0" w:rsidRPr="00B17D78">
        <w:t>owever</w:t>
      </w:r>
      <w:r w:rsidR="009C2F14" w:rsidRPr="00B17D78">
        <w:t>,</w:t>
      </w:r>
      <w:r w:rsidR="00EB69BE" w:rsidRPr="00B17D78">
        <w:t xml:space="preserve"> there may be many circumstances where actions that are taken today </w:t>
      </w:r>
      <w:r w:rsidR="00B555C8" w:rsidRPr="00B17D78">
        <w:t xml:space="preserve">may </w:t>
      </w:r>
      <w:r w:rsidR="00EB69BE" w:rsidRPr="00B17D78">
        <w:t>impose costs on future generations</w:t>
      </w:r>
      <w:r w:rsidR="00C6471C" w:rsidRPr="00B17D78">
        <w:t xml:space="preserve"> that are not taken into account</w:t>
      </w:r>
      <w:r w:rsidR="00EB69BE" w:rsidRPr="00B17D78">
        <w:t xml:space="preserve">. In </w:t>
      </w:r>
      <w:r w:rsidR="00EB69BE" w:rsidRPr="00B17D78">
        <w:lastRenderedPageBreak/>
        <w:t xml:space="preserve">these cases, it may be necessary to </w:t>
      </w:r>
      <w:r w:rsidR="00C6471C" w:rsidRPr="00B17D78">
        <w:t>explicitly consider the effect on</w:t>
      </w:r>
      <w:r w:rsidR="00EB69BE" w:rsidRPr="00B17D78">
        <w:t xml:space="preserve"> intergenerational welfare when formulating policy responses. An example is climate change, where the effects of greenhouse gases emitted today </w:t>
      </w:r>
      <w:r w:rsidR="00D916D1" w:rsidRPr="00B17D78">
        <w:t xml:space="preserve">will be </w:t>
      </w:r>
      <w:r w:rsidR="00EB69BE" w:rsidRPr="00B17D78">
        <w:t xml:space="preserve">experienced </w:t>
      </w:r>
      <w:r w:rsidR="0007730C" w:rsidRPr="00B17D78">
        <w:t xml:space="preserve">mostly </w:t>
      </w:r>
      <w:r w:rsidR="00EB69BE" w:rsidRPr="00B17D78">
        <w:t>by future generations.</w:t>
      </w:r>
    </w:p>
    <w:p w:rsidR="0029418F" w:rsidRPr="00B17D78" w:rsidRDefault="006F6437" w:rsidP="00B17D78">
      <w:pPr>
        <w:pStyle w:val="BodyText"/>
      </w:pPr>
      <w:r w:rsidRPr="00B17D78">
        <w:t xml:space="preserve">But market failure per se does not justify government intervention. </w:t>
      </w:r>
      <w:r w:rsidR="009F401C" w:rsidRPr="00B17D78">
        <w:t>G</w:t>
      </w:r>
      <w:r w:rsidR="0029418F" w:rsidRPr="00B17D78">
        <w:t xml:space="preserve">overnment action </w:t>
      </w:r>
      <w:r w:rsidR="009F401C" w:rsidRPr="00B17D78">
        <w:t>to address market failures</w:t>
      </w:r>
      <w:r w:rsidR="002D31EC" w:rsidRPr="00B17D78">
        <w:t xml:space="preserve"> </w:t>
      </w:r>
      <w:r w:rsidR="005D7296" w:rsidRPr="00B17D78">
        <w:t xml:space="preserve">is warranted only where it </w:t>
      </w:r>
      <w:r w:rsidR="002D31EC" w:rsidRPr="00B17D78">
        <w:t>bring</w:t>
      </w:r>
      <w:r w:rsidR="005D7296" w:rsidRPr="00B17D78">
        <w:t>s</w:t>
      </w:r>
      <w:r w:rsidR="002D31EC" w:rsidRPr="00B17D78">
        <w:t xml:space="preserve"> benefits to society that outweigh the costs of the intervention. Making this assessment can be complicated</w:t>
      </w:r>
      <w:r w:rsidR="009F401C" w:rsidRPr="00B17D78">
        <w:t xml:space="preserve"> </w:t>
      </w:r>
      <w:r w:rsidR="0029418F" w:rsidRPr="00B17D78">
        <w:t>due to the long</w:t>
      </w:r>
      <w:r w:rsidR="00B555C8" w:rsidRPr="00B17D78">
        <w:noBreakHyphen/>
      </w:r>
      <w:r w:rsidR="0029418F" w:rsidRPr="00B17D78">
        <w:t>term nature of sustainability issues, inadequate information, changing priorities over time, uncertainty, and confused governance arising from the involvement of different levels of government (PC 199</w:t>
      </w:r>
      <w:r w:rsidR="00790105" w:rsidRPr="00B17D78">
        <w:t>9</w:t>
      </w:r>
      <w:r w:rsidR="0029418F" w:rsidRPr="00B17D78">
        <w:t xml:space="preserve">). </w:t>
      </w:r>
      <w:r w:rsidR="0043539A" w:rsidRPr="00B17D78">
        <w:t xml:space="preserve">Given these conditions, policy options may or may not be able to </w:t>
      </w:r>
      <w:r w:rsidR="0029418F" w:rsidRPr="00B17D78">
        <w:t>improve outcomes for the community as a whole</w:t>
      </w:r>
      <w:r w:rsidR="0043539A" w:rsidRPr="00B17D78">
        <w:t xml:space="preserve"> and will need to be assessed carefully</w:t>
      </w:r>
      <w:r w:rsidR="00812D01" w:rsidRPr="00B17D78">
        <w:t xml:space="preserve"> to ensure that government intervention does not make matters worse</w:t>
      </w:r>
      <w:r w:rsidR="0043539A" w:rsidRPr="00B17D78">
        <w:t>. Moreover, within the context of sustainability, there can often be calls for highly indirect and poorly targeted policies (box</w:t>
      </w:r>
      <w:r w:rsidR="00DC2CDE" w:rsidRPr="00B17D78">
        <w:t> </w:t>
      </w:r>
      <w:r w:rsidR="00BD51C5" w:rsidRPr="00B17D78">
        <w:t>5</w:t>
      </w:r>
      <w:r w:rsidR="0043539A" w:rsidRPr="00B17D78">
        <w:t>).</w:t>
      </w:r>
    </w:p>
    <w:p w:rsidR="00857C05" w:rsidRDefault="0043539A" w:rsidP="00C72536">
      <w:pPr>
        <w:pStyle w:val="BodyText"/>
      </w:pPr>
      <w:r>
        <w:t>T</w:t>
      </w:r>
      <w:r w:rsidR="0029418F" w:rsidRPr="00431786">
        <w:t xml:space="preserve">he most appropriate form of intervention will depend on the underlying </w:t>
      </w:r>
      <w:r>
        <w:t xml:space="preserve">source of </w:t>
      </w:r>
      <w:r w:rsidR="0029418F" w:rsidRPr="00431786">
        <w:t>market failure</w:t>
      </w:r>
      <w:r w:rsidR="0029418F">
        <w:t xml:space="preserve"> and</w:t>
      </w:r>
      <w:r w:rsidR="0029418F" w:rsidRPr="00431786">
        <w:t xml:space="preserve"> </w:t>
      </w:r>
      <w:r w:rsidR="0029418F">
        <w:t xml:space="preserve">an assessment of </w:t>
      </w:r>
      <w:r w:rsidR="0029418F" w:rsidRPr="00431786">
        <w:t>the costs and benefits of th</w:t>
      </w:r>
      <w:r w:rsidR="0029418F">
        <w:t xml:space="preserve">e different policy options. </w:t>
      </w:r>
      <w:r w:rsidR="002A07BB">
        <w:t>T</w:t>
      </w:r>
      <w:r w:rsidR="0029418F" w:rsidRPr="003D2266">
        <w:t xml:space="preserve">he Commission </w:t>
      </w:r>
      <w:r w:rsidR="002A07BB">
        <w:t xml:space="preserve">has generally </w:t>
      </w:r>
      <w:r w:rsidR="0029418F" w:rsidRPr="003D2266">
        <w:t>advocate</w:t>
      </w:r>
      <w:r w:rsidR="002A07BB">
        <w:t>d</w:t>
      </w:r>
      <w:r w:rsidR="0029418F" w:rsidRPr="003D2266">
        <w:t xml:space="preserve"> </w:t>
      </w:r>
      <w:r w:rsidR="00D916D1">
        <w:t xml:space="preserve">targeting </w:t>
      </w:r>
      <w:r w:rsidR="0029418F" w:rsidRPr="003D2266">
        <w:t>polic</w:t>
      </w:r>
      <w:r w:rsidR="00D916D1">
        <w:t>ies</w:t>
      </w:r>
      <w:r w:rsidR="0029418F" w:rsidRPr="003D2266">
        <w:t xml:space="preserve"> </w:t>
      </w:r>
      <w:r w:rsidR="00D916D1">
        <w:t xml:space="preserve">at the source of the problem </w:t>
      </w:r>
      <w:r w:rsidR="0029418F" w:rsidRPr="003D2266">
        <w:t>as th</w:t>
      </w:r>
      <w:r w:rsidR="00D916D1">
        <w:t xml:space="preserve">is will </w:t>
      </w:r>
      <w:r w:rsidR="00F54192">
        <w:t xml:space="preserve">usually </w:t>
      </w:r>
      <w:r w:rsidR="00D916D1">
        <w:t xml:space="preserve">be </w:t>
      </w:r>
      <w:r w:rsidR="0029418F" w:rsidRPr="003D2266">
        <w:t xml:space="preserve">more </w:t>
      </w:r>
      <w:r w:rsidR="0079523A">
        <w:t>efficient</w:t>
      </w:r>
      <w:r w:rsidR="00B555C8">
        <w:t xml:space="preserve"> — f</w:t>
      </w:r>
      <w:r w:rsidR="0029418F" w:rsidRPr="003D2266">
        <w:t>or example, using a</w:t>
      </w:r>
      <w:r w:rsidR="002F73AB">
        <w:t xml:space="preserve"> </w:t>
      </w:r>
      <w:proofErr w:type="spellStart"/>
      <w:r w:rsidR="001543B2">
        <w:t>broad</w:t>
      </w:r>
      <w:r w:rsidR="001543B2">
        <w:noBreakHyphen/>
        <w:t>based</w:t>
      </w:r>
      <w:proofErr w:type="spellEnd"/>
      <w:r w:rsidR="0029418F" w:rsidRPr="003D2266">
        <w:t xml:space="preserve"> cap and trade scheme for greenhouse gas emissions</w:t>
      </w:r>
      <w:r w:rsidR="002B2990">
        <w:t xml:space="preserve"> (</w:t>
      </w:r>
      <w:r w:rsidR="00D916D1">
        <w:t xml:space="preserve">directly </w:t>
      </w:r>
      <w:r w:rsidR="002B2990">
        <w:t xml:space="preserve">internalising the </w:t>
      </w:r>
      <w:r w:rsidR="00D916D1">
        <w:t xml:space="preserve">source of the </w:t>
      </w:r>
      <w:r w:rsidR="002B2990">
        <w:t>externality by pricing it)</w:t>
      </w:r>
      <w:r w:rsidR="00B555C8">
        <w:t xml:space="preserve"> can be a lower</w:t>
      </w:r>
      <w:r w:rsidR="00B555C8">
        <w:noBreakHyphen/>
        <w:t>cost and more effective option</w:t>
      </w:r>
      <w:r w:rsidR="0029418F" w:rsidRPr="003D2266">
        <w:t xml:space="preserve"> than setting </w:t>
      </w:r>
      <w:r w:rsidR="00812D01">
        <w:t>technology</w:t>
      </w:r>
      <w:r w:rsidR="00B328A2">
        <w:noBreakHyphen/>
      </w:r>
      <w:r w:rsidR="00812D01">
        <w:t>specific</w:t>
      </w:r>
      <w:r w:rsidR="002F73AB">
        <w:t xml:space="preserve"> </w:t>
      </w:r>
      <w:r w:rsidR="0029418F" w:rsidRPr="003D2266">
        <w:t>requirements to reduce emissions</w:t>
      </w:r>
      <w:r w:rsidR="0029418F" w:rsidRPr="002F73AB">
        <w:t xml:space="preserve"> (PC </w:t>
      </w:r>
      <w:proofErr w:type="spellStart"/>
      <w:r w:rsidR="0029418F" w:rsidRPr="002F73AB">
        <w:t>2011</w:t>
      </w:r>
      <w:r w:rsidR="00DC3F51">
        <w:t>b</w:t>
      </w:r>
      <w:proofErr w:type="spellEnd"/>
      <w:r w:rsidR="0029418F" w:rsidRPr="002F73AB">
        <w:t>).</w:t>
      </w:r>
    </w:p>
    <w:p w:rsidR="0029418F" w:rsidRPr="00B17D78" w:rsidRDefault="005A33C8" w:rsidP="00C72536">
      <w:pPr>
        <w:pStyle w:val="BodyText"/>
      </w:pPr>
      <w:r w:rsidRPr="00B17D78">
        <w:t>Market</w:t>
      </w:r>
      <w:r w:rsidRPr="00B17D78">
        <w:noBreakHyphen/>
        <w:t xml:space="preserve">based approaches will often be the most efficient means of addressing </w:t>
      </w:r>
      <w:r w:rsidR="00857C05" w:rsidRPr="00B17D78">
        <w:t>a market failure. Th</w:t>
      </w:r>
      <w:r w:rsidR="008F233B" w:rsidRPr="00B17D78">
        <w:t>ese</w:t>
      </w:r>
      <w:r w:rsidR="00857C05" w:rsidRPr="00B17D78">
        <w:t xml:space="preserve"> involve </w:t>
      </w:r>
      <w:r w:rsidR="002B2990" w:rsidRPr="00B17D78">
        <w:t>creating</w:t>
      </w:r>
      <w:r w:rsidR="00857C05" w:rsidRPr="00B17D78">
        <w:t xml:space="preserve"> financial incentives to direct resources to the areas where they are most highly valued</w:t>
      </w:r>
      <w:r w:rsidR="00FE1E35" w:rsidRPr="00B17D78">
        <w:t xml:space="preserve"> </w:t>
      </w:r>
      <w:r w:rsidR="0003594C" w:rsidRPr="00B17D78">
        <w:t>by</w:t>
      </w:r>
      <w:r w:rsidR="000975C8" w:rsidRPr="00B17D78">
        <w:t xml:space="preserve"> putting prices on environmental outcomes </w:t>
      </w:r>
      <w:r w:rsidR="002D6EEC" w:rsidRPr="00B17D78">
        <w:t xml:space="preserve">— either </w:t>
      </w:r>
      <w:r w:rsidR="0003594C" w:rsidRPr="00B17D78">
        <w:t>through market creation (</w:t>
      </w:r>
      <w:r w:rsidR="00F54192" w:rsidRPr="00B17D78">
        <w:t>for example,</w:t>
      </w:r>
      <w:r w:rsidR="0003594C" w:rsidRPr="00B17D78">
        <w:t xml:space="preserve"> tradeable </w:t>
      </w:r>
      <w:r w:rsidR="00F54192" w:rsidRPr="00B17D78">
        <w:t xml:space="preserve">emissions </w:t>
      </w:r>
      <w:r w:rsidR="0003594C" w:rsidRPr="00B17D78">
        <w:t xml:space="preserve">permits), or by </w:t>
      </w:r>
      <w:r w:rsidR="000975C8" w:rsidRPr="00B17D78">
        <w:t xml:space="preserve">using </w:t>
      </w:r>
      <w:r w:rsidR="00FE1E35" w:rsidRPr="00B17D78">
        <w:t>taxes or subsidies</w:t>
      </w:r>
      <w:r w:rsidR="00857C05" w:rsidRPr="00B17D78">
        <w:t xml:space="preserve">. </w:t>
      </w:r>
      <w:r w:rsidRPr="00B17D78">
        <w:t>I</w:t>
      </w:r>
      <w:r w:rsidR="00BA50C7" w:rsidRPr="00B17D78">
        <w:t xml:space="preserve">t may not always be possible to use </w:t>
      </w:r>
      <w:r w:rsidR="00D916D1" w:rsidRPr="00B17D78">
        <w:t xml:space="preserve">an explicit </w:t>
      </w:r>
      <w:r w:rsidR="00325EF0" w:rsidRPr="00B17D78">
        <w:t>market</w:t>
      </w:r>
      <w:r w:rsidR="00325EF0" w:rsidRPr="00B17D78">
        <w:noBreakHyphen/>
        <w:t>based approach</w:t>
      </w:r>
      <w:r w:rsidR="00BA50C7" w:rsidRPr="00B17D78">
        <w:t xml:space="preserve"> to address market failures</w:t>
      </w:r>
      <w:r w:rsidR="00404151" w:rsidRPr="00B17D78">
        <w:t xml:space="preserve"> where property rights are difficult to define or enforce, or where outcomes are difficult to measure</w:t>
      </w:r>
      <w:r w:rsidR="00BA50C7" w:rsidRPr="00B17D78">
        <w:t xml:space="preserve">. </w:t>
      </w:r>
      <w:r w:rsidR="00F36E14" w:rsidRPr="00B17D78">
        <w:t>For example,</w:t>
      </w:r>
      <w:r w:rsidR="00B6592F" w:rsidRPr="00B17D78">
        <w:t xml:space="preserve"> some</w:t>
      </w:r>
      <w:r w:rsidR="00F36E14" w:rsidRPr="00B17D78">
        <w:t xml:space="preserve"> </w:t>
      </w:r>
      <w:r w:rsidR="005F79A8" w:rsidRPr="00B17D78">
        <w:t xml:space="preserve">ecosystem services cannot be traded in markets because ownership </w:t>
      </w:r>
      <w:r w:rsidR="00B6592F" w:rsidRPr="00B17D78">
        <w:t xml:space="preserve">of the ecosystem service </w:t>
      </w:r>
      <w:r w:rsidR="005F79A8" w:rsidRPr="00B17D78">
        <w:t xml:space="preserve">cannot be </w:t>
      </w:r>
      <w:r w:rsidRPr="00B17D78">
        <w:t xml:space="preserve">defined or </w:t>
      </w:r>
      <w:r w:rsidR="005F79A8" w:rsidRPr="00B17D78">
        <w:t>enforced</w:t>
      </w:r>
      <w:r w:rsidR="00E50B02" w:rsidRPr="00B17D78">
        <w:t xml:space="preserve"> (Murtough, Aretino and </w:t>
      </w:r>
      <w:proofErr w:type="spellStart"/>
      <w:r w:rsidR="00E50B02" w:rsidRPr="00B17D78">
        <w:t>Matysek</w:t>
      </w:r>
      <w:proofErr w:type="spellEnd"/>
      <w:r w:rsidR="00E50B02" w:rsidRPr="00B17D78">
        <w:t xml:space="preserve"> 2002)</w:t>
      </w:r>
      <w:r w:rsidR="00857C05" w:rsidRPr="00B17D78">
        <w:t xml:space="preserve">. </w:t>
      </w:r>
      <w:r w:rsidRPr="00B17D78">
        <w:t>In these circumstances</w:t>
      </w:r>
      <w:r w:rsidR="00857C05" w:rsidRPr="00B17D78">
        <w:t>,</w:t>
      </w:r>
      <w:r w:rsidRPr="00B17D78">
        <w:t xml:space="preserve"> </w:t>
      </w:r>
      <w:r w:rsidR="000975C8" w:rsidRPr="00B17D78">
        <w:t xml:space="preserve">direct </w:t>
      </w:r>
      <w:r w:rsidRPr="00B17D78">
        <w:t>regulatory approaches</w:t>
      </w:r>
      <w:r w:rsidR="00FE1E35" w:rsidRPr="00B17D78">
        <w:t xml:space="preserve"> </w:t>
      </w:r>
      <w:r w:rsidRPr="00B17D78">
        <w:t>may be more appropriate</w:t>
      </w:r>
      <w:r w:rsidR="00D916D1" w:rsidRPr="00B17D78">
        <w:t xml:space="preserve">, effectively imposing </w:t>
      </w:r>
      <w:r w:rsidR="000B7055" w:rsidRPr="00B17D78">
        <w:t>an ‘implicit’ price on the relevant resource</w:t>
      </w:r>
      <w:r w:rsidRPr="00B17D78">
        <w:t>.</w:t>
      </w:r>
    </w:p>
    <w:p w:rsidR="00431786" w:rsidRDefault="00431786">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431786">
        <w:tc>
          <w:tcPr>
            <w:tcW w:w="8771" w:type="dxa"/>
            <w:tcBorders>
              <w:top w:val="single" w:sz="6" w:space="0" w:color="auto"/>
              <w:bottom w:val="nil"/>
            </w:tcBorders>
          </w:tcPr>
          <w:p w:rsidR="00431786" w:rsidRDefault="00431786" w:rsidP="00CF1686">
            <w:pPr>
              <w:pStyle w:val="BoxTitle"/>
            </w:pPr>
            <w:r>
              <w:rPr>
                <w:b w:val="0"/>
              </w:rPr>
              <w:t xml:space="preserve">Box </w:t>
            </w:r>
            <w:bookmarkStart w:id="11" w:name="OLE_LINK3"/>
            <w:r w:rsidR="00811B50">
              <w:rPr>
                <w:b w:val="0"/>
                <w:noProof/>
              </w:rPr>
              <w:t>5</w:t>
            </w:r>
            <w:bookmarkEnd w:id="11"/>
            <w:r>
              <w:tab/>
              <w:t>Policy prescriptions in waste management</w:t>
            </w:r>
          </w:p>
        </w:tc>
      </w:tr>
      <w:tr w:rsidR="00431786">
        <w:trPr>
          <w:cantSplit/>
        </w:trPr>
        <w:tc>
          <w:tcPr>
            <w:tcW w:w="8771" w:type="dxa"/>
            <w:tcBorders>
              <w:top w:val="nil"/>
              <w:left w:val="single" w:sz="6" w:space="0" w:color="auto"/>
              <w:bottom w:val="nil"/>
              <w:right w:val="single" w:sz="6" w:space="0" w:color="auto"/>
            </w:tcBorders>
          </w:tcPr>
          <w:p w:rsidR="00F86EF4" w:rsidRDefault="00431786" w:rsidP="00431786">
            <w:pPr>
              <w:pStyle w:val="Box"/>
            </w:pPr>
            <w:r>
              <w:t xml:space="preserve">Some participants in the </w:t>
            </w:r>
            <w:r w:rsidR="002A07BB">
              <w:t xml:space="preserve">Productivity </w:t>
            </w:r>
            <w:r>
              <w:t xml:space="preserve">Commission’s </w:t>
            </w:r>
            <w:r w:rsidR="002A07BB">
              <w:t xml:space="preserve">2006 </w:t>
            </w:r>
            <w:r>
              <w:t>inquiry into w</w:t>
            </w:r>
            <w:r w:rsidRPr="00B37E81">
              <w:t xml:space="preserve">aste management </w:t>
            </w:r>
            <w:r>
              <w:t>argued for</w:t>
            </w:r>
            <w:r w:rsidR="008719BF">
              <w:t xml:space="preserve"> reductions in </w:t>
            </w:r>
            <w:r w:rsidR="0075661D">
              <w:t>waste</w:t>
            </w:r>
            <w:r w:rsidR="009B10FF">
              <w:t>,</w:t>
            </w:r>
            <w:r w:rsidR="005D4B05">
              <w:t xml:space="preserve"> through policies such as recycling subsidies and landfill levies,</w:t>
            </w:r>
            <w:r w:rsidR="0075661D">
              <w:t xml:space="preserve"> on the basis that current consumption is unsustainable and that this is reflected in excessive waste. </w:t>
            </w:r>
            <w:r w:rsidR="005D4B05">
              <w:t>T</w:t>
            </w:r>
            <w:r w:rsidR="00F86EF4">
              <w:t>wo issues underl</w:t>
            </w:r>
            <w:r w:rsidR="00AF6E81">
              <w:t>y</w:t>
            </w:r>
            <w:r w:rsidR="00F86EF4">
              <w:t>i</w:t>
            </w:r>
            <w:r w:rsidR="00B555C8">
              <w:t>ng</w:t>
            </w:r>
            <w:r w:rsidR="00F86EF4">
              <w:t xml:space="preserve"> these concerns</w:t>
            </w:r>
            <w:r w:rsidR="00B555C8">
              <w:t xml:space="preserve"> are the:</w:t>
            </w:r>
          </w:p>
          <w:p w:rsidR="00F86EF4" w:rsidRPr="006B3599" w:rsidRDefault="005D4B05" w:rsidP="006B3599">
            <w:pPr>
              <w:pStyle w:val="BoxListBullet"/>
            </w:pPr>
            <w:r w:rsidRPr="006B3599">
              <w:t>depletion of natural resources</w:t>
            </w:r>
            <w:r w:rsidR="00371AEF" w:rsidRPr="006B3599">
              <w:t>. F</w:t>
            </w:r>
            <w:r w:rsidR="00F86EF4" w:rsidRPr="006B3599">
              <w:t>or example, some materials present in waste and recycling streams are non</w:t>
            </w:r>
            <w:r w:rsidR="00B328A2" w:rsidRPr="006B3599">
              <w:noBreakHyphen/>
            </w:r>
            <w:r w:rsidR="00F86EF4" w:rsidRPr="006B3599">
              <w:t xml:space="preserve">renewable, such as aluminium cans produced from bauxite. The depletion of these resources </w:t>
            </w:r>
            <w:r w:rsidR="00B555C8" w:rsidRPr="006B3599">
              <w:t xml:space="preserve">may </w:t>
            </w:r>
            <w:r w:rsidR="00F86EF4" w:rsidRPr="006B3599">
              <w:t xml:space="preserve">raise sustainability </w:t>
            </w:r>
            <w:r w:rsidR="00B555C8" w:rsidRPr="006B3599">
              <w:t xml:space="preserve">concerns </w:t>
            </w:r>
            <w:r w:rsidR="00F86EF4" w:rsidRPr="006B3599">
              <w:t>as</w:t>
            </w:r>
            <w:r w:rsidR="00D91D0D" w:rsidRPr="006B3599">
              <w:t xml:space="preserve"> their use reduces the stock of resources available for future generations</w:t>
            </w:r>
            <w:r w:rsidR="00230823">
              <w:t>.</w:t>
            </w:r>
            <w:r w:rsidR="00136F0D">
              <w:t>\</w:t>
            </w:r>
          </w:p>
          <w:p w:rsidR="008719BF" w:rsidRPr="0030594A" w:rsidRDefault="00F86EF4">
            <w:pPr>
              <w:pStyle w:val="BoxListBullet"/>
            </w:pPr>
            <w:r w:rsidRPr="006B3599">
              <w:t>environmental impact of mining, forestry, processing and manufacturing</w:t>
            </w:r>
            <w:r w:rsidR="00D91D0D" w:rsidRPr="006B3599">
              <w:t xml:space="preserve"> (that occur </w:t>
            </w:r>
            <w:r w:rsidR="009B10FF" w:rsidRPr="006B3599">
              <w:t xml:space="preserve">prior to </w:t>
            </w:r>
            <w:r w:rsidR="00D91D0D" w:rsidRPr="006B3599">
              <w:t>the point at which material becomes waste)</w:t>
            </w:r>
            <w:r w:rsidRPr="006B3599">
              <w:t>. The link with waste is that some of these impacts might be avoided if less waste were generate</w:t>
            </w:r>
            <w:r w:rsidR="000569FB" w:rsidRPr="006B3599">
              <w:t>d</w:t>
            </w:r>
            <w:r w:rsidRPr="006B3599">
              <w:t xml:space="preserve"> and more recycling undertaken.</w:t>
            </w:r>
          </w:p>
          <w:p w:rsidR="00431786" w:rsidRDefault="00D91D0D" w:rsidP="00431786">
            <w:pPr>
              <w:pStyle w:val="Box"/>
            </w:pPr>
            <w:r>
              <w:t>In response to these concerns, t</w:t>
            </w:r>
            <w:r w:rsidR="00431786">
              <w:t>he Commission argued</w:t>
            </w:r>
            <w:r>
              <w:t xml:space="preserve"> that</w:t>
            </w:r>
            <w:r w:rsidR="00431786">
              <w:t>:</w:t>
            </w:r>
          </w:p>
          <w:p w:rsidR="00431786" w:rsidRDefault="00F86EF4" w:rsidP="00431786">
            <w:pPr>
              <w:pStyle w:val="BoxQuote"/>
            </w:pPr>
            <w:r>
              <w:t xml:space="preserve">The environmental impacts of resource extraction, processing and manufacturing, raise more significant sustainability concerns than the depletion of material resources. However, waste management policies are an indirect, imprecise and generally ineffective means of addressing these issues. Direct policy intervention is </w:t>
            </w:r>
            <w:r w:rsidR="00A438AC">
              <w:t xml:space="preserve">strongly </w:t>
            </w:r>
            <w:r>
              <w:t>preferred</w:t>
            </w:r>
            <w:r w:rsidR="00431786">
              <w:t>.</w:t>
            </w:r>
            <w:r w:rsidR="0067402B">
              <w:t xml:space="preserve"> (PC 2006, p.</w:t>
            </w:r>
            <w:r w:rsidR="00B328A2">
              <w:t> </w:t>
            </w:r>
            <w:r w:rsidR="0067402B">
              <w:t>114)</w:t>
            </w:r>
          </w:p>
          <w:p w:rsidR="00431786" w:rsidRDefault="00D91D0D" w:rsidP="0077057B">
            <w:pPr>
              <w:pStyle w:val="Box"/>
            </w:pPr>
            <w:r>
              <w:t xml:space="preserve">Regarding resource depletion, the Commission noted that scarcity is reflected in high world resource prices, which </w:t>
            </w:r>
            <w:r w:rsidR="00290057">
              <w:t xml:space="preserve">make recycling more attractive and </w:t>
            </w:r>
            <w:r>
              <w:t>encourage</w:t>
            </w:r>
            <w:r w:rsidR="00414A39">
              <w:t xml:space="preserve"> substitution</w:t>
            </w:r>
            <w:r w:rsidR="004857CF">
              <w:t xml:space="preserve"> to other materials,</w:t>
            </w:r>
            <w:r w:rsidR="00414A39">
              <w:t xml:space="preserve"> </w:t>
            </w:r>
            <w:r>
              <w:t>exploration for new supplies</w:t>
            </w:r>
            <w:r w:rsidR="004857CF">
              <w:t>,</w:t>
            </w:r>
            <w:r w:rsidR="00414A39">
              <w:t xml:space="preserve"> and more economical use. If it were decided that some government action to slow the rate of extraction of resources was required on sustainability grounds, the most direct means available would be to use natural resource policy,</w:t>
            </w:r>
            <w:r w:rsidR="00B555C8">
              <w:t xml:space="preserve"> such as</w:t>
            </w:r>
            <w:r w:rsidR="00414A39">
              <w:t xml:space="preserve"> taxes or quantitative restrictions on the extraction of non</w:t>
            </w:r>
            <w:r w:rsidR="00B328A2">
              <w:noBreakHyphen/>
            </w:r>
            <w:r w:rsidR="00414A39">
              <w:t>renewable resources.</w:t>
            </w:r>
          </w:p>
        </w:tc>
      </w:tr>
      <w:tr w:rsidR="00431786">
        <w:trPr>
          <w:cantSplit/>
        </w:trPr>
        <w:tc>
          <w:tcPr>
            <w:tcW w:w="8771" w:type="dxa"/>
            <w:tcBorders>
              <w:top w:val="nil"/>
              <w:left w:val="single" w:sz="6" w:space="0" w:color="auto"/>
              <w:bottom w:val="nil"/>
              <w:right w:val="single" w:sz="6" w:space="0" w:color="auto"/>
            </w:tcBorders>
          </w:tcPr>
          <w:p w:rsidR="00431786" w:rsidRDefault="00431786" w:rsidP="009C655B">
            <w:pPr>
              <w:pStyle w:val="BoxSource"/>
            </w:pPr>
            <w:r>
              <w:rPr>
                <w:i/>
              </w:rPr>
              <w:t>Source</w:t>
            </w:r>
            <w:r w:rsidRPr="00167F06">
              <w:t xml:space="preserve">: </w:t>
            </w:r>
            <w:r>
              <w:t xml:space="preserve">PC </w:t>
            </w:r>
            <w:r w:rsidR="00B555C8">
              <w:t>(</w:t>
            </w:r>
            <w:r>
              <w:t>2006</w:t>
            </w:r>
            <w:r w:rsidR="00B555C8">
              <w:t>)</w:t>
            </w:r>
            <w:r w:rsidR="00035FC4">
              <w:t>.</w:t>
            </w:r>
          </w:p>
        </w:tc>
      </w:tr>
      <w:tr w:rsidR="00431786">
        <w:trPr>
          <w:cantSplit/>
        </w:trPr>
        <w:tc>
          <w:tcPr>
            <w:tcW w:w="8771" w:type="dxa"/>
            <w:tcBorders>
              <w:top w:val="nil"/>
              <w:left w:val="single" w:sz="6" w:space="0" w:color="auto"/>
              <w:bottom w:val="single" w:sz="6" w:space="0" w:color="auto"/>
              <w:right w:val="single" w:sz="6" w:space="0" w:color="auto"/>
            </w:tcBorders>
          </w:tcPr>
          <w:p w:rsidR="00431786" w:rsidRDefault="00431786">
            <w:pPr>
              <w:pStyle w:val="Box"/>
              <w:spacing w:before="0" w:line="120" w:lineRule="exact"/>
            </w:pPr>
          </w:p>
        </w:tc>
      </w:tr>
      <w:tr w:rsidR="00431786">
        <w:tc>
          <w:tcPr>
            <w:tcW w:w="8771" w:type="dxa"/>
            <w:tcBorders>
              <w:top w:val="nil"/>
              <w:left w:val="nil"/>
              <w:bottom w:val="nil"/>
              <w:right w:val="nil"/>
            </w:tcBorders>
          </w:tcPr>
          <w:p w:rsidR="00431786" w:rsidRDefault="00431786">
            <w:pPr>
              <w:pStyle w:val="Box"/>
              <w:keepNext w:val="0"/>
              <w:spacing w:before="60" w:after="60" w:line="80" w:lineRule="exact"/>
              <w:rPr>
                <w:b/>
                <w:color w:val="FF00FF"/>
                <w:sz w:val="14"/>
              </w:rPr>
            </w:pPr>
          </w:p>
        </w:tc>
      </w:tr>
    </w:tbl>
    <w:p w:rsidR="00164095" w:rsidRDefault="00164095" w:rsidP="00164095">
      <w:pPr>
        <w:pStyle w:val="Heading4"/>
      </w:pPr>
      <w:r>
        <w:t>Assessing policy options</w:t>
      </w:r>
    </w:p>
    <w:p w:rsidR="00164095" w:rsidRPr="00B17D78" w:rsidRDefault="00164095" w:rsidP="00C72536">
      <w:pPr>
        <w:pStyle w:val="BodyText"/>
      </w:pPr>
      <w:r w:rsidRPr="00B17D78">
        <w:t>In assessing the merits of different policy options, the Commission has consistently promoted the use of a cost</w:t>
      </w:r>
      <w:r w:rsidR="00A42E76">
        <w:noBreakHyphen/>
      </w:r>
      <w:r w:rsidRPr="00B17D78">
        <w:t>benefit framework (with the objective of achieving the greatest net benefit for the community). Cost</w:t>
      </w:r>
      <w:r w:rsidR="00E91B05" w:rsidRPr="00B17D78">
        <w:t>–</w:t>
      </w:r>
      <w:r w:rsidRPr="00B17D78">
        <w:t xml:space="preserve">benefit assessment provides a means for identifying and evaluating </w:t>
      </w:r>
      <w:r w:rsidR="0003594C" w:rsidRPr="00B17D78">
        <w:t xml:space="preserve">the </w:t>
      </w:r>
      <w:r w:rsidRPr="00B17D78">
        <w:t>trade</w:t>
      </w:r>
      <w:r w:rsidR="00A42E76">
        <w:noBreakHyphen/>
      </w:r>
      <w:r w:rsidRPr="00B17D78">
        <w:t xml:space="preserve">offs </w:t>
      </w:r>
      <w:r w:rsidR="0003594C" w:rsidRPr="00B17D78">
        <w:t xml:space="preserve">in </w:t>
      </w:r>
      <w:r w:rsidRPr="00B17D78">
        <w:t xml:space="preserve">policy options in a way that produces the best overall outcomes for the community. </w:t>
      </w:r>
      <w:r w:rsidR="00D916D1" w:rsidRPr="00B17D78">
        <w:t xml:space="preserve">It </w:t>
      </w:r>
      <w:r w:rsidRPr="00B17D78">
        <w:t xml:space="preserve">should </w:t>
      </w:r>
      <w:r w:rsidR="00D916D1" w:rsidRPr="00B17D78">
        <w:t xml:space="preserve">encompass </w:t>
      </w:r>
      <w:r w:rsidRPr="00B17D78">
        <w:t>consideration of economic, environmental</w:t>
      </w:r>
      <w:r w:rsidR="004572CF" w:rsidRPr="00B17D78">
        <w:t>,</w:t>
      </w:r>
      <w:r w:rsidRPr="00B17D78">
        <w:t xml:space="preserve"> and social costs and benefits, </w:t>
      </w:r>
      <w:r w:rsidR="0003594C" w:rsidRPr="00B17D78">
        <w:t>and the distributional</w:t>
      </w:r>
      <w:r w:rsidRPr="00B17D78">
        <w:t xml:space="preserve"> implications of policy options, </w:t>
      </w:r>
      <w:r w:rsidR="0003594C" w:rsidRPr="00B17D78">
        <w:t xml:space="preserve">both </w:t>
      </w:r>
      <w:r w:rsidR="004572CF" w:rsidRPr="00B17D78">
        <w:t>for the current generation</w:t>
      </w:r>
      <w:r w:rsidR="0003594C" w:rsidRPr="00B17D78">
        <w:t xml:space="preserve"> and</w:t>
      </w:r>
      <w:r w:rsidRPr="00B17D78">
        <w:t xml:space="preserve"> over time. </w:t>
      </w:r>
      <w:r w:rsidR="004572CF" w:rsidRPr="00B17D78">
        <w:br/>
      </w:r>
      <w:r w:rsidRPr="00B17D78">
        <w:t>Cost</w:t>
      </w:r>
      <w:r w:rsidR="004572CF" w:rsidRPr="00B17D78">
        <w:t>–</w:t>
      </w:r>
      <w:r w:rsidRPr="00B17D78">
        <w:t xml:space="preserve">benefit analysis </w:t>
      </w:r>
      <w:r w:rsidR="00D916D1" w:rsidRPr="00B17D78">
        <w:t xml:space="preserve">can </w:t>
      </w:r>
      <w:r w:rsidR="004572CF" w:rsidRPr="00B17D78">
        <w:t xml:space="preserve">therefore </w:t>
      </w:r>
      <w:r w:rsidRPr="00B17D78">
        <w:t>provide a good guide to identifying whether a policy option is consistent with the objective of sustainability (PC 1999, 2006).</w:t>
      </w:r>
    </w:p>
    <w:p w:rsidR="00164095" w:rsidRPr="00B17D78" w:rsidRDefault="00164095" w:rsidP="00C72536">
      <w:pPr>
        <w:pStyle w:val="BodyText"/>
      </w:pPr>
      <w:r w:rsidRPr="00B17D78">
        <w:lastRenderedPageBreak/>
        <w:t>Despite broad acceptance of cost</w:t>
      </w:r>
      <w:r w:rsidR="00E91B05" w:rsidRPr="00B17D78">
        <w:t>–</w:t>
      </w:r>
      <w:r w:rsidRPr="00B17D78">
        <w:t>benefit analysis as a decision</w:t>
      </w:r>
      <w:r w:rsidR="006B3599" w:rsidRPr="00B17D78">
        <w:noBreakHyphen/>
      </w:r>
      <w:r w:rsidRPr="00B17D78">
        <w:t>making tool, it is rarely easy to quantify all the costs and benefits</w:t>
      </w:r>
      <w:r w:rsidR="000951DB" w:rsidRPr="00B17D78">
        <w:t xml:space="preserve"> of policy options</w:t>
      </w:r>
      <w:r w:rsidRPr="00B17D78">
        <w:t>, especially where non</w:t>
      </w:r>
      <w:r w:rsidR="00B328A2" w:rsidRPr="00B17D78">
        <w:noBreakHyphen/>
      </w:r>
      <w:r w:rsidRPr="00B17D78">
        <w:t>market outcomes are involved. The challenge is even greater in a sustainability context, particularly when assessing environmental policies when there is uncertainty about the outcomes from complex physical systems. Assigning values to environmental outcomes and other non</w:t>
      </w:r>
      <w:r w:rsidR="00B328A2" w:rsidRPr="00B17D78">
        <w:noBreakHyphen/>
      </w:r>
      <w:r w:rsidRPr="00B17D78">
        <w:t xml:space="preserve">market outcomes that affect wellbeing, particularly social dimensions, is also problematic. While tools have been developed that can provide </w:t>
      </w:r>
      <w:r w:rsidR="00246427" w:rsidRPr="00B17D78">
        <w:t>an indication of these values</w:t>
      </w:r>
      <w:r w:rsidRPr="00B17D78">
        <w:t>, such as stated preference and revealed preference techniques (</w:t>
      </w:r>
      <w:r w:rsidR="000511A8" w:rsidRPr="00B17D78">
        <w:t xml:space="preserve">PC </w:t>
      </w:r>
      <w:proofErr w:type="spellStart"/>
      <w:r w:rsidRPr="00B17D78">
        <w:t>2011</w:t>
      </w:r>
      <w:r w:rsidR="00DC3F51" w:rsidRPr="00B17D78">
        <w:t>c</w:t>
      </w:r>
      <w:proofErr w:type="spellEnd"/>
      <w:r w:rsidRPr="00B17D78">
        <w:t>), valuations tend to be context dependent, and the cost of undertaking such studies can limit their application.</w:t>
      </w:r>
    </w:p>
    <w:p w:rsidR="00164095" w:rsidRPr="00B17D78" w:rsidRDefault="00164095" w:rsidP="00C72536">
      <w:pPr>
        <w:pStyle w:val="BodyText"/>
      </w:pPr>
      <w:r w:rsidRPr="00B17D78">
        <w:t>There are also difficulties in incorporating values for costs and benefits that extend far into the future, especially where there is considerable uncertainty regarding outcomes and values. Thus, addressing the uncertainty of what the future will bring is a key challenge in undertaking cost</w:t>
      </w:r>
      <w:r w:rsidR="00875D5D" w:rsidRPr="00B17D78">
        <w:t>–</w:t>
      </w:r>
      <w:r w:rsidRPr="00B17D78">
        <w:t>benefit analysis</w:t>
      </w:r>
      <w:r w:rsidR="0003594C" w:rsidRPr="00B17D78">
        <w:t xml:space="preserve"> of policy options that have long</w:t>
      </w:r>
      <w:r w:rsidR="006E6C0C" w:rsidRPr="00B17D78">
        <w:noBreakHyphen/>
      </w:r>
      <w:r w:rsidR="004324D8" w:rsidRPr="00B17D78">
        <w:t>term impacts</w:t>
      </w:r>
      <w:r w:rsidRPr="00B17D78">
        <w:t>.</w:t>
      </w:r>
    </w:p>
    <w:p w:rsidR="00164095" w:rsidRPr="00FA0757" w:rsidRDefault="00164095" w:rsidP="00164095">
      <w:pPr>
        <w:pStyle w:val="Heading4"/>
      </w:pPr>
      <w:r>
        <w:t xml:space="preserve">Dealing with uncertainty </w:t>
      </w:r>
    </w:p>
    <w:p w:rsidR="00164095" w:rsidRPr="00B17D78" w:rsidRDefault="00164095" w:rsidP="00C72536">
      <w:pPr>
        <w:pStyle w:val="BodyText"/>
      </w:pPr>
      <w:r w:rsidRPr="00B17D78">
        <w:t>Sustainability considerations involve a number of uncertainties. There is uncertainty about the nature of ecological processes, especially those that are subject to irreversibility. There is also uncertainty about the preferences of future generations and future technological advancement that may reduce (or exacerbate) the effects of current environmental problems or provide additional consumption opportunities. Unlike risk, which can be managed within conventional cost</w:t>
      </w:r>
      <w:r w:rsidR="00875D5D" w:rsidRPr="00B17D78">
        <w:t>–</w:t>
      </w:r>
      <w:r w:rsidRPr="00B17D78">
        <w:t>benefit frameworks</w:t>
      </w:r>
      <w:r w:rsidR="004324D8" w:rsidRPr="00B17D78">
        <w:t xml:space="preserve"> </w:t>
      </w:r>
      <w:r w:rsidR="009A3C1B" w:rsidRPr="00B17D78">
        <w:t>(</w:t>
      </w:r>
      <w:r w:rsidR="004324D8" w:rsidRPr="00B17D78">
        <w:t>by using the distribution of expected values</w:t>
      </w:r>
      <w:r w:rsidR="009A3C1B" w:rsidRPr="00B17D78">
        <w:t>)</w:t>
      </w:r>
      <w:r w:rsidR="006E6C0C" w:rsidRPr="00B17D78">
        <w:t>,</w:t>
      </w:r>
      <w:r w:rsidRPr="00B17D78">
        <w:t xml:space="preserve"> uncertainty is more problematic as the information required for decision making does not exist or is inconclusive. Consequently, objective probabilities cannot be assigned</w:t>
      </w:r>
      <w:r w:rsidR="004324D8" w:rsidRPr="00B17D78">
        <w:t>.</w:t>
      </w:r>
      <w:r w:rsidRPr="00B17D78">
        <w:t xml:space="preserve"> Despite this, there are various methods for considering uncertainty within cost</w:t>
      </w:r>
      <w:r w:rsidR="00875D5D" w:rsidRPr="00B17D78">
        <w:t>–</w:t>
      </w:r>
      <w:r w:rsidRPr="00B17D78">
        <w:t xml:space="preserve">benefit frameworks. </w:t>
      </w:r>
      <w:r w:rsidR="004324D8" w:rsidRPr="00B17D78">
        <w:t xml:space="preserve">Empirical approaches </w:t>
      </w:r>
      <w:r w:rsidRPr="00B17D78">
        <w:t>include options valuation, conversion of uncertainties into subjective risks</w:t>
      </w:r>
      <w:r w:rsidR="004324D8" w:rsidRPr="00B17D78">
        <w:t xml:space="preserve"> (certainty equivalents)</w:t>
      </w:r>
      <w:r w:rsidRPr="00B17D78">
        <w:t>, and sensitivity and scenario analysis</w:t>
      </w:r>
      <w:r w:rsidR="006E6C0C" w:rsidRPr="00B17D78">
        <w:t>.</w:t>
      </w:r>
      <w:r w:rsidRPr="00B17D78">
        <w:t xml:space="preserve"> </w:t>
      </w:r>
      <w:r w:rsidR="0067402B" w:rsidRPr="00B17D78">
        <w:t>P</w:t>
      </w:r>
      <w:r w:rsidR="004324D8" w:rsidRPr="00B17D78">
        <w:t xml:space="preserve">recautionary </w:t>
      </w:r>
      <w:r w:rsidR="0067402B" w:rsidRPr="00B17D78">
        <w:t xml:space="preserve">approaches, such as </w:t>
      </w:r>
      <w:r w:rsidR="004324D8" w:rsidRPr="00B17D78">
        <w:t>minimum standards, can also be applied where there is considerable uncertainty</w:t>
      </w:r>
      <w:r w:rsidR="00B04286" w:rsidRPr="00B17D78">
        <w:t xml:space="preserve"> and high </w:t>
      </w:r>
      <w:r w:rsidR="002A07BB" w:rsidRPr="00B17D78">
        <w:t>costs associated with failure</w:t>
      </w:r>
      <w:r w:rsidR="004324D8" w:rsidRPr="00B17D78">
        <w:t xml:space="preserve"> (box</w:t>
      </w:r>
      <w:r w:rsidR="00DC2CDE" w:rsidRPr="00B17D78">
        <w:t> </w:t>
      </w:r>
      <w:r w:rsidR="006E6C0C" w:rsidRPr="00B17D78">
        <w:t>6</w:t>
      </w:r>
      <w:r w:rsidR="004324D8" w:rsidRPr="00B17D78">
        <w:t>).</w:t>
      </w:r>
    </w:p>
    <w:p w:rsidR="00164095" w:rsidRDefault="00164095" w:rsidP="0016409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4095" w:rsidTr="0060037C">
        <w:tc>
          <w:tcPr>
            <w:tcW w:w="8771" w:type="dxa"/>
            <w:tcBorders>
              <w:top w:val="single" w:sz="6" w:space="0" w:color="auto"/>
              <w:bottom w:val="nil"/>
            </w:tcBorders>
          </w:tcPr>
          <w:p w:rsidR="00164095" w:rsidRDefault="00164095" w:rsidP="00CF1686">
            <w:pPr>
              <w:pStyle w:val="BoxTitle"/>
            </w:pPr>
            <w:r>
              <w:rPr>
                <w:b w:val="0"/>
              </w:rPr>
              <w:t xml:space="preserve">Box </w:t>
            </w:r>
            <w:bookmarkStart w:id="12" w:name="OLE_LINK4"/>
            <w:r w:rsidR="00811B50">
              <w:rPr>
                <w:b w:val="0"/>
                <w:noProof/>
              </w:rPr>
              <w:t>6</w:t>
            </w:r>
            <w:bookmarkEnd w:id="12"/>
            <w:r>
              <w:tab/>
              <w:t xml:space="preserve">Approaches to dealing with uncertainty </w:t>
            </w:r>
          </w:p>
        </w:tc>
      </w:tr>
      <w:tr w:rsidR="00164095" w:rsidTr="0060037C">
        <w:trPr>
          <w:cantSplit/>
        </w:trPr>
        <w:tc>
          <w:tcPr>
            <w:tcW w:w="8771" w:type="dxa"/>
            <w:tcBorders>
              <w:top w:val="nil"/>
              <w:left w:val="single" w:sz="6" w:space="0" w:color="auto"/>
              <w:bottom w:val="nil"/>
              <w:right w:val="single" w:sz="6" w:space="0" w:color="auto"/>
            </w:tcBorders>
          </w:tcPr>
          <w:p w:rsidR="00164095" w:rsidRDefault="00164095" w:rsidP="00776637">
            <w:pPr>
              <w:pStyle w:val="BoxHeading1"/>
              <w:spacing w:line="260" w:lineRule="atLeast"/>
            </w:pPr>
            <w:r>
              <w:t>The precautionary principle</w:t>
            </w:r>
          </w:p>
          <w:p w:rsidR="00164095" w:rsidRPr="00A65A3E" w:rsidRDefault="00164095" w:rsidP="00776637">
            <w:pPr>
              <w:pStyle w:val="Box"/>
              <w:spacing w:line="260" w:lineRule="atLeast"/>
            </w:pPr>
            <w:r w:rsidRPr="00A65A3E">
              <w:t>The precautionary principle features prominently in policy documents relat</w:t>
            </w:r>
            <w:r>
              <w:t>ing to sustainability. C</w:t>
            </w:r>
            <w:r w:rsidRPr="00A65A3E">
              <w:t>ommon formulation</w:t>
            </w:r>
            <w:r>
              <w:t>s of the principle state</w:t>
            </w:r>
            <w:r w:rsidRPr="00A65A3E">
              <w:t xml:space="preserve"> that</w:t>
            </w:r>
            <w:r>
              <w:t xml:space="preserve"> </w:t>
            </w:r>
            <w:r w:rsidRPr="00A65A3E">
              <w:t xml:space="preserve">lack of full scientific evidence should not be used as a reason for postponing </w:t>
            </w:r>
            <w:r w:rsidR="00875D5D">
              <w:t>cost</w:t>
            </w:r>
            <w:r w:rsidR="00875D5D">
              <w:noBreakHyphen/>
              <w:t xml:space="preserve">effective </w:t>
            </w:r>
            <w:r w:rsidRPr="00A65A3E">
              <w:t>action</w:t>
            </w:r>
            <w:r>
              <w:t>. However, there is a difference between applying precautionary measures and invoking the precautionary principle (</w:t>
            </w:r>
            <w:proofErr w:type="spellStart"/>
            <w:r>
              <w:t>Weier</w:t>
            </w:r>
            <w:proofErr w:type="spellEnd"/>
            <w:r>
              <w:t xml:space="preserve"> and Loke 2007). </w:t>
            </w:r>
            <w:r w:rsidR="009A3C1B">
              <w:t>While f</w:t>
            </w:r>
            <w:r w:rsidR="00C36461">
              <w:t>lexible definitions of the principle (that consider the cost</w:t>
            </w:r>
            <w:r w:rsidR="00B328A2">
              <w:noBreakHyphen/>
            </w:r>
            <w:r w:rsidR="00C36461">
              <w:t xml:space="preserve">effectiveness of measures) can be compatible with the objective of </w:t>
            </w:r>
            <w:r w:rsidR="009A3C1B">
              <w:t xml:space="preserve">maximising community wellbeing, </w:t>
            </w:r>
            <w:r w:rsidR="00C36461">
              <w:t>they do not necessarily compel policy makers to take a particular course of action</w:t>
            </w:r>
            <w:r w:rsidR="009A3C1B">
              <w:t xml:space="preserve">. However, </w:t>
            </w:r>
            <w:r w:rsidR="00C36461">
              <w:t xml:space="preserve">they </w:t>
            </w:r>
            <w:r w:rsidR="009A3C1B">
              <w:t xml:space="preserve">do </w:t>
            </w:r>
            <w:r w:rsidR="00C36461">
              <w:t xml:space="preserve">reinforce the sensible principle that lack of certainty about the future is not a justification for inaction. </w:t>
            </w:r>
            <w:r w:rsidR="009A3C1B">
              <w:t>M</w:t>
            </w:r>
            <w:r>
              <w:t xml:space="preserve">ore prescriptive versions of the principle </w:t>
            </w:r>
            <w:r w:rsidR="007C081D">
              <w:t>can amount to prioritising one interest over all others</w:t>
            </w:r>
            <w:r>
              <w:t xml:space="preserve"> (PC 2012).</w:t>
            </w:r>
          </w:p>
          <w:p w:rsidR="00164095" w:rsidRDefault="00164095" w:rsidP="00776637">
            <w:pPr>
              <w:pStyle w:val="BoxHeading1"/>
              <w:spacing w:line="260" w:lineRule="atLeast"/>
            </w:pPr>
            <w:r>
              <w:t>Safe minimum standards</w:t>
            </w:r>
          </w:p>
          <w:p w:rsidR="00164095" w:rsidRPr="00871003" w:rsidRDefault="00164095" w:rsidP="00776637">
            <w:pPr>
              <w:pStyle w:val="Box"/>
              <w:spacing w:line="260" w:lineRule="atLeast"/>
            </w:pPr>
            <w:r w:rsidRPr="00871003">
              <w:t xml:space="preserve">A safe minimum standard involves the adoption of a rule </w:t>
            </w:r>
            <w:r>
              <w:t xml:space="preserve">(or ‘ecological safeguard threshold’) </w:t>
            </w:r>
            <w:r w:rsidRPr="00871003">
              <w:t>for the preservation of a natural resource</w:t>
            </w:r>
            <w:r w:rsidR="004C71EE">
              <w:t>,</w:t>
            </w:r>
            <w:r w:rsidRPr="00871003">
              <w:t xml:space="preserve"> as long as the economic costs of imposing the standard are not unaccepta</w:t>
            </w:r>
            <w:r>
              <w:t>bly high (</w:t>
            </w:r>
            <w:proofErr w:type="spellStart"/>
            <w:r>
              <w:t>Neumayer</w:t>
            </w:r>
            <w:proofErr w:type="spellEnd"/>
            <w:r>
              <w:t xml:space="preserve"> 2010</w:t>
            </w:r>
            <w:r w:rsidRPr="00871003">
              <w:t>). Safe minimum standards are similar to the precautionary principle in that they do not provide a strong theoretical foundation on which to base policy decisions</w:t>
            </w:r>
            <w:r>
              <w:t>. However, they can provide strong technical limits that can then be used in cost</w:t>
            </w:r>
            <w:r w:rsidR="00875D5D">
              <w:t>–</w:t>
            </w:r>
            <w:r>
              <w:t>benefit analysis. They</w:t>
            </w:r>
            <w:r w:rsidRPr="00871003">
              <w:t xml:space="preserve"> may be appropriate in circumstances where there is considerable uncertainty and a high likelihood of significant damage</w:t>
            </w:r>
            <w:r>
              <w:t xml:space="preserve"> if certain thresholds or tipping points are reached. Exceeding these thresholds could affect the productive capacity of future generations</w:t>
            </w:r>
            <w:r w:rsidRPr="00871003">
              <w:t>.</w:t>
            </w:r>
          </w:p>
          <w:p w:rsidR="00164095" w:rsidRDefault="00164095" w:rsidP="00776637">
            <w:pPr>
              <w:pStyle w:val="BoxHeading1"/>
              <w:spacing w:line="260" w:lineRule="atLeast"/>
            </w:pPr>
            <w:r>
              <w:t xml:space="preserve">Options valuation </w:t>
            </w:r>
          </w:p>
          <w:p w:rsidR="00164095" w:rsidRPr="00871003" w:rsidRDefault="00164095" w:rsidP="00776637">
            <w:pPr>
              <w:pStyle w:val="Box"/>
              <w:spacing w:line="260" w:lineRule="atLeast"/>
            </w:pPr>
            <w:r w:rsidRPr="00625D34">
              <w:t>An important aspect of dealing with uncertainty in decision making is recognising that</w:t>
            </w:r>
            <w:r w:rsidR="004C71EE">
              <w:t>,</w:t>
            </w:r>
            <w:r w:rsidRPr="00625D34">
              <w:t xml:space="preserve"> as time elapses</w:t>
            </w:r>
            <w:r w:rsidR="004C71EE">
              <w:t>,</w:t>
            </w:r>
            <w:r w:rsidRPr="00625D34">
              <w:t xml:space="preserve"> some uncertainties are partially or fully resolved (PC </w:t>
            </w:r>
            <w:proofErr w:type="spellStart"/>
            <w:r w:rsidRPr="00625D34">
              <w:t>2011</w:t>
            </w:r>
            <w:r w:rsidR="00875C8E">
              <w:t>a</w:t>
            </w:r>
            <w:proofErr w:type="spellEnd"/>
            <w:r w:rsidRPr="00625D34">
              <w:t xml:space="preserve">). </w:t>
            </w:r>
            <w:r>
              <w:t>T</w:t>
            </w:r>
            <w:r w:rsidRPr="00625D34">
              <w:t>here can be value in delay</w:t>
            </w:r>
            <w:r>
              <w:t>ing</w:t>
            </w:r>
            <w:r w:rsidRPr="00625D34">
              <w:t xml:space="preserve"> </w:t>
            </w:r>
            <w:r>
              <w:t>action</w:t>
            </w:r>
            <w:r w:rsidRPr="00625D34">
              <w:t xml:space="preserve"> until more information becomes available. </w:t>
            </w:r>
            <w:r>
              <w:t>This value is likely to be larger the greater the uncertainty regarding the social value of the resource to future generations</w:t>
            </w:r>
            <w:r w:rsidR="00875D5D">
              <w:t xml:space="preserve"> and the greater the irreversibility of a </w:t>
            </w:r>
            <w:r w:rsidR="00803FD2">
              <w:t>decision</w:t>
            </w:r>
            <w:r>
              <w:t xml:space="preserve">. </w:t>
            </w:r>
            <w:r w:rsidRPr="00625D34">
              <w:t>A ‘real options’ approach incorporates this value into decision making</w:t>
            </w:r>
            <w:r>
              <w:t xml:space="preserve"> (within a cost</w:t>
            </w:r>
            <w:r w:rsidR="00875D5D">
              <w:t>–</w:t>
            </w:r>
            <w:r>
              <w:t>benefit framework). It involves a decision taken today that makes it possible for policy makers to take a particular action in the future (PC 2012</w:t>
            </w:r>
            <w:r w:rsidRPr="00625D34">
              <w:t>)</w:t>
            </w:r>
            <w:r>
              <w:t>.</w:t>
            </w:r>
          </w:p>
          <w:p w:rsidR="00164095" w:rsidRDefault="00164095" w:rsidP="00776637">
            <w:pPr>
              <w:pStyle w:val="BoxHeading1"/>
              <w:spacing w:line="260" w:lineRule="atLeast"/>
            </w:pPr>
            <w:r>
              <w:t>Conversion of uncertainties into subjective or qualitative risks, and sensitivity and scenario analysis</w:t>
            </w:r>
          </w:p>
          <w:p w:rsidR="00164095" w:rsidRPr="00871003" w:rsidRDefault="00164095" w:rsidP="00776637">
            <w:pPr>
              <w:pStyle w:val="Box"/>
              <w:spacing w:line="260" w:lineRule="atLeast"/>
            </w:pPr>
            <w:r>
              <w:t>Where sufficient information exists, it may be possible to convert uncertainties into subjective risks to make them amenable to standard risk</w:t>
            </w:r>
            <w:r w:rsidR="00D45432">
              <w:noBreakHyphen/>
            </w:r>
            <w:r>
              <w:t>assessment techniques (</w:t>
            </w:r>
            <w:proofErr w:type="spellStart"/>
            <w:r>
              <w:t>Weier</w:t>
            </w:r>
            <w:proofErr w:type="spellEnd"/>
            <w:r>
              <w:t xml:space="preserve"> and Loke 2007). This generally involves </w:t>
            </w:r>
            <w:r w:rsidRPr="00871003">
              <w:t>attaching subjective probabilities to various outcomes based on the best available expert advice. This can enable cost</w:t>
            </w:r>
            <w:r w:rsidR="00AC6594">
              <w:t>–</w:t>
            </w:r>
            <w:r w:rsidRPr="00871003">
              <w:t>benefit analysis to be conducted even where there are unce</w:t>
            </w:r>
            <w:r>
              <w:t xml:space="preserve">rtainties regarding variables. </w:t>
            </w:r>
            <w:r w:rsidRPr="00871003">
              <w:t xml:space="preserve">Further, given the uncertainties involved, </w:t>
            </w:r>
            <w:r>
              <w:t xml:space="preserve">performing </w:t>
            </w:r>
            <w:r w:rsidRPr="00871003">
              <w:t xml:space="preserve">sensitivity analysis </w:t>
            </w:r>
            <w:r>
              <w:t xml:space="preserve">on key assumptions, and/or undertaking scenario analysis, </w:t>
            </w:r>
            <w:r w:rsidRPr="00871003">
              <w:t xml:space="preserve">can </w:t>
            </w:r>
            <w:r>
              <w:t>illustrate</w:t>
            </w:r>
            <w:r w:rsidRPr="00871003">
              <w:t xml:space="preserve"> the impact of assumptions on </w:t>
            </w:r>
            <w:r>
              <w:t>results</w:t>
            </w:r>
            <w:r w:rsidRPr="00871003">
              <w:t xml:space="preserve"> and provide a range within which results </w:t>
            </w:r>
            <w:r>
              <w:t>may</w:t>
            </w:r>
            <w:r w:rsidRPr="00871003">
              <w:t xml:space="preserve"> lie.</w:t>
            </w:r>
          </w:p>
        </w:tc>
      </w:tr>
      <w:tr w:rsidR="00164095" w:rsidTr="0060037C">
        <w:trPr>
          <w:cantSplit/>
        </w:trPr>
        <w:tc>
          <w:tcPr>
            <w:tcW w:w="8771" w:type="dxa"/>
            <w:tcBorders>
              <w:top w:val="nil"/>
              <w:left w:val="single" w:sz="6" w:space="0" w:color="auto"/>
              <w:bottom w:val="single" w:sz="6" w:space="0" w:color="auto"/>
              <w:right w:val="single" w:sz="6" w:space="0" w:color="auto"/>
            </w:tcBorders>
          </w:tcPr>
          <w:p w:rsidR="00164095" w:rsidRDefault="00164095" w:rsidP="0060037C">
            <w:pPr>
              <w:pStyle w:val="Box"/>
              <w:spacing w:before="0" w:line="120" w:lineRule="exact"/>
            </w:pPr>
          </w:p>
        </w:tc>
      </w:tr>
      <w:tr w:rsidR="00164095" w:rsidTr="0060037C">
        <w:tc>
          <w:tcPr>
            <w:tcW w:w="8771" w:type="dxa"/>
            <w:tcBorders>
              <w:top w:val="nil"/>
              <w:left w:val="nil"/>
              <w:bottom w:val="nil"/>
              <w:right w:val="nil"/>
            </w:tcBorders>
          </w:tcPr>
          <w:p w:rsidR="00164095" w:rsidRDefault="00164095" w:rsidP="0060037C">
            <w:pPr>
              <w:pStyle w:val="Box"/>
              <w:keepNext w:val="0"/>
              <w:spacing w:before="60" w:after="60" w:line="80" w:lineRule="exact"/>
              <w:rPr>
                <w:b/>
                <w:color w:val="FF00FF"/>
                <w:sz w:val="14"/>
              </w:rPr>
            </w:pPr>
          </w:p>
        </w:tc>
      </w:tr>
    </w:tbl>
    <w:p w:rsidR="00164095" w:rsidRDefault="00164095" w:rsidP="00164095">
      <w:pPr>
        <w:pStyle w:val="Heading4"/>
      </w:pPr>
      <w:r>
        <w:lastRenderedPageBreak/>
        <w:t>Assessing costs and benefits over time</w:t>
      </w:r>
    </w:p>
    <w:p w:rsidR="00164095" w:rsidRPr="00B17D78" w:rsidRDefault="00164095" w:rsidP="00C72536">
      <w:pPr>
        <w:pStyle w:val="BodyText"/>
      </w:pPr>
      <w:r w:rsidRPr="00B17D78">
        <w:t xml:space="preserve">An important consideration </w:t>
      </w:r>
      <w:r w:rsidR="004C71EE" w:rsidRPr="00B17D78">
        <w:t>for</w:t>
      </w:r>
      <w:r w:rsidRPr="00B17D78">
        <w:t xml:space="preserve"> sustainability is society’s preferences for consumption, and </w:t>
      </w:r>
      <w:r w:rsidR="00D916D1" w:rsidRPr="00B17D78">
        <w:t>consequently</w:t>
      </w:r>
      <w:r w:rsidR="00D45432" w:rsidRPr="00B17D78">
        <w:t xml:space="preserve"> </w:t>
      </w:r>
      <w:r w:rsidR="00D916D1" w:rsidRPr="00B17D78">
        <w:t xml:space="preserve">saving and </w:t>
      </w:r>
      <w:r w:rsidRPr="00B17D78">
        <w:t>investment, over time. These preferences are commonly reflected by the social discount rate — the appropriate rate to discount future consumption used in cost</w:t>
      </w:r>
      <w:r w:rsidR="00AC6594" w:rsidRPr="00B17D78">
        <w:t>–</w:t>
      </w:r>
      <w:r w:rsidRPr="00B17D78">
        <w:t>benefit analysis</w:t>
      </w:r>
      <w:r w:rsidR="008F3E58" w:rsidRPr="00B17D78">
        <w:t>. There is considerable</w:t>
      </w:r>
      <w:r w:rsidR="00FB5F11" w:rsidRPr="00B17D78">
        <w:t xml:space="preserve"> </w:t>
      </w:r>
      <w:r w:rsidRPr="00B17D78">
        <w:t>disagreement on what the rate should be</w:t>
      </w:r>
      <w:r w:rsidR="00FB5F11" w:rsidRPr="00B17D78">
        <w:t xml:space="preserve"> (</w:t>
      </w:r>
      <w:proofErr w:type="spellStart"/>
      <w:r w:rsidR="00FB5F11" w:rsidRPr="00B17D78">
        <w:t>Zhuang</w:t>
      </w:r>
      <w:proofErr w:type="spellEnd"/>
      <w:r w:rsidR="00FB5F11" w:rsidRPr="00B17D78">
        <w:t xml:space="preserve"> et al. 2007)</w:t>
      </w:r>
      <w:r w:rsidRPr="00B17D78">
        <w:t>. The higher the discount rate, the lower the weight placed on future consumption. There are two major schools of thought to discount rate selection — descriptive (positive) and prescriptive (normative) (box</w:t>
      </w:r>
      <w:r w:rsidR="00DC2CDE" w:rsidRPr="00B17D78">
        <w:t> </w:t>
      </w:r>
      <w:r w:rsidR="00BD51C5" w:rsidRPr="00B17D78">
        <w:t>7</w:t>
      </w:r>
      <w:r w:rsidRPr="00B17D78">
        <w:t>).</w:t>
      </w:r>
    </w:p>
    <w:p w:rsidR="00164095" w:rsidRDefault="00164095" w:rsidP="00164095">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164095" w:rsidTr="0060037C">
        <w:tc>
          <w:tcPr>
            <w:tcW w:w="8771" w:type="dxa"/>
            <w:tcBorders>
              <w:top w:val="single" w:sz="6" w:space="0" w:color="auto"/>
              <w:bottom w:val="nil"/>
            </w:tcBorders>
          </w:tcPr>
          <w:p w:rsidR="00164095" w:rsidRDefault="00164095" w:rsidP="00CF1686">
            <w:pPr>
              <w:pStyle w:val="BoxTitle"/>
            </w:pPr>
            <w:r>
              <w:rPr>
                <w:b w:val="0"/>
              </w:rPr>
              <w:t xml:space="preserve">Box </w:t>
            </w:r>
            <w:bookmarkStart w:id="13" w:name="OLE_LINK6"/>
            <w:r w:rsidR="00811B50">
              <w:rPr>
                <w:b w:val="0"/>
                <w:noProof/>
              </w:rPr>
              <w:t>7</w:t>
            </w:r>
            <w:bookmarkEnd w:id="13"/>
            <w:r>
              <w:tab/>
              <w:t xml:space="preserve">Approaches to discount rate selection </w:t>
            </w:r>
          </w:p>
        </w:tc>
      </w:tr>
      <w:tr w:rsidR="00164095" w:rsidTr="0060037C">
        <w:trPr>
          <w:cantSplit/>
        </w:trPr>
        <w:tc>
          <w:tcPr>
            <w:tcW w:w="8771" w:type="dxa"/>
            <w:tcBorders>
              <w:top w:val="nil"/>
              <w:left w:val="single" w:sz="6" w:space="0" w:color="auto"/>
              <w:bottom w:val="nil"/>
              <w:right w:val="single" w:sz="6" w:space="0" w:color="auto"/>
            </w:tcBorders>
          </w:tcPr>
          <w:p w:rsidR="00164095" w:rsidRPr="00DA0EC9" w:rsidRDefault="00164095" w:rsidP="0060037C">
            <w:pPr>
              <w:pStyle w:val="Box"/>
            </w:pPr>
            <w:r w:rsidRPr="00DA0EC9">
              <w:t xml:space="preserve">The </w:t>
            </w:r>
            <w:r w:rsidRPr="00932D70">
              <w:rPr>
                <w:b/>
              </w:rPr>
              <w:t>descriptive approach</w:t>
            </w:r>
            <w:r w:rsidRPr="00DA0EC9">
              <w:t xml:space="preserve"> is widely favoured for short and medium term analyses and is c</w:t>
            </w:r>
            <w:r w:rsidR="00B82A3A">
              <w:t>onsistent with traditional cost–</w:t>
            </w:r>
            <w:r w:rsidRPr="00DA0EC9">
              <w:t xml:space="preserve">benefit analysis (Baker et al. 2008). This approach involves selecting a discount rate that reflects the opportunity cost of capital (the social returns that would have been generated if the funds had been invested in an alternative use). A key characteristic of this approach is that it explicitly separates efficiency and equity considerations. </w:t>
            </w:r>
            <w:r>
              <w:t>It views all dollars as the same no matter to whom they accrue</w:t>
            </w:r>
            <w:r w:rsidR="00AC6594">
              <w:t>,</w:t>
            </w:r>
            <w:r>
              <w:t xml:space="preserve"> and as such it separates resource allocation from distributional effects. </w:t>
            </w:r>
            <w:r w:rsidRPr="00DA0EC9">
              <w:t xml:space="preserve">However, even within this approach, there is debate about which market estimates </w:t>
            </w:r>
            <w:r w:rsidR="00B82A3A">
              <w:t xml:space="preserve">of the cost of capital </w:t>
            </w:r>
            <w:r w:rsidRPr="00DA0EC9">
              <w:t xml:space="preserve">should </w:t>
            </w:r>
            <w:r w:rsidR="00B82A3A">
              <w:t>be used</w:t>
            </w:r>
            <w:r w:rsidRPr="00DA0EC9">
              <w:t>.</w:t>
            </w:r>
          </w:p>
          <w:p w:rsidR="00164095" w:rsidRDefault="00164095" w:rsidP="00751670">
            <w:pPr>
              <w:pStyle w:val="Box"/>
            </w:pPr>
            <w:r w:rsidRPr="00DA0EC9">
              <w:t xml:space="preserve">In contrast, the </w:t>
            </w:r>
            <w:r w:rsidRPr="00932D70">
              <w:rPr>
                <w:b/>
              </w:rPr>
              <w:t>prescriptive approach</w:t>
            </w:r>
            <w:r w:rsidRPr="00DA0EC9">
              <w:t xml:space="preserve"> </w:t>
            </w:r>
            <w:r>
              <w:t xml:space="preserve">derives the discount rate from the Ramsey equation. This </w:t>
            </w:r>
            <w:r w:rsidR="00B82A3A">
              <w:t xml:space="preserve">sets the social discount rate </w:t>
            </w:r>
            <w:r w:rsidR="00751670">
              <w:t>at</w:t>
            </w:r>
            <w:r>
              <w:t xml:space="preserve"> the pure rate of time preference plus the growth rate of income</w:t>
            </w:r>
            <w:r w:rsidR="00751670">
              <w:t xml:space="preserve"> multiplied by </w:t>
            </w:r>
            <w:r>
              <w:t>the marginal utility of income. While empirical estimates can be used to inform these parameters, more often</w:t>
            </w:r>
            <w:r w:rsidRPr="00DA0EC9">
              <w:t xml:space="preserve"> ethical judgements </w:t>
            </w:r>
            <w:r>
              <w:t xml:space="preserve">are applied to set the pure rate of time preference at zero or a low rate (more or less weighting the future generation’s utility the same as </w:t>
            </w:r>
            <w:r w:rsidR="004C71EE">
              <w:t xml:space="preserve">that of </w:t>
            </w:r>
            <w:r>
              <w:t>the current generation</w:t>
            </w:r>
            <w:r w:rsidR="008F4C25">
              <w:t>’s</w:t>
            </w:r>
            <w:r>
              <w:t>)</w:t>
            </w:r>
            <w:r w:rsidRPr="00DA0EC9">
              <w:t xml:space="preserve">. The prescriptive approach generally results in a lower than market value rate being chosen. This reflects a </w:t>
            </w:r>
            <w:proofErr w:type="spellStart"/>
            <w:r w:rsidRPr="00DA0EC9">
              <w:t>judgement</w:t>
            </w:r>
            <w:proofErr w:type="spellEnd"/>
            <w:r w:rsidRPr="00DA0EC9">
              <w:t xml:space="preserve"> that future generations should be treated similarly to current generations</w:t>
            </w:r>
            <w:r>
              <w:t xml:space="preserve">. These issues are </w:t>
            </w:r>
            <w:r w:rsidR="004C71EE">
              <w:t>subjective,</w:t>
            </w:r>
            <w:r>
              <w:t xml:space="preserve"> and as a result there is no agreement on what the rate should be based on. </w:t>
            </w:r>
          </w:p>
        </w:tc>
      </w:tr>
      <w:tr w:rsidR="00164095" w:rsidTr="0060037C">
        <w:trPr>
          <w:cantSplit/>
        </w:trPr>
        <w:tc>
          <w:tcPr>
            <w:tcW w:w="8771" w:type="dxa"/>
            <w:tcBorders>
              <w:top w:val="nil"/>
              <w:left w:val="single" w:sz="6" w:space="0" w:color="auto"/>
              <w:bottom w:val="nil"/>
              <w:right w:val="single" w:sz="6" w:space="0" w:color="auto"/>
            </w:tcBorders>
          </w:tcPr>
          <w:p w:rsidR="00164095" w:rsidRDefault="00164095" w:rsidP="0060037C">
            <w:pPr>
              <w:pStyle w:val="BoxSource"/>
            </w:pPr>
            <w:r>
              <w:rPr>
                <w:i/>
              </w:rPr>
              <w:t>Sources</w:t>
            </w:r>
            <w:r w:rsidRPr="00167F06">
              <w:t xml:space="preserve">: </w:t>
            </w:r>
            <w:r>
              <w:t>Baker</w:t>
            </w:r>
            <w:r w:rsidR="004C71EE">
              <w:t xml:space="preserve"> et al</w:t>
            </w:r>
            <w:r w:rsidR="00AC6594">
              <w:t>.</w:t>
            </w:r>
            <w:r>
              <w:t xml:space="preserve"> (2008); Harrison (2010).</w:t>
            </w:r>
          </w:p>
        </w:tc>
      </w:tr>
      <w:tr w:rsidR="00164095" w:rsidTr="0060037C">
        <w:trPr>
          <w:cantSplit/>
        </w:trPr>
        <w:tc>
          <w:tcPr>
            <w:tcW w:w="8771" w:type="dxa"/>
            <w:tcBorders>
              <w:top w:val="nil"/>
              <w:left w:val="single" w:sz="6" w:space="0" w:color="auto"/>
              <w:bottom w:val="single" w:sz="6" w:space="0" w:color="auto"/>
              <w:right w:val="single" w:sz="6" w:space="0" w:color="auto"/>
            </w:tcBorders>
          </w:tcPr>
          <w:p w:rsidR="00164095" w:rsidRDefault="00164095" w:rsidP="0060037C">
            <w:pPr>
              <w:pStyle w:val="Box"/>
              <w:spacing w:before="0" w:line="120" w:lineRule="exact"/>
            </w:pPr>
          </w:p>
        </w:tc>
      </w:tr>
      <w:tr w:rsidR="00164095" w:rsidTr="0060037C">
        <w:tc>
          <w:tcPr>
            <w:tcW w:w="8771" w:type="dxa"/>
            <w:tcBorders>
              <w:top w:val="nil"/>
              <w:left w:val="nil"/>
              <w:bottom w:val="nil"/>
              <w:right w:val="nil"/>
            </w:tcBorders>
          </w:tcPr>
          <w:p w:rsidR="00164095" w:rsidRDefault="00164095" w:rsidP="0060037C">
            <w:pPr>
              <w:pStyle w:val="Box"/>
              <w:keepNext w:val="0"/>
              <w:spacing w:before="60" w:after="60" w:line="80" w:lineRule="exact"/>
              <w:rPr>
                <w:b/>
                <w:color w:val="FF00FF"/>
                <w:sz w:val="14"/>
              </w:rPr>
            </w:pPr>
          </w:p>
        </w:tc>
      </w:tr>
    </w:tbl>
    <w:p w:rsidR="00164095" w:rsidRPr="00B17D78" w:rsidRDefault="00164095" w:rsidP="00C72536">
      <w:pPr>
        <w:pStyle w:val="BodyText"/>
      </w:pPr>
      <w:bookmarkStart w:id="14" w:name="begin"/>
      <w:bookmarkEnd w:id="14"/>
      <w:r w:rsidRPr="00B17D78">
        <w:t xml:space="preserve">The choice of discount rate can have a profound effect on the assessment of costs and benefits when they are received in different time periods, as is the case with sustainability considerations. </w:t>
      </w:r>
      <w:r w:rsidR="002B2604" w:rsidRPr="00B17D78">
        <w:t>P</w:t>
      </w:r>
      <w:r w:rsidR="00993CE4" w:rsidRPr="00B17D78">
        <w:t xml:space="preserve">olicy options that impose a net cost on the current generation </w:t>
      </w:r>
      <w:r w:rsidR="002A07BB" w:rsidRPr="00B17D78">
        <w:t xml:space="preserve">but yield net benefits in the future </w:t>
      </w:r>
      <w:r w:rsidR="00993CE4" w:rsidRPr="00B17D78">
        <w:t>could pass a cost</w:t>
      </w:r>
      <w:r w:rsidR="00EE6EB5" w:rsidRPr="00B17D78">
        <w:t>–</w:t>
      </w:r>
      <w:r w:rsidR="00993CE4" w:rsidRPr="00B17D78">
        <w:t>benefi</w:t>
      </w:r>
      <w:r w:rsidR="004C71EE" w:rsidRPr="00B17D78">
        <w:t xml:space="preserve">t test </w:t>
      </w:r>
      <w:r w:rsidR="006F6437" w:rsidRPr="00B17D78">
        <w:t xml:space="preserve">using a </w:t>
      </w:r>
      <w:r w:rsidR="004C71EE" w:rsidRPr="00B17D78">
        <w:t xml:space="preserve">low discount rate </w:t>
      </w:r>
      <w:r w:rsidR="00993CE4" w:rsidRPr="00B17D78">
        <w:t xml:space="preserve">but </w:t>
      </w:r>
      <w:r w:rsidR="002B2604" w:rsidRPr="00B17D78">
        <w:t xml:space="preserve">may </w:t>
      </w:r>
      <w:r w:rsidR="00993CE4" w:rsidRPr="00B17D78">
        <w:t xml:space="preserve">not </w:t>
      </w:r>
      <w:r w:rsidR="006F6437" w:rsidRPr="00B17D78">
        <w:t>if using a high one</w:t>
      </w:r>
      <w:r w:rsidR="00993CE4" w:rsidRPr="00B17D78">
        <w:t>.</w:t>
      </w:r>
      <w:r w:rsidR="00F263F8" w:rsidRPr="00B17D78">
        <w:t xml:space="preserve"> </w:t>
      </w:r>
      <w:r w:rsidR="002B2604" w:rsidRPr="00B17D78">
        <w:t>For example, t</w:t>
      </w:r>
      <w:r w:rsidR="00F46DF9" w:rsidRPr="00B17D78">
        <w:t>he Stern Review of Climate Change include</w:t>
      </w:r>
      <w:r w:rsidR="00751E69" w:rsidRPr="00B17D78">
        <w:t>d</w:t>
      </w:r>
      <w:r w:rsidR="00F46DF9" w:rsidRPr="00B17D78">
        <w:t xml:space="preserve"> headline estimates of </w:t>
      </w:r>
      <w:r w:rsidR="008D5ACF" w:rsidRPr="00B17D78">
        <w:t xml:space="preserve">climate change </w:t>
      </w:r>
      <w:r w:rsidR="00F46DF9" w:rsidRPr="00B17D78">
        <w:t>damage costs that were</w:t>
      </w:r>
      <w:r w:rsidR="002E4409" w:rsidRPr="00B17D78">
        <w:t xml:space="preserve"> much </w:t>
      </w:r>
      <w:r w:rsidR="00F46DF9" w:rsidRPr="00B17D78">
        <w:t xml:space="preserve">higher than most other studies, principally due to the </w:t>
      </w:r>
      <w:r w:rsidR="00EE6EB5" w:rsidRPr="00B17D78">
        <w:t>low discount rate used. Adding one</w:t>
      </w:r>
      <w:r w:rsidR="00F46DF9" w:rsidRPr="00B17D78">
        <w:t xml:space="preserve"> percen</w:t>
      </w:r>
      <w:r w:rsidR="004A42CD" w:rsidRPr="00B17D78">
        <w:t>tage point to the discount rate</w:t>
      </w:r>
      <w:r w:rsidR="00F46DF9" w:rsidRPr="00B17D78">
        <w:t xml:space="preserve"> reduces the damage cost </w:t>
      </w:r>
      <w:r w:rsidR="00F46DF9" w:rsidRPr="00B17D78">
        <w:lastRenderedPageBreak/>
        <w:t xml:space="preserve">estimates by more than half (Baker et al. 2008). </w:t>
      </w:r>
      <w:r w:rsidR="000C58F9" w:rsidRPr="00B17D78">
        <w:t xml:space="preserve">Given these effects, and the many competing uses of government funds, </w:t>
      </w:r>
      <w:r w:rsidR="004C71EE" w:rsidRPr="00B17D78">
        <w:t>the choice of a particular rate</w:t>
      </w:r>
      <w:r w:rsidR="000C58F9" w:rsidRPr="00B17D78">
        <w:t xml:space="preserve"> should be based on a transparent </w:t>
      </w:r>
      <w:r w:rsidR="009C655B" w:rsidRPr="00B17D78">
        <w:t>assessment</w:t>
      </w:r>
      <w:r w:rsidR="000C58F9" w:rsidRPr="00B17D78">
        <w:t xml:space="preserve"> of the social opportunity cost of capital</w:t>
      </w:r>
      <w:r w:rsidR="00023B38" w:rsidRPr="00B17D78">
        <w:t xml:space="preserve">. </w:t>
      </w:r>
      <w:r w:rsidR="006F6437" w:rsidRPr="00B17D78">
        <w:t>S</w:t>
      </w:r>
      <w:r w:rsidR="00F263F8" w:rsidRPr="00B17D78">
        <w:t xml:space="preserve">ensitivity analysis </w:t>
      </w:r>
      <w:r w:rsidR="000C58F9" w:rsidRPr="00B17D78">
        <w:t xml:space="preserve">on the selected discount rate </w:t>
      </w:r>
      <w:r w:rsidRPr="00B17D78">
        <w:t xml:space="preserve">should be </w:t>
      </w:r>
      <w:r w:rsidR="00F263F8" w:rsidRPr="00B17D78">
        <w:t xml:space="preserve">undertaken </w:t>
      </w:r>
      <w:r w:rsidRPr="00B17D78">
        <w:t xml:space="preserve">to </w:t>
      </w:r>
      <w:r w:rsidR="00F263F8" w:rsidRPr="00B17D78">
        <w:t xml:space="preserve">illustrate the impact </w:t>
      </w:r>
      <w:r w:rsidRPr="00B17D78">
        <w:t xml:space="preserve">on project </w:t>
      </w:r>
      <w:r w:rsidR="002462A6" w:rsidRPr="00B17D78">
        <w:t>cost</w:t>
      </w:r>
      <w:r w:rsidR="00546AB3" w:rsidRPr="00B17D78">
        <w:t>–</w:t>
      </w:r>
      <w:r w:rsidR="00F263F8" w:rsidRPr="00B17D78">
        <w:t xml:space="preserve">benefit ratios. </w:t>
      </w:r>
      <w:r w:rsidRPr="00B17D78">
        <w:t>Indeed, performing sensitivity analysis of key parameters, including discount rates</w:t>
      </w:r>
      <w:r w:rsidR="009C655B" w:rsidRPr="00B17D78">
        <w:t>, is part of good practice cost–</w:t>
      </w:r>
      <w:r w:rsidRPr="00B17D78">
        <w:t>benefit analysis (box</w:t>
      </w:r>
      <w:r w:rsidR="00DC2CDE" w:rsidRPr="00B17D78">
        <w:t> </w:t>
      </w:r>
      <w:r w:rsidR="00BD51C5" w:rsidRPr="00B17D78">
        <w:t>6</w:t>
      </w:r>
      <w:r w:rsidRPr="00B17D78">
        <w:t>). This provides transparency to the analysis. Decision makers can then consider the range of these estimates and make a decision about which response is likely to increase community wellbeing, taking into account uncertainty about the future.</w:t>
      </w:r>
    </w:p>
    <w:p w:rsidR="005136C4" w:rsidRDefault="005136C4" w:rsidP="0060037C">
      <w:pPr>
        <w:pStyle w:val="Heading3"/>
      </w:pPr>
      <w:r>
        <w:t xml:space="preserve">Improving our understanding of ecological systems </w:t>
      </w:r>
    </w:p>
    <w:p w:rsidR="005136C4" w:rsidRPr="003F4DF2" w:rsidRDefault="005136C4" w:rsidP="005136C4">
      <w:pPr>
        <w:pStyle w:val="BodyText"/>
      </w:pPr>
      <w:r>
        <w:t xml:space="preserve">The existence of natural thresholds beyond which environmental damage is irreversible means there may be limits to the substitutability of natural capital. In </w:t>
      </w:r>
      <w:r w:rsidR="00FF6D5D">
        <w:t xml:space="preserve">many </w:t>
      </w:r>
      <w:r>
        <w:t>cases, these limits are unknown.</w:t>
      </w:r>
      <w:r w:rsidRPr="003D2E51">
        <w:t xml:space="preserve"> </w:t>
      </w:r>
      <w:r w:rsidR="00730F8C">
        <w:t>Improving our</w:t>
      </w:r>
      <w:r>
        <w:t xml:space="preserve"> understanding of </w:t>
      </w:r>
      <w:r w:rsidR="00730F8C">
        <w:t xml:space="preserve">the effects of </w:t>
      </w:r>
      <w:r w:rsidR="00692448">
        <w:t xml:space="preserve">using up </w:t>
      </w:r>
      <w:r w:rsidR="003C1FB0">
        <w:t xml:space="preserve">a particular </w:t>
      </w:r>
      <w:r>
        <w:t>resource</w:t>
      </w:r>
      <w:r w:rsidR="00730F8C">
        <w:t xml:space="preserve"> (for example, water</w:t>
      </w:r>
      <w:r w:rsidR="009E134C">
        <w:t xml:space="preserve">) </w:t>
      </w:r>
      <w:r>
        <w:t xml:space="preserve">on the functioning of ecological systems would be beneficial, both from the perspective of governments making environmental conservation decisions, and also to improve accounting of natural capital. </w:t>
      </w:r>
      <w:r w:rsidR="002462A6">
        <w:t>C</w:t>
      </w:r>
      <w:r>
        <w:t>onsiderable work is already being conducted by scientific agencies in this regard</w:t>
      </w:r>
      <w:r w:rsidR="002462A6">
        <w:t>. Nevertheless,</w:t>
      </w:r>
      <w:r w:rsidR="00A61A2A">
        <w:t xml:space="preserve"> </w:t>
      </w:r>
      <w:r>
        <w:t xml:space="preserve">continued support by governments </w:t>
      </w:r>
      <w:r w:rsidR="003C1FB0">
        <w:t>for</w:t>
      </w:r>
      <w:r>
        <w:t xml:space="preserve"> this research is a practical step that can be taken to improve </w:t>
      </w:r>
      <w:r w:rsidR="006341A2">
        <w:t xml:space="preserve">their </w:t>
      </w:r>
      <w:r>
        <w:t xml:space="preserve">ability to implement sound </w:t>
      </w:r>
      <w:r w:rsidR="00692448">
        <w:t xml:space="preserve">policies to achieve </w:t>
      </w:r>
      <w:r>
        <w:t xml:space="preserve">sustainability </w:t>
      </w:r>
      <w:r w:rsidR="00692448">
        <w:t>objectives</w:t>
      </w:r>
      <w:r>
        <w:t>.</w:t>
      </w:r>
    </w:p>
    <w:p w:rsidR="006B2D6C" w:rsidRDefault="00691475" w:rsidP="0060037C">
      <w:pPr>
        <w:pStyle w:val="Heading3"/>
      </w:pPr>
      <w:r>
        <w:t xml:space="preserve">Improving our ability to measure </w:t>
      </w:r>
      <w:r w:rsidR="00AC1062">
        <w:t>the capital stock</w:t>
      </w:r>
      <w:r>
        <w:t xml:space="preserve"> </w:t>
      </w:r>
    </w:p>
    <w:p w:rsidR="009945DA" w:rsidRDefault="00A22A77" w:rsidP="00DB0854">
      <w:pPr>
        <w:pStyle w:val="BodyText"/>
      </w:pPr>
      <w:r>
        <w:t xml:space="preserve">If it is </w:t>
      </w:r>
      <w:r w:rsidR="002A1AC1">
        <w:t xml:space="preserve">accepted </w:t>
      </w:r>
      <w:r>
        <w:t>that capital (produced, natural, human and social) pro</w:t>
      </w:r>
      <w:r w:rsidR="00CA7DAF">
        <w:t xml:space="preserve">vides the basis for consumption </w:t>
      </w:r>
      <w:r w:rsidR="00BF211A">
        <w:t xml:space="preserve">(broadly defined) </w:t>
      </w:r>
      <w:r w:rsidR="00CA7DAF">
        <w:t xml:space="preserve">and hence </w:t>
      </w:r>
      <w:r w:rsidR="002A1AC1">
        <w:t xml:space="preserve">contributes to </w:t>
      </w:r>
      <w:r w:rsidR="00CA7DAF">
        <w:t>wellbeing</w:t>
      </w:r>
      <w:r w:rsidR="000111F8">
        <w:t>,</w:t>
      </w:r>
      <w:r>
        <w:t xml:space="preserve"> then a</w:t>
      </w:r>
      <w:r w:rsidR="00DB0854">
        <w:t>pproaches that</w:t>
      </w:r>
      <w:r w:rsidR="001107E6">
        <w:t xml:space="preserve"> measure changes in the total stock</w:t>
      </w:r>
      <w:r>
        <w:t xml:space="preserve"> </w:t>
      </w:r>
      <w:r w:rsidR="00AC1062">
        <w:t xml:space="preserve">of capital </w:t>
      </w:r>
      <w:r w:rsidR="001107E6">
        <w:t xml:space="preserve">can provide </w:t>
      </w:r>
      <w:r w:rsidR="00DB0854">
        <w:t xml:space="preserve">an </w:t>
      </w:r>
      <w:r w:rsidR="001107E6">
        <w:t>indication of sustainability</w:t>
      </w:r>
      <w:r w:rsidR="009945DA">
        <w:t xml:space="preserve"> and can inform policy analyses</w:t>
      </w:r>
      <w:r w:rsidR="001107E6">
        <w:t xml:space="preserve">. </w:t>
      </w:r>
      <w:r w:rsidR="009945DA">
        <w:t>M</w:t>
      </w:r>
      <w:r w:rsidR="00CD4F7B">
        <w:t>easures of the capital stock need to include estim</w:t>
      </w:r>
      <w:r w:rsidR="009945DA">
        <w:t>ates of volumes as well as value so that changes in capital stocks can be assessed over time.</w:t>
      </w:r>
    </w:p>
    <w:p w:rsidR="00F344C1" w:rsidRDefault="00CA7DAF" w:rsidP="00DB0854">
      <w:pPr>
        <w:pStyle w:val="BodyText"/>
      </w:pPr>
      <w:r>
        <w:t>There</w:t>
      </w:r>
      <w:r w:rsidR="00DB0854">
        <w:t xml:space="preserve"> have been some attempts to augment </w:t>
      </w:r>
      <w:r>
        <w:t xml:space="preserve">estimates of produced capital in traditional national accounts </w:t>
      </w:r>
      <w:r w:rsidR="003F4DF2" w:rsidRPr="003F4DF2">
        <w:t xml:space="preserve">with </w:t>
      </w:r>
      <w:r w:rsidR="00DB0854">
        <w:t>estimates of natural,</w:t>
      </w:r>
      <w:r w:rsidR="003F4DF2" w:rsidRPr="003F4DF2">
        <w:t xml:space="preserve"> </w:t>
      </w:r>
      <w:r w:rsidR="00381A8C">
        <w:t xml:space="preserve">social and </w:t>
      </w:r>
      <w:r w:rsidR="009E1EE6">
        <w:t>human capital</w:t>
      </w:r>
      <w:r w:rsidR="00A22A77">
        <w:t>. T</w:t>
      </w:r>
      <w:r w:rsidR="00084798">
        <w:t xml:space="preserve">hese are </w:t>
      </w:r>
      <w:r w:rsidR="005C4EED">
        <w:t>sometimes referred to as ‘extended wealth’ measures</w:t>
      </w:r>
      <w:r w:rsidR="008109FC">
        <w:t xml:space="preserve"> or ‘adjusted net savings’</w:t>
      </w:r>
      <w:r w:rsidR="009E1EE6">
        <w:t>.</w:t>
      </w:r>
      <w:r w:rsidR="000D2B26">
        <w:t xml:space="preserve"> </w:t>
      </w:r>
      <w:r w:rsidR="00154779">
        <w:t>An example is t</w:t>
      </w:r>
      <w:r w:rsidR="00084798">
        <w:t>he</w:t>
      </w:r>
      <w:r w:rsidR="009E1EE6">
        <w:t xml:space="preserve"> Australian Bureau of Statistics</w:t>
      </w:r>
      <w:r w:rsidR="0002011D">
        <w:t>’</w:t>
      </w:r>
      <w:r w:rsidR="00546AB3">
        <w:t xml:space="preserve"> (ABS)</w:t>
      </w:r>
      <w:r w:rsidR="005C4EED">
        <w:t xml:space="preserve"> System of Environmental</w:t>
      </w:r>
      <w:r w:rsidR="006341A2">
        <w:t>–</w:t>
      </w:r>
      <w:r w:rsidR="0002011D">
        <w:t>Economic Accounting</w:t>
      </w:r>
      <w:r>
        <w:t xml:space="preserve">. </w:t>
      </w:r>
      <w:r w:rsidR="00154779">
        <w:t xml:space="preserve">This approach includes </w:t>
      </w:r>
      <w:r w:rsidR="00EF20BC">
        <w:t xml:space="preserve">experimental </w:t>
      </w:r>
      <w:r w:rsidR="0002011D">
        <w:t xml:space="preserve">values for </w:t>
      </w:r>
      <w:r w:rsidR="00C71837">
        <w:t xml:space="preserve">some </w:t>
      </w:r>
      <w:r w:rsidR="0002011D">
        <w:t xml:space="preserve">natural assets (such as subsoil assets, timber </w:t>
      </w:r>
      <w:r w:rsidR="00C45EC4">
        <w:t xml:space="preserve">in </w:t>
      </w:r>
      <w:r w:rsidR="0002011D">
        <w:t>forests, fish and land) on the National Balance Sheet (ABS 2012).</w:t>
      </w:r>
      <w:r w:rsidR="005C4EED">
        <w:t xml:space="preserve"> </w:t>
      </w:r>
      <w:r w:rsidR="00AE704C">
        <w:t>The ABS has also developed e</w:t>
      </w:r>
      <w:r w:rsidR="00154779">
        <w:t xml:space="preserve">xperimental </w:t>
      </w:r>
      <w:r w:rsidR="00154779">
        <w:lastRenderedPageBreak/>
        <w:t>values for human</w:t>
      </w:r>
      <w:r w:rsidR="006D1279">
        <w:t xml:space="preserve"> capital</w:t>
      </w:r>
      <w:r w:rsidR="00657EBD">
        <w:t xml:space="preserve"> (based on expected </w:t>
      </w:r>
      <w:r w:rsidR="009E2760">
        <w:t xml:space="preserve">future </w:t>
      </w:r>
      <w:r w:rsidR="00657EBD">
        <w:t>labour market income)</w:t>
      </w:r>
      <w:r w:rsidR="00154779">
        <w:t xml:space="preserve"> and </w:t>
      </w:r>
      <w:r w:rsidR="00AF672C">
        <w:t xml:space="preserve">estimates of </w:t>
      </w:r>
      <w:r w:rsidR="006341A2">
        <w:t xml:space="preserve">the </w:t>
      </w:r>
      <w:r w:rsidR="006D1279">
        <w:t>volume</w:t>
      </w:r>
      <w:r w:rsidR="00AF672C">
        <w:t xml:space="preserve"> of </w:t>
      </w:r>
      <w:r w:rsidR="00154779">
        <w:t>social capital</w:t>
      </w:r>
      <w:r w:rsidR="00CF2A9D">
        <w:t xml:space="preserve"> using survey data</w:t>
      </w:r>
      <w:r w:rsidR="007F2A76">
        <w:t xml:space="preserve"> </w:t>
      </w:r>
      <w:r w:rsidR="00AF672C">
        <w:t>(</w:t>
      </w:r>
      <w:r w:rsidR="00666AD5">
        <w:t>Wei</w:t>
      </w:r>
      <w:r w:rsidR="00AF672C">
        <w:t xml:space="preserve"> 2008</w:t>
      </w:r>
      <w:r w:rsidR="00666AD5">
        <w:t>; Biddle et al.</w:t>
      </w:r>
      <w:r w:rsidR="006837AD">
        <w:t xml:space="preserve"> 2009</w:t>
      </w:r>
      <w:r w:rsidR="00AF672C">
        <w:t>)</w:t>
      </w:r>
      <w:r w:rsidR="00154779">
        <w:t>.</w:t>
      </w:r>
    </w:p>
    <w:p w:rsidR="00C71837" w:rsidRDefault="0092382E" w:rsidP="00C72536">
      <w:pPr>
        <w:pStyle w:val="BodyText"/>
      </w:pPr>
      <w:r>
        <w:t>There</w:t>
      </w:r>
      <w:r w:rsidR="003F4DF2" w:rsidRPr="003F4DF2">
        <w:t xml:space="preserve"> are </w:t>
      </w:r>
      <w:r w:rsidR="003B0A10">
        <w:t xml:space="preserve">various </w:t>
      </w:r>
      <w:r w:rsidR="00920974">
        <w:t xml:space="preserve">limitations and </w:t>
      </w:r>
      <w:r w:rsidR="003F4DF2" w:rsidRPr="003F4DF2">
        <w:t xml:space="preserve">practical difficulties in estimating extended wealth </w:t>
      </w:r>
      <w:r w:rsidR="00084798">
        <w:t>measures</w:t>
      </w:r>
      <w:r w:rsidR="00154779">
        <w:t xml:space="preserve"> </w:t>
      </w:r>
      <w:r w:rsidR="003F4DF2" w:rsidRPr="003F4DF2">
        <w:t>(box</w:t>
      </w:r>
      <w:r w:rsidR="00DC2CDE">
        <w:t> </w:t>
      </w:r>
      <w:r w:rsidR="00BD51C5">
        <w:t>8</w:t>
      </w:r>
      <w:r w:rsidR="00F344C1">
        <w:t>).</w:t>
      </w:r>
      <w:r w:rsidR="00920974">
        <w:t xml:space="preserve"> </w:t>
      </w:r>
      <w:r w:rsidR="003F4DF2" w:rsidRPr="003F4DF2">
        <w:t xml:space="preserve">One </w:t>
      </w:r>
      <w:r w:rsidR="00154779">
        <w:t xml:space="preserve">of the </w:t>
      </w:r>
      <w:r w:rsidR="003F4DF2" w:rsidRPr="003F4DF2">
        <w:t>major challenge</w:t>
      </w:r>
      <w:r w:rsidR="00154779">
        <w:t>s is assigning</w:t>
      </w:r>
      <w:r w:rsidR="003F4DF2" w:rsidRPr="003F4DF2">
        <w:t xml:space="preserve"> prices to </w:t>
      </w:r>
      <w:r w:rsidR="004D4A69">
        <w:t>natural capital</w:t>
      </w:r>
      <w:r w:rsidR="003F4DF2" w:rsidRPr="003F4DF2">
        <w:t xml:space="preserve">. While some exhaustible environmental resources, such as coal and oil, are </w:t>
      </w:r>
      <w:r w:rsidR="003C1FB0">
        <w:t>traded</w:t>
      </w:r>
      <w:r w:rsidR="003C1FB0" w:rsidRPr="003F4DF2">
        <w:t xml:space="preserve"> </w:t>
      </w:r>
      <w:r w:rsidR="003F4DF2" w:rsidRPr="003F4DF2">
        <w:t xml:space="preserve">in markets and have </w:t>
      </w:r>
      <w:r w:rsidR="00920974">
        <w:t>observable prices,</w:t>
      </w:r>
      <w:r w:rsidR="003F4DF2" w:rsidRPr="003F4DF2">
        <w:t xml:space="preserve"> these prices </w:t>
      </w:r>
      <w:r w:rsidR="002A1AC1">
        <w:t xml:space="preserve">might not </w:t>
      </w:r>
      <w:r w:rsidR="003F4DF2" w:rsidRPr="003F4DF2">
        <w:t xml:space="preserve">reflect the </w:t>
      </w:r>
      <w:r w:rsidR="00154779">
        <w:t>full value of</w:t>
      </w:r>
      <w:r w:rsidR="003F4DF2" w:rsidRPr="003F4DF2">
        <w:t xml:space="preserve"> the resource due to the existence of market</w:t>
      </w:r>
      <w:r w:rsidR="00970B6E">
        <w:t xml:space="preserve"> failures</w:t>
      </w:r>
      <w:r w:rsidR="003F4DF2" w:rsidRPr="003F4DF2">
        <w:t xml:space="preserve">, such as unpriced externalities. </w:t>
      </w:r>
      <w:r w:rsidR="003D4686">
        <w:t>Moreover, i</w:t>
      </w:r>
      <w:r w:rsidR="00154779">
        <w:t xml:space="preserve">n most cases, </w:t>
      </w:r>
      <w:r w:rsidR="003F4DF2" w:rsidRPr="003F4DF2">
        <w:t>environmental resources are not trade</w:t>
      </w:r>
      <w:r w:rsidR="00ED2628">
        <w:t>d</w:t>
      </w:r>
      <w:r w:rsidR="003F4DF2" w:rsidRPr="003F4DF2">
        <w:t xml:space="preserve"> </w:t>
      </w:r>
      <w:r w:rsidR="006D031D">
        <w:t>in</w:t>
      </w:r>
      <w:r w:rsidR="003F4DF2" w:rsidRPr="003F4DF2">
        <w:t xml:space="preserve"> markets and </w:t>
      </w:r>
      <w:r w:rsidR="00154779">
        <w:t>therefore do not have a</w:t>
      </w:r>
      <w:r w:rsidR="005B70BA">
        <w:t>n observed</w:t>
      </w:r>
      <w:r w:rsidR="00154779">
        <w:t xml:space="preserve"> market value.</w:t>
      </w:r>
      <w:r w:rsidR="00C71837">
        <w:t xml:space="preserve"> </w:t>
      </w:r>
      <w:r w:rsidR="00154779">
        <w:t>I</w:t>
      </w:r>
      <w:r w:rsidR="003F4DF2" w:rsidRPr="003F4DF2">
        <w:t xml:space="preserve">t is </w:t>
      </w:r>
      <w:r w:rsidR="00154779">
        <w:t xml:space="preserve">therefore </w:t>
      </w:r>
      <w:r w:rsidR="003F4DF2" w:rsidRPr="003F4DF2">
        <w:t>necessary to estimate accounting</w:t>
      </w:r>
      <w:r w:rsidR="004D4A69">
        <w:t xml:space="preserve"> (or </w:t>
      </w:r>
      <w:r w:rsidR="00970B6E">
        <w:t>‘shadow’</w:t>
      </w:r>
      <w:r w:rsidR="004D4A69">
        <w:t>)</w:t>
      </w:r>
      <w:r w:rsidR="003F4DF2" w:rsidRPr="003F4DF2">
        <w:t xml:space="preserve"> prices</w:t>
      </w:r>
      <w:r w:rsidR="00154779">
        <w:t xml:space="preserve"> for these resources</w:t>
      </w:r>
      <w:r w:rsidR="003F4DF2" w:rsidRPr="003F4DF2">
        <w:t xml:space="preserve">. </w:t>
      </w:r>
      <w:r w:rsidR="00970B6E">
        <w:t>These</w:t>
      </w:r>
      <w:r w:rsidR="00970B6E" w:rsidRPr="003F4DF2">
        <w:t xml:space="preserve"> </w:t>
      </w:r>
      <w:r w:rsidR="003F4DF2" w:rsidRPr="003F4DF2">
        <w:t xml:space="preserve">prices must take into account the varying contributions of natural </w:t>
      </w:r>
      <w:r w:rsidR="00A22A77">
        <w:t>capital</w:t>
      </w:r>
      <w:r w:rsidR="003F4DF2" w:rsidRPr="003F4DF2">
        <w:t xml:space="preserve"> to </w:t>
      </w:r>
      <w:r w:rsidR="00A22A77">
        <w:t>wellbeing</w:t>
      </w:r>
      <w:r w:rsidR="003F4DF2" w:rsidRPr="003F4DF2">
        <w:t xml:space="preserve"> — both direct </w:t>
      </w:r>
      <w:r w:rsidR="00154779">
        <w:t>(as objects of natural beauty</w:t>
      </w:r>
      <w:r w:rsidR="003F4DF2" w:rsidRPr="003F4DF2">
        <w:t>) and indirect (the contributions of ecosystem services such as water purification) (Arrow et al. 2004).</w:t>
      </w:r>
    </w:p>
    <w:p w:rsidR="00D67E48" w:rsidRDefault="00D67E48">
      <w:pPr>
        <w:pStyle w:val="BoxSpace"/>
      </w:pPr>
    </w:p>
    <w:tbl>
      <w:tblPr>
        <w:tblW w:w="0" w:type="auto"/>
        <w:tblInd w:w="164" w:type="dxa"/>
        <w:tblBorders>
          <w:top w:val="single" w:sz="6" w:space="0" w:color="auto"/>
          <w:left w:val="single" w:sz="6" w:space="0" w:color="auto"/>
          <w:bottom w:val="single" w:sz="6" w:space="0" w:color="auto"/>
          <w:right w:val="single" w:sz="6" w:space="0" w:color="auto"/>
        </w:tblBorders>
        <w:tblLayout w:type="fixed"/>
        <w:tblCellMar>
          <w:left w:w="142" w:type="dxa"/>
          <w:right w:w="142" w:type="dxa"/>
        </w:tblCellMar>
        <w:tblLook w:val="0000" w:firstRow="0" w:lastRow="0" w:firstColumn="0" w:lastColumn="0" w:noHBand="0" w:noVBand="0"/>
      </w:tblPr>
      <w:tblGrid>
        <w:gridCol w:w="8771"/>
      </w:tblGrid>
      <w:tr w:rsidR="00D67E48">
        <w:tc>
          <w:tcPr>
            <w:tcW w:w="8771" w:type="dxa"/>
            <w:tcBorders>
              <w:top w:val="single" w:sz="6" w:space="0" w:color="auto"/>
              <w:bottom w:val="nil"/>
            </w:tcBorders>
          </w:tcPr>
          <w:p w:rsidR="00D67E48" w:rsidRDefault="00D67E48">
            <w:pPr>
              <w:pStyle w:val="BoxTitle"/>
            </w:pPr>
            <w:r>
              <w:rPr>
                <w:b w:val="0"/>
              </w:rPr>
              <w:t xml:space="preserve">Box </w:t>
            </w:r>
            <w:bookmarkStart w:id="15" w:name="OLE_LINK5"/>
            <w:r w:rsidR="00811B50">
              <w:rPr>
                <w:b w:val="0"/>
                <w:noProof/>
              </w:rPr>
              <w:t>8</w:t>
            </w:r>
            <w:bookmarkEnd w:id="15"/>
            <w:r>
              <w:tab/>
            </w:r>
            <w:r w:rsidRPr="003F4DF2">
              <w:t>Measuring capital stocks</w:t>
            </w:r>
          </w:p>
        </w:tc>
      </w:tr>
      <w:tr w:rsidR="00D67E48">
        <w:trPr>
          <w:cantSplit/>
        </w:trPr>
        <w:tc>
          <w:tcPr>
            <w:tcW w:w="8771" w:type="dxa"/>
            <w:tcBorders>
              <w:top w:val="nil"/>
              <w:left w:val="single" w:sz="6" w:space="0" w:color="auto"/>
              <w:bottom w:val="nil"/>
              <w:right w:val="single" w:sz="6" w:space="0" w:color="auto"/>
            </w:tcBorders>
          </w:tcPr>
          <w:p w:rsidR="0009587C" w:rsidRPr="003F4DF2" w:rsidRDefault="0009587C" w:rsidP="0009587C">
            <w:pPr>
              <w:pStyle w:val="Box"/>
            </w:pPr>
            <w:r w:rsidRPr="00FF58B8">
              <w:rPr>
                <w:i/>
              </w:rPr>
              <w:t>Adjusted net savings</w:t>
            </w:r>
            <w:r w:rsidRPr="003F4DF2">
              <w:t xml:space="preserve"> (also known as genuine savings) measure</w:t>
            </w:r>
            <w:r w:rsidR="00A13B71">
              <w:t>s</w:t>
            </w:r>
            <w:r w:rsidRPr="003F4DF2">
              <w:t xml:space="preserve"> changes in capital stocks or wealth over a given time period</w:t>
            </w:r>
            <w:r>
              <w:t xml:space="preserve"> — where the stock of wealth includes </w:t>
            </w:r>
            <w:r w:rsidR="00970B6E">
              <w:t>all forms of utility</w:t>
            </w:r>
            <w:r w:rsidR="00970B6E">
              <w:noBreakHyphen/>
              <w:t xml:space="preserve">generating capital, including </w:t>
            </w:r>
            <w:r>
              <w:t>natural resources, produced capital and human capital.</w:t>
            </w:r>
            <w:r w:rsidRPr="003F4DF2">
              <w:t xml:space="preserve"> </w:t>
            </w:r>
            <w:r w:rsidR="00970B6E">
              <w:t xml:space="preserve">Adjusted net savings </w:t>
            </w:r>
            <w:r w:rsidR="00A13B71">
              <w:t>is</w:t>
            </w:r>
            <w:r w:rsidR="00970B6E">
              <w:t xml:space="preserve"> derived</w:t>
            </w:r>
            <w:r>
              <w:t xml:space="preserve"> by adjusting</w:t>
            </w:r>
            <w:r w:rsidRPr="003F4DF2">
              <w:t xml:space="preserve"> standard national accounts measures of </w:t>
            </w:r>
            <w:r w:rsidRPr="00F33DFA">
              <w:t>gross national savings for investments in human capital</w:t>
            </w:r>
            <w:r>
              <w:t xml:space="preserve"> (for example, using current expenditures on education),</w:t>
            </w:r>
            <w:r w:rsidRPr="005B5486">
              <w:t xml:space="preserve"> natural resource depletion (</w:t>
            </w:r>
            <w:r>
              <w:t xml:space="preserve">for example, </w:t>
            </w:r>
            <w:r w:rsidRPr="005B5486">
              <w:t xml:space="preserve">based on estimates of resource rents) and pollution </w:t>
            </w:r>
            <w:r w:rsidR="00A13B71">
              <w:t>costs</w:t>
            </w:r>
            <w:r w:rsidR="00A13B71" w:rsidRPr="005B5486">
              <w:t xml:space="preserve"> </w:t>
            </w:r>
            <w:r w:rsidRPr="005B5486">
              <w:t>(for example</w:t>
            </w:r>
            <w:r>
              <w:t>,</w:t>
            </w:r>
            <w:r w:rsidRPr="005B5486">
              <w:t xml:space="preserve"> from </w:t>
            </w:r>
            <w:r w:rsidR="00A13B71">
              <w:t>carbon dioxide</w:t>
            </w:r>
            <w:r w:rsidR="00A13B71" w:rsidRPr="005B5486">
              <w:rPr>
                <w:vertAlign w:val="subscript"/>
              </w:rPr>
              <w:t xml:space="preserve"> </w:t>
            </w:r>
            <w:r w:rsidRPr="005B5486">
              <w:t>emissions).</w:t>
            </w:r>
            <w:r>
              <w:t xml:space="preserve"> </w:t>
            </w:r>
          </w:p>
          <w:p w:rsidR="00D67E48" w:rsidRDefault="00D67E48" w:rsidP="00A87D70">
            <w:pPr>
              <w:pStyle w:val="Box"/>
            </w:pPr>
            <w:r w:rsidRPr="003F4DF2">
              <w:t>While adjusted net savings is based on a consistent conceptual framework it does have some significant and</w:t>
            </w:r>
            <w:r w:rsidR="00D92EF3">
              <w:t>,</w:t>
            </w:r>
            <w:r w:rsidRPr="003F4DF2">
              <w:t xml:space="preserve"> within a sustainability context</w:t>
            </w:r>
            <w:r w:rsidR="00D92EF3">
              <w:t>, familiar</w:t>
            </w:r>
            <w:r w:rsidRPr="003F4DF2">
              <w:t xml:space="preserve"> shortcomings. In particular, the relevance of adjusted net savings measures depends on what is counted (the</w:t>
            </w:r>
            <w:r w:rsidR="008252A9">
              <w:t xml:space="preserve"> types of capital</w:t>
            </w:r>
            <w:r w:rsidR="00DB2391">
              <w:t xml:space="preserve">) </w:t>
            </w:r>
            <w:r w:rsidRPr="003F4DF2">
              <w:t>and on the prices used to evaluate these stocks where markets provide imperfect values and accounting prices must be derived</w:t>
            </w:r>
            <w:r w:rsidR="00A13B71">
              <w:t>.</w:t>
            </w:r>
          </w:p>
        </w:tc>
      </w:tr>
      <w:tr w:rsidR="00D67E48">
        <w:trPr>
          <w:cantSplit/>
        </w:trPr>
        <w:tc>
          <w:tcPr>
            <w:tcW w:w="8771" w:type="dxa"/>
            <w:tcBorders>
              <w:top w:val="nil"/>
              <w:left w:val="single" w:sz="6" w:space="0" w:color="auto"/>
              <w:bottom w:val="nil"/>
              <w:right w:val="single" w:sz="6" w:space="0" w:color="auto"/>
            </w:tcBorders>
          </w:tcPr>
          <w:p w:rsidR="00D67E48" w:rsidRDefault="00D67E48" w:rsidP="00A87D70">
            <w:pPr>
              <w:pStyle w:val="BoxSource"/>
            </w:pPr>
            <w:r w:rsidRPr="003F4DF2">
              <w:rPr>
                <w:i/>
              </w:rPr>
              <w:t>Source</w:t>
            </w:r>
            <w:r w:rsidRPr="003F4DF2">
              <w:t xml:space="preserve">: </w:t>
            </w:r>
            <w:proofErr w:type="spellStart"/>
            <w:r w:rsidR="00F737DD">
              <w:t>Stiglitz</w:t>
            </w:r>
            <w:proofErr w:type="spellEnd"/>
            <w:r w:rsidR="00F737DD">
              <w:t xml:space="preserve">, </w:t>
            </w:r>
            <w:proofErr w:type="spellStart"/>
            <w:r w:rsidR="00F737DD">
              <w:t>Sen</w:t>
            </w:r>
            <w:proofErr w:type="spellEnd"/>
            <w:r w:rsidR="00F737DD">
              <w:t xml:space="preserve">, and </w:t>
            </w:r>
            <w:proofErr w:type="spellStart"/>
            <w:r w:rsidR="00F737DD">
              <w:t>Fitoussi</w:t>
            </w:r>
            <w:proofErr w:type="spellEnd"/>
            <w:r w:rsidRPr="003F4DF2">
              <w:t xml:space="preserve"> </w:t>
            </w:r>
            <w:r w:rsidR="00ED68B3">
              <w:t>(</w:t>
            </w:r>
            <w:r w:rsidRPr="003F4DF2">
              <w:t>2009</w:t>
            </w:r>
            <w:r w:rsidR="00ED68B3">
              <w:t xml:space="preserve">). </w:t>
            </w:r>
          </w:p>
        </w:tc>
      </w:tr>
      <w:tr w:rsidR="00D67E48">
        <w:trPr>
          <w:cantSplit/>
        </w:trPr>
        <w:tc>
          <w:tcPr>
            <w:tcW w:w="8771" w:type="dxa"/>
            <w:tcBorders>
              <w:top w:val="nil"/>
              <w:left w:val="single" w:sz="6" w:space="0" w:color="auto"/>
              <w:bottom w:val="single" w:sz="6" w:space="0" w:color="auto"/>
              <w:right w:val="single" w:sz="6" w:space="0" w:color="auto"/>
            </w:tcBorders>
          </w:tcPr>
          <w:p w:rsidR="00D67E48" w:rsidRDefault="00D67E48">
            <w:pPr>
              <w:pStyle w:val="Box"/>
              <w:spacing w:before="0" w:line="120" w:lineRule="exact"/>
            </w:pPr>
          </w:p>
        </w:tc>
      </w:tr>
      <w:tr w:rsidR="00D67E48">
        <w:tc>
          <w:tcPr>
            <w:tcW w:w="8771" w:type="dxa"/>
            <w:tcBorders>
              <w:top w:val="nil"/>
              <w:left w:val="nil"/>
              <w:bottom w:val="nil"/>
              <w:right w:val="nil"/>
            </w:tcBorders>
          </w:tcPr>
          <w:p w:rsidR="00D67E48" w:rsidRDefault="00D67E48">
            <w:pPr>
              <w:pStyle w:val="Box"/>
              <w:keepNext w:val="0"/>
              <w:spacing w:before="60" w:after="60" w:line="80" w:lineRule="exact"/>
              <w:rPr>
                <w:b/>
                <w:color w:val="FF00FF"/>
                <w:sz w:val="14"/>
              </w:rPr>
            </w:pPr>
          </w:p>
        </w:tc>
      </w:tr>
    </w:tbl>
    <w:p w:rsidR="00413F1E" w:rsidRPr="003F4DF2" w:rsidRDefault="00413F1E" w:rsidP="00C72536">
      <w:pPr>
        <w:pStyle w:val="BodyText"/>
      </w:pPr>
      <w:r>
        <w:t>Some natural capital is also very difficult to measure in quantity terms. For example, it is very difficult to measure stocks of soil compared to say stocks of fish</w:t>
      </w:r>
      <w:r w:rsidR="009A3F4D">
        <w:t xml:space="preserve">, </w:t>
      </w:r>
      <w:r>
        <w:t>which are more easily counted. A similar issue applies to the</w:t>
      </w:r>
      <w:r w:rsidRPr="003F4DF2">
        <w:t xml:space="preserve"> more intangible dimensions of social </w:t>
      </w:r>
      <w:r>
        <w:t xml:space="preserve">capital, </w:t>
      </w:r>
      <w:r w:rsidRPr="003F4DF2">
        <w:t>such as cultural diversity, social cohesion and self</w:t>
      </w:r>
      <w:r w:rsidRPr="003F4DF2">
        <w:noBreakHyphen/>
        <w:t>esteem (</w:t>
      </w:r>
      <w:proofErr w:type="spellStart"/>
      <w:r w:rsidRPr="003F4DF2">
        <w:t>Barbier</w:t>
      </w:r>
      <w:proofErr w:type="spellEnd"/>
      <w:r w:rsidRPr="003F4DF2">
        <w:t xml:space="preserve"> 1987). Thus, while </w:t>
      </w:r>
      <w:r>
        <w:t xml:space="preserve">extended </w:t>
      </w:r>
      <w:r w:rsidRPr="003F4DF2">
        <w:t>measures of capital stocks can incorpora</w:t>
      </w:r>
      <w:r>
        <w:t xml:space="preserve">te investments in some forms of capital, such as </w:t>
      </w:r>
      <w:r w:rsidRPr="003F4DF2">
        <w:t>human capital</w:t>
      </w:r>
      <w:r>
        <w:t xml:space="preserve"> (through education and its effect on labour income) and natural capital (through environmental conservation)</w:t>
      </w:r>
      <w:r w:rsidRPr="003F4DF2">
        <w:t xml:space="preserve">, </w:t>
      </w:r>
      <w:r>
        <w:t xml:space="preserve">the </w:t>
      </w:r>
      <w:r w:rsidRPr="003F4DF2">
        <w:t xml:space="preserve">more intangible </w:t>
      </w:r>
      <w:r>
        <w:t xml:space="preserve">social </w:t>
      </w:r>
      <w:r w:rsidRPr="003F4DF2">
        <w:t xml:space="preserve">assets are </w:t>
      </w:r>
      <w:r>
        <w:t>much harder to define</w:t>
      </w:r>
      <w:r w:rsidR="008548A7">
        <w:t>,</w:t>
      </w:r>
      <w:r>
        <w:t xml:space="preserve"> let alone quantify. Moreover, social capital is often not ‘produced’ through </w:t>
      </w:r>
      <w:r>
        <w:lastRenderedPageBreak/>
        <w:t>intentional investment strategies. It is a function of complex social</w:t>
      </w:r>
      <w:r w:rsidR="00CE491F">
        <w:t xml:space="preserve"> and cultural</w:t>
      </w:r>
      <w:r>
        <w:t xml:space="preserve"> interactions and thus the same inputs of produced and human capital can produce vastly different outcomes in terms of social capital. </w:t>
      </w:r>
      <w:r w:rsidR="009B0DBB">
        <w:t>Given the inherent difficult</w:t>
      </w:r>
      <w:r w:rsidR="008F3BDB">
        <w:t>y associated with</w:t>
      </w:r>
      <w:r w:rsidR="009B0DBB">
        <w:t xml:space="preserve"> deriving comprehensive measures of capital stocks and the uncertainty about future preferences</w:t>
      </w:r>
      <w:r w:rsidR="00632896">
        <w:t xml:space="preserve"> (and hence</w:t>
      </w:r>
      <w:r w:rsidR="008F3BDB">
        <w:t>,</w:t>
      </w:r>
      <w:r w:rsidR="00632896">
        <w:t xml:space="preserve"> the</w:t>
      </w:r>
      <w:r w:rsidR="00565D4F">
        <w:t xml:space="preserve"> future</w:t>
      </w:r>
      <w:r w:rsidR="00632896">
        <w:t xml:space="preserve"> values of different forms of capital)</w:t>
      </w:r>
      <w:r w:rsidR="009B0DBB">
        <w:t xml:space="preserve">, </w:t>
      </w:r>
      <w:proofErr w:type="spellStart"/>
      <w:r w:rsidR="009B0DBB">
        <w:t>Stiglitz</w:t>
      </w:r>
      <w:proofErr w:type="spellEnd"/>
      <w:r w:rsidR="009B0DBB">
        <w:t xml:space="preserve">, </w:t>
      </w:r>
      <w:proofErr w:type="spellStart"/>
      <w:r w:rsidR="009B0DBB">
        <w:t>Sen</w:t>
      </w:r>
      <w:proofErr w:type="spellEnd"/>
      <w:r w:rsidR="009B0DBB">
        <w:t xml:space="preserve"> and </w:t>
      </w:r>
      <w:proofErr w:type="spellStart"/>
      <w:r w:rsidR="009B0DBB">
        <w:t>Fitoussi</w:t>
      </w:r>
      <w:proofErr w:type="spellEnd"/>
      <w:r w:rsidR="009B0DBB">
        <w:t xml:space="preserve"> (2009) recommend</w:t>
      </w:r>
      <w:r w:rsidR="008548A7">
        <w:t>ed</w:t>
      </w:r>
      <w:r w:rsidR="009B0DBB">
        <w:t xml:space="preserve"> a </w:t>
      </w:r>
      <w:r w:rsidR="002A07BB">
        <w:t>‘</w:t>
      </w:r>
      <w:r w:rsidR="009B0DBB">
        <w:t>dashboard</w:t>
      </w:r>
      <w:r w:rsidR="002A07BB">
        <w:t>’</w:t>
      </w:r>
      <w:r w:rsidR="009B0DBB">
        <w:t xml:space="preserve"> of indicators to assess sustainability</w:t>
      </w:r>
      <w:r w:rsidR="00632896">
        <w:t xml:space="preserve"> (box</w:t>
      </w:r>
      <w:r w:rsidR="00DC2CDE">
        <w:t> </w:t>
      </w:r>
      <w:r w:rsidR="0014279B">
        <w:t>2</w:t>
      </w:r>
      <w:r w:rsidR="00632896">
        <w:t>)</w:t>
      </w:r>
      <w:r w:rsidR="009B0DBB">
        <w:t xml:space="preserve">. </w:t>
      </w:r>
      <w:r w:rsidR="00632896">
        <w:t>This includes physical indicators of the state of the environment.</w:t>
      </w:r>
    </w:p>
    <w:p w:rsidR="001E3BCB" w:rsidRDefault="00851E4F" w:rsidP="00C72536">
      <w:pPr>
        <w:pStyle w:val="BodyText"/>
      </w:pPr>
      <w:r w:rsidRPr="00851E4F">
        <w:t xml:space="preserve">In addition to </w:t>
      </w:r>
      <w:r w:rsidR="004C49A6">
        <w:t>better</w:t>
      </w:r>
      <w:r w:rsidR="004C49A6" w:rsidRPr="00851E4F">
        <w:t xml:space="preserve"> </w:t>
      </w:r>
      <w:r w:rsidRPr="00851E4F">
        <w:t>measures</w:t>
      </w:r>
      <w:r w:rsidR="004C49A6">
        <w:t xml:space="preserve"> of capital across all its forms</w:t>
      </w:r>
      <w:r>
        <w:t>,</w:t>
      </w:r>
      <w:r w:rsidR="00AD25AE">
        <w:t xml:space="preserve"> there is a need </w:t>
      </w:r>
      <w:r w:rsidR="004C49A6">
        <w:t xml:space="preserve">to determine the </w:t>
      </w:r>
      <w:r w:rsidR="003F4DF2" w:rsidRPr="003F4DF2">
        <w:t>desirable composition of the capital stock</w:t>
      </w:r>
      <w:r w:rsidR="001E3BCB">
        <w:t xml:space="preserve"> </w:t>
      </w:r>
      <w:r w:rsidR="003705E0">
        <w:t xml:space="preserve">to </w:t>
      </w:r>
      <w:r w:rsidR="002A07BB">
        <w:t xml:space="preserve">bequeath </w:t>
      </w:r>
      <w:r w:rsidR="003705E0">
        <w:t>to</w:t>
      </w:r>
      <w:r w:rsidR="001E3BCB">
        <w:t xml:space="preserve"> future generations</w:t>
      </w:r>
      <w:r>
        <w:t>. This</w:t>
      </w:r>
      <w:r w:rsidR="003F4DF2" w:rsidRPr="003F4DF2">
        <w:t xml:space="preserve"> requires consideration of the community’s willingness to substitute </w:t>
      </w:r>
      <w:r w:rsidR="002550D7">
        <w:t>between the different forms of capital</w:t>
      </w:r>
      <w:r w:rsidR="003F4DF2" w:rsidRPr="003F4DF2">
        <w:t xml:space="preserve"> and</w:t>
      </w:r>
      <w:r w:rsidR="002A07BB">
        <w:t>,</w:t>
      </w:r>
      <w:r w:rsidR="003F4DF2" w:rsidRPr="003F4DF2">
        <w:t xml:space="preserve"> </w:t>
      </w:r>
      <w:r w:rsidR="002550D7">
        <w:t xml:space="preserve">in particular, </w:t>
      </w:r>
      <w:r w:rsidR="003F4DF2" w:rsidRPr="003F4DF2">
        <w:t>an understanding of the v</w:t>
      </w:r>
      <w:r w:rsidR="00DC08EA">
        <w:t xml:space="preserve">alue people place on </w:t>
      </w:r>
      <w:r w:rsidR="003705E0">
        <w:t>different</w:t>
      </w:r>
      <w:r w:rsidR="003F4DF2" w:rsidRPr="003F4DF2">
        <w:t xml:space="preserve"> aspects of </w:t>
      </w:r>
      <w:r w:rsidR="00DC08EA">
        <w:t xml:space="preserve">wellbeing, particularly </w:t>
      </w:r>
      <w:r w:rsidR="008F3BDB">
        <w:t xml:space="preserve">those </w:t>
      </w:r>
      <w:r w:rsidR="00DC08EA">
        <w:t xml:space="preserve">relating to </w:t>
      </w:r>
      <w:r w:rsidR="00373710">
        <w:t xml:space="preserve">natural </w:t>
      </w:r>
      <w:r w:rsidR="003A1D31">
        <w:t xml:space="preserve">and social </w:t>
      </w:r>
      <w:r w:rsidR="00373710">
        <w:t>capital.</w:t>
      </w:r>
      <w:r w:rsidR="003F4DF2" w:rsidRPr="003F4DF2">
        <w:t xml:space="preserve"> </w:t>
      </w:r>
      <w:r w:rsidR="00FC7DFB">
        <w:t xml:space="preserve">A critical component of this assessment is an evaluation of the welfare </w:t>
      </w:r>
      <w:r w:rsidR="004C49A6">
        <w:t>implications</w:t>
      </w:r>
      <w:r w:rsidR="00FC7DFB">
        <w:t xml:space="preserve"> associated with losses of natural capital. </w:t>
      </w:r>
      <w:r w:rsidR="0054523A">
        <w:t xml:space="preserve">This requires difficult </w:t>
      </w:r>
      <w:r w:rsidR="001460DC">
        <w:t xml:space="preserve">decisions </w:t>
      </w:r>
      <w:r w:rsidR="00ED2628">
        <w:t>about</w:t>
      </w:r>
      <w:r>
        <w:t xml:space="preserve"> </w:t>
      </w:r>
      <w:r w:rsidR="0054523A">
        <w:t>trade</w:t>
      </w:r>
      <w:r w:rsidR="00A42E76">
        <w:noBreakHyphen/>
      </w:r>
      <w:r w:rsidR="0054523A">
        <w:t>offs</w:t>
      </w:r>
      <w:r w:rsidR="00ED2628">
        <w:t xml:space="preserve"> that could be better informed if more was known about how society values environmental outcomes relative to other goods and services</w:t>
      </w:r>
      <w:r w:rsidR="004C49A6">
        <w:t>.</w:t>
      </w:r>
    </w:p>
    <w:p w:rsidR="001B1DC5" w:rsidRDefault="001B1DC5" w:rsidP="00C72536">
      <w:pPr>
        <w:pStyle w:val="BodyText"/>
      </w:pPr>
      <w:r>
        <w:br w:type="page"/>
      </w:r>
    </w:p>
    <w:p w:rsidR="001B1DC5" w:rsidRPr="001B1DC5" w:rsidRDefault="001B1DC5" w:rsidP="00C72536">
      <w:pPr>
        <w:pStyle w:val="Heading2"/>
      </w:pPr>
      <w:r w:rsidRPr="001B1DC5">
        <w:lastRenderedPageBreak/>
        <w:t>References</w:t>
      </w:r>
    </w:p>
    <w:p w:rsidR="00665B1F" w:rsidRDefault="0058417D" w:rsidP="00CE0B69">
      <w:pPr>
        <w:pStyle w:val="Reference"/>
      </w:pPr>
      <w:r>
        <w:t>ABS (Australian Bureau of Statistics)</w:t>
      </w:r>
      <w:r w:rsidR="00665B1F">
        <w:t xml:space="preserve"> </w:t>
      </w:r>
      <w:r w:rsidR="00665B1F" w:rsidRPr="00E67B77">
        <w:t xml:space="preserve">2010, </w:t>
      </w:r>
      <w:r w:rsidR="00665B1F" w:rsidRPr="009A46F8">
        <w:rPr>
          <w:i/>
        </w:rPr>
        <w:t>Measures of Australia’s Progress</w:t>
      </w:r>
      <w:r w:rsidR="00665B1F" w:rsidRPr="00E80D04">
        <w:t xml:space="preserve"> — </w:t>
      </w:r>
      <w:r w:rsidR="00665B1F" w:rsidRPr="009A46F8">
        <w:rPr>
          <w:i/>
        </w:rPr>
        <w:t>Is life in Australia getting better?</w:t>
      </w:r>
      <w:r w:rsidR="00665B1F" w:rsidRPr="00146F40">
        <w:t xml:space="preserve">, </w:t>
      </w:r>
      <w:r w:rsidR="00665B1F">
        <w:t xml:space="preserve">Canberra, </w:t>
      </w:r>
      <w:proofErr w:type="spellStart"/>
      <w:r w:rsidR="00CE0B69" w:rsidRPr="00742747">
        <w:t>www.abs.gov.au</w:t>
      </w:r>
      <w:proofErr w:type="spellEnd"/>
      <w:r w:rsidR="00CE0B69" w:rsidRPr="00742747">
        <w:t>/</w:t>
      </w:r>
      <w:proofErr w:type="spellStart"/>
      <w:r w:rsidR="00CE0B69" w:rsidRPr="00742747">
        <w:t>ausstats</w:t>
      </w:r>
      <w:proofErr w:type="spellEnd"/>
      <w:r w:rsidR="00CE0B69" w:rsidRPr="00742747">
        <w:t>/abs@</w:t>
      </w:r>
      <w:r w:rsidR="00CE0B69" w:rsidRPr="00742747">
        <w:br/>
        <w:t>.</w:t>
      </w:r>
      <w:proofErr w:type="spellStart"/>
      <w:r w:rsidR="00CE0B69" w:rsidRPr="00742747">
        <w:t>nsf</w:t>
      </w:r>
      <w:proofErr w:type="spellEnd"/>
      <w:r w:rsidR="00CE0B69" w:rsidRPr="00742747">
        <w:t>/mf/1370.0</w:t>
      </w:r>
      <w:r w:rsidR="00665B1F" w:rsidRPr="00E67B77">
        <w:t xml:space="preserve"> (accessed 19</w:t>
      </w:r>
      <w:r w:rsidR="00665B1F">
        <w:t> </w:t>
      </w:r>
      <w:r w:rsidR="00665B1F" w:rsidRPr="00E67B77">
        <w:t>October 2011)</w:t>
      </w:r>
      <w:r w:rsidR="00665B1F">
        <w:t>.</w:t>
      </w:r>
    </w:p>
    <w:p w:rsidR="00665B1F" w:rsidRPr="001B1DC5" w:rsidRDefault="00665B1F" w:rsidP="00CE0B69">
      <w:pPr>
        <w:pStyle w:val="Reference"/>
      </w:pPr>
      <w:r>
        <w:t xml:space="preserve">—— </w:t>
      </w:r>
      <w:r w:rsidRPr="001B1DC5">
        <w:t xml:space="preserve">2012, </w:t>
      </w:r>
      <w:r w:rsidRPr="001B1DC5">
        <w:rPr>
          <w:i/>
        </w:rPr>
        <w:t>Completing the Picture, Environmental Accounting in Practice</w:t>
      </w:r>
      <w:r w:rsidRPr="001B1DC5">
        <w:t>, Cat.</w:t>
      </w:r>
      <w:r>
        <w:t> n</w:t>
      </w:r>
      <w:r w:rsidRPr="001B1DC5">
        <w:t>o.</w:t>
      </w:r>
      <w:r>
        <w:t> </w:t>
      </w:r>
      <w:r w:rsidRPr="001B1DC5">
        <w:t>4628.0.55.001</w:t>
      </w:r>
      <w:r>
        <w:t>, Canberra.</w:t>
      </w:r>
    </w:p>
    <w:p w:rsidR="00665B1F" w:rsidRDefault="00665B1F" w:rsidP="00CE0B69">
      <w:pPr>
        <w:pStyle w:val="Reference"/>
      </w:pPr>
      <w:r>
        <w:t>Adams, W. M.</w:t>
      </w:r>
      <w:r w:rsidRPr="001B1DC5">
        <w:t xml:space="preserve"> 2006, </w:t>
      </w:r>
      <w:r>
        <w:rPr>
          <w:i/>
        </w:rPr>
        <w:t>The Future of Sustainability:</w:t>
      </w:r>
      <w:r w:rsidRPr="001B1DC5">
        <w:rPr>
          <w:i/>
        </w:rPr>
        <w:t xml:space="preserve"> Re</w:t>
      </w:r>
      <w:r w:rsidRPr="001B1DC5">
        <w:rPr>
          <w:i/>
        </w:rPr>
        <w:noBreakHyphen/>
        <w:t>thinking Environment and Development in the Twenty</w:t>
      </w:r>
      <w:r w:rsidRPr="001B1DC5">
        <w:rPr>
          <w:i/>
        </w:rPr>
        <w:noBreakHyphen/>
        <w:t>first Century</w:t>
      </w:r>
      <w:r>
        <w:t>, International Union for Conservation of Nature, Gland, Switzerland.</w:t>
      </w:r>
    </w:p>
    <w:p w:rsidR="00665B1F" w:rsidRPr="001B1DC5" w:rsidRDefault="00665B1F" w:rsidP="00CE0B69">
      <w:pPr>
        <w:pStyle w:val="Reference"/>
      </w:pPr>
      <w:r w:rsidRPr="001B1DC5">
        <w:t xml:space="preserve">Arrow, K., </w:t>
      </w:r>
      <w:proofErr w:type="spellStart"/>
      <w:r w:rsidRPr="001B1DC5">
        <w:t>Dasgupta</w:t>
      </w:r>
      <w:proofErr w:type="spellEnd"/>
      <w:r w:rsidRPr="001B1DC5">
        <w:t xml:space="preserve">, P., </w:t>
      </w:r>
      <w:proofErr w:type="spellStart"/>
      <w:r w:rsidRPr="001B1DC5">
        <w:t>Goulder</w:t>
      </w:r>
      <w:proofErr w:type="spellEnd"/>
      <w:r w:rsidRPr="001B1DC5">
        <w:t xml:space="preserve">, L., Daily, G., Ehrlich, P., Heal, G., Levin., S., </w:t>
      </w:r>
      <w:proofErr w:type="spellStart"/>
      <w:r w:rsidRPr="001B1DC5">
        <w:t>Maler</w:t>
      </w:r>
      <w:proofErr w:type="spellEnd"/>
      <w:r w:rsidRPr="00C73185">
        <w:t xml:space="preserve">, K., Schneider, S., </w:t>
      </w:r>
      <w:proofErr w:type="spellStart"/>
      <w:r w:rsidRPr="00C73185">
        <w:t>Starrett</w:t>
      </w:r>
      <w:proofErr w:type="spellEnd"/>
      <w:r w:rsidRPr="00C73185">
        <w:t>, D., and Walker, B. 2004, ‘Are we consuming too much?</w:t>
      </w:r>
      <w:r>
        <w:t>’,</w:t>
      </w:r>
      <w:r w:rsidRPr="00C73185">
        <w:t xml:space="preserve"> </w:t>
      </w:r>
      <w:r w:rsidRPr="00C73185">
        <w:rPr>
          <w:i/>
        </w:rPr>
        <w:t>Journal of Economic Perspectives</w:t>
      </w:r>
      <w:r w:rsidRPr="001B1DC5">
        <w:t>,</w:t>
      </w:r>
      <w:r>
        <w:t xml:space="preserve"> vol. 18, no. 3, </w:t>
      </w:r>
      <w:r w:rsidRPr="001B1DC5">
        <w:t>pp.</w:t>
      </w:r>
      <w:r>
        <w:t> </w:t>
      </w:r>
      <w:r w:rsidRPr="001B1DC5">
        <w:t>147</w:t>
      </w:r>
      <w:r>
        <w:t>–</w:t>
      </w:r>
      <w:r w:rsidRPr="001B1DC5">
        <w:t>172</w:t>
      </w:r>
      <w:r>
        <w:t>.</w:t>
      </w:r>
    </w:p>
    <w:p w:rsidR="00665B1F" w:rsidRPr="001254FD" w:rsidRDefault="00665B1F" w:rsidP="00CE0B69">
      <w:pPr>
        <w:pStyle w:val="Reference"/>
      </w:pPr>
      <w:r w:rsidRPr="001B1DC5">
        <w:t xml:space="preserve">Australian Government </w:t>
      </w:r>
      <w:r w:rsidRPr="001254FD">
        <w:t xml:space="preserve">2007, </w:t>
      </w:r>
      <w:r w:rsidRPr="00031A9A">
        <w:rPr>
          <w:i/>
        </w:rPr>
        <w:t>Best Practice Regulation Handbook</w:t>
      </w:r>
      <w:r w:rsidRPr="001254FD">
        <w:t>, Canberra.</w:t>
      </w:r>
    </w:p>
    <w:p w:rsidR="00665B1F" w:rsidRPr="001B1DC5" w:rsidRDefault="00665B1F" w:rsidP="00CE0B69">
      <w:pPr>
        <w:pStyle w:val="Reference"/>
      </w:pPr>
      <w:r w:rsidRPr="009A50DF">
        <w:t>Australian Treasury 2004, ‘Policy advice and Treasury’s wellbeing framework’</w:t>
      </w:r>
      <w:r>
        <w:t xml:space="preserve">, </w:t>
      </w:r>
      <w:r>
        <w:rPr>
          <w:i/>
        </w:rPr>
        <w:t>Economic Roundup</w:t>
      </w:r>
      <w:r>
        <w:t>, Winter, Canberra.</w:t>
      </w:r>
    </w:p>
    <w:p w:rsidR="00665B1F" w:rsidRPr="001B1DC5" w:rsidRDefault="00665B1F" w:rsidP="00CE0B69">
      <w:pPr>
        <w:pStyle w:val="Reference"/>
      </w:pPr>
      <w:r>
        <w:t xml:space="preserve">—— </w:t>
      </w:r>
      <w:r w:rsidRPr="001B1DC5">
        <w:t xml:space="preserve">2010, </w:t>
      </w:r>
      <w:r>
        <w:rPr>
          <w:i/>
        </w:rPr>
        <w:t>Australia t</w:t>
      </w:r>
      <w:r w:rsidRPr="001B1DC5">
        <w:rPr>
          <w:i/>
        </w:rPr>
        <w:t>o 2050: Future Challenges</w:t>
      </w:r>
      <w:r w:rsidRPr="001B1DC5">
        <w:t xml:space="preserve">, </w:t>
      </w:r>
      <w:r>
        <w:t>Canberra.</w:t>
      </w:r>
    </w:p>
    <w:p w:rsidR="00665B1F" w:rsidRPr="001B1DC5" w:rsidRDefault="00665B1F" w:rsidP="00CE0B69">
      <w:pPr>
        <w:pStyle w:val="Reference"/>
      </w:pPr>
      <w:r w:rsidRPr="001B1DC5">
        <w:t xml:space="preserve">Baker, R., Barker, A., Johnston, A. and </w:t>
      </w:r>
      <w:proofErr w:type="spellStart"/>
      <w:r w:rsidRPr="001B1DC5">
        <w:t>Kohlhaas</w:t>
      </w:r>
      <w:proofErr w:type="spellEnd"/>
      <w:r w:rsidRPr="001B1DC5">
        <w:t xml:space="preserve">, M. 2008, </w:t>
      </w:r>
      <w:r w:rsidRPr="001B1DC5">
        <w:rPr>
          <w:i/>
        </w:rPr>
        <w:t xml:space="preserve">The Stern Review: </w:t>
      </w:r>
      <w:r>
        <w:rPr>
          <w:i/>
        </w:rPr>
        <w:t>A</w:t>
      </w:r>
      <w:r w:rsidRPr="001B1DC5">
        <w:rPr>
          <w:i/>
        </w:rPr>
        <w:t xml:space="preserve">n </w:t>
      </w:r>
      <w:r>
        <w:rPr>
          <w:i/>
        </w:rPr>
        <w:t>A</w:t>
      </w:r>
      <w:r w:rsidRPr="001B1DC5">
        <w:rPr>
          <w:i/>
        </w:rPr>
        <w:t xml:space="preserve">ssessment of its </w:t>
      </w:r>
      <w:r>
        <w:rPr>
          <w:i/>
        </w:rPr>
        <w:t>M</w:t>
      </w:r>
      <w:r w:rsidRPr="001B1DC5">
        <w:rPr>
          <w:i/>
        </w:rPr>
        <w:t>ethodology</w:t>
      </w:r>
      <w:r w:rsidRPr="001B1DC5">
        <w:t>, Productivity Commission Staff Working Paper, Canberra.</w:t>
      </w:r>
    </w:p>
    <w:p w:rsidR="00665B1F" w:rsidRDefault="00665B1F" w:rsidP="00CE0B69">
      <w:pPr>
        <w:pStyle w:val="Reference"/>
      </w:pPr>
      <w:r>
        <w:t xml:space="preserve">Banks, G. 2009, </w:t>
      </w:r>
      <w:r w:rsidRPr="00CE491F">
        <w:rPr>
          <w:i/>
        </w:rPr>
        <w:t xml:space="preserve">Markets: </w:t>
      </w:r>
      <w:r>
        <w:rPr>
          <w:i/>
        </w:rPr>
        <w:t>H</w:t>
      </w:r>
      <w:r w:rsidRPr="00CE491F">
        <w:rPr>
          <w:i/>
        </w:rPr>
        <w:t xml:space="preserve">ow </w:t>
      </w:r>
      <w:r>
        <w:rPr>
          <w:i/>
        </w:rPr>
        <w:t>F</w:t>
      </w:r>
      <w:r w:rsidRPr="00CE491F">
        <w:rPr>
          <w:i/>
        </w:rPr>
        <w:t>ree?</w:t>
      </w:r>
      <w:r>
        <w:t>, address to the Governing the Economy Symposium, Whitlam Institute, Sydney, 30 November.</w:t>
      </w:r>
    </w:p>
    <w:p w:rsidR="00665B1F" w:rsidRDefault="00665B1F" w:rsidP="00CE0B69">
      <w:pPr>
        <w:pStyle w:val="Reference"/>
      </w:pPr>
      <w:proofErr w:type="spellStart"/>
      <w:r w:rsidRPr="001B1DC5">
        <w:t>Barbier</w:t>
      </w:r>
      <w:proofErr w:type="spellEnd"/>
      <w:r w:rsidRPr="001B1DC5">
        <w:t>, E</w:t>
      </w:r>
      <w:r>
        <w:t>.</w:t>
      </w:r>
      <w:r w:rsidRPr="001B1DC5">
        <w:t xml:space="preserve"> 1987, </w:t>
      </w:r>
      <w:r>
        <w:t>‘</w:t>
      </w:r>
      <w:r w:rsidRPr="00BB597E">
        <w:t xml:space="preserve">The </w:t>
      </w:r>
      <w:r>
        <w:t>c</w:t>
      </w:r>
      <w:r w:rsidRPr="00BB597E">
        <w:t xml:space="preserve">oncept of </w:t>
      </w:r>
      <w:r>
        <w:t>s</w:t>
      </w:r>
      <w:r w:rsidRPr="00BB597E">
        <w:t xml:space="preserve">ustainable </w:t>
      </w:r>
      <w:r>
        <w:t>e</w:t>
      </w:r>
      <w:r w:rsidRPr="00BB597E">
        <w:t xml:space="preserve">conomic </w:t>
      </w:r>
      <w:r>
        <w:t>d</w:t>
      </w:r>
      <w:r w:rsidRPr="00BB597E">
        <w:t>evelopment</w:t>
      </w:r>
      <w:r>
        <w:t>’</w:t>
      </w:r>
      <w:r w:rsidRPr="001B1DC5">
        <w:t xml:space="preserve">, </w:t>
      </w:r>
      <w:r w:rsidRPr="00BB597E">
        <w:rPr>
          <w:i/>
        </w:rPr>
        <w:t>Environmental Conservation</w:t>
      </w:r>
      <w:r w:rsidRPr="001B1DC5">
        <w:t xml:space="preserve">, </w:t>
      </w:r>
      <w:r>
        <w:t>v</w:t>
      </w:r>
      <w:r w:rsidRPr="001B1DC5">
        <w:t xml:space="preserve">ol. 14, </w:t>
      </w:r>
      <w:r>
        <w:t>no. 2, pp. 101–110.</w:t>
      </w:r>
    </w:p>
    <w:p w:rsidR="00665B1F" w:rsidRPr="007A378F" w:rsidRDefault="00665B1F" w:rsidP="00CE0B69">
      <w:pPr>
        <w:pStyle w:val="Reference"/>
      </w:pPr>
      <w:r>
        <w:t>Beckerman, W. 1994,</w:t>
      </w:r>
      <w:r w:rsidRPr="007A378F">
        <w:t xml:space="preserve"> </w:t>
      </w:r>
      <w:r>
        <w:t>‘</w:t>
      </w:r>
      <w:r w:rsidRPr="007A378F">
        <w:t xml:space="preserve">‘Sustainable </w:t>
      </w:r>
      <w:r>
        <w:t>d</w:t>
      </w:r>
      <w:r w:rsidRPr="007A378F">
        <w:t>evelopment’: Is it a useful concept?</w:t>
      </w:r>
      <w:r>
        <w:t>’,</w:t>
      </w:r>
      <w:r w:rsidRPr="007A378F">
        <w:t xml:space="preserve"> </w:t>
      </w:r>
      <w:r w:rsidRPr="007A378F">
        <w:rPr>
          <w:i/>
        </w:rPr>
        <w:t>Environmental Values</w:t>
      </w:r>
      <w:r w:rsidRPr="007A378F">
        <w:t>, vol. 3</w:t>
      </w:r>
      <w:r>
        <w:t>, no. 3</w:t>
      </w:r>
      <w:r w:rsidRPr="007A378F">
        <w:t>, pp. 191–209</w:t>
      </w:r>
      <w:r>
        <w:t>.</w:t>
      </w:r>
    </w:p>
    <w:p w:rsidR="00C2769D" w:rsidRDefault="00C2769D" w:rsidP="00CE0B69">
      <w:pPr>
        <w:pStyle w:val="Reference"/>
      </w:pPr>
      <w:r>
        <w:t xml:space="preserve">Biddle, N., Davis, E., Myers, J., </w:t>
      </w:r>
      <w:proofErr w:type="spellStart"/>
      <w:r>
        <w:t>Dodhy</w:t>
      </w:r>
      <w:proofErr w:type="spellEnd"/>
      <w:r>
        <w:t xml:space="preserve">, RS. 2009, </w:t>
      </w:r>
      <w:r w:rsidRPr="0068599C">
        <w:rPr>
          <w:i/>
        </w:rPr>
        <w:t xml:space="preserve">Exploring Measures of Low Social </w:t>
      </w:r>
      <w:r>
        <w:rPr>
          <w:i/>
        </w:rPr>
        <w:t>Capital</w:t>
      </w:r>
      <w:r w:rsidRPr="008D656C">
        <w:t>,</w:t>
      </w:r>
      <w:r>
        <w:t xml:space="preserve"> Australian Bureau of Statistics Research Paper. Cat. no. 1351.0.55.024, Canberra.</w:t>
      </w:r>
    </w:p>
    <w:p w:rsidR="00665B1F" w:rsidRPr="001B1DC5" w:rsidRDefault="00665B1F" w:rsidP="00CE0B69">
      <w:pPr>
        <w:pStyle w:val="Reference"/>
      </w:pPr>
      <w:r w:rsidRPr="001B1DC5">
        <w:t xml:space="preserve">Commonwealth of Australia 1992, </w:t>
      </w:r>
      <w:r w:rsidRPr="001B1DC5">
        <w:rPr>
          <w:i/>
        </w:rPr>
        <w:t>The National Strategy for Ecologically Sustainable Development</w:t>
      </w:r>
      <w:r w:rsidRPr="001B1DC5">
        <w:t xml:space="preserve">, </w:t>
      </w:r>
      <w:r>
        <w:t>Canberra.</w:t>
      </w:r>
    </w:p>
    <w:p w:rsidR="00665B1F" w:rsidRPr="001B1DC5" w:rsidRDefault="00665B1F" w:rsidP="00CE0B69">
      <w:pPr>
        <w:pStyle w:val="Reference"/>
      </w:pPr>
      <w:r w:rsidRPr="001B1DC5">
        <w:t xml:space="preserve">COAG (Council of Australian Governments) 1992, </w:t>
      </w:r>
      <w:r w:rsidRPr="001B1DC5">
        <w:rPr>
          <w:i/>
        </w:rPr>
        <w:t>Intergovernmental Agreement on the Environment</w:t>
      </w:r>
      <w:r w:rsidRPr="001B1DC5">
        <w:t>,</w:t>
      </w:r>
      <w:r>
        <w:t xml:space="preserve"> Canberra.</w:t>
      </w:r>
    </w:p>
    <w:p w:rsidR="00665B1F" w:rsidRDefault="00665B1F" w:rsidP="00CE0B69">
      <w:pPr>
        <w:pStyle w:val="Reference"/>
      </w:pPr>
      <w:proofErr w:type="spellStart"/>
      <w:r>
        <w:t>Dasgupta</w:t>
      </w:r>
      <w:proofErr w:type="spellEnd"/>
      <w:r>
        <w:t xml:space="preserve">, P. and Heal, G,. </w:t>
      </w:r>
      <w:r w:rsidRPr="00E41688">
        <w:t>1974, ‘The optimal depletion of exhaustible resources’,</w:t>
      </w:r>
      <w:r>
        <w:t xml:space="preserve"> </w:t>
      </w:r>
      <w:r w:rsidRPr="007D6E8B">
        <w:rPr>
          <w:i/>
        </w:rPr>
        <w:t>Review of Economic Studies</w:t>
      </w:r>
      <w:r>
        <w:t>, vol. 41, pp.</w:t>
      </w:r>
      <w:r w:rsidR="00824A7C">
        <w:t> </w:t>
      </w:r>
      <w:r>
        <w:t>3–28.</w:t>
      </w:r>
    </w:p>
    <w:p w:rsidR="00665B1F" w:rsidRDefault="00665B1F" w:rsidP="00CE0B69">
      <w:pPr>
        <w:pStyle w:val="Reference"/>
      </w:pPr>
      <w:r w:rsidRPr="005D4BF2">
        <w:lastRenderedPageBreak/>
        <w:t xml:space="preserve">Daly, H 1990, ‘Towards some operational principles of sustainable development’, </w:t>
      </w:r>
      <w:r w:rsidRPr="00217CBB">
        <w:rPr>
          <w:i/>
        </w:rPr>
        <w:t>Ecological Economics</w:t>
      </w:r>
      <w:r>
        <w:t xml:space="preserve">, </w:t>
      </w:r>
      <w:proofErr w:type="spellStart"/>
      <w:r>
        <w:t>vol</w:t>
      </w:r>
      <w:proofErr w:type="spellEnd"/>
      <w:r>
        <w:t>, 2, no. 1, pp. 1–6.</w:t>
      </w:r>
    </w:p>
    <w:p w:rsidR="00665B1F" w:rsidRPr="006D33FB" w:rsidRDefault="00665B1F" w:rsidP="00CE0B69">
      <w:pPr>
        <w:pStyle w:val="Reference"/>
      </w:pPr>
      <w:proofErr w:type="spellStart"/>
      <w:r>
        <w:t>DSEWPC</w:t>
      </w:r>
      <w:proofErr w:type="spellEnd"/>
      <w:r>
        <w:t xml:space="preserve"> (</w:t>
      </w:r>
      <w:r w:rsidRPr="001B1DC5">
        <w:t>Department of Sustainability, Environment, Water, Population and Communities</w:t>
      </w:r>
      <w:r>
        <w:t>)</w:t>
      </w:r>
      <w:r w:rsidRPr="001B1DC5">
        <w:t xml:space="preserve"> </w:t>
      </w:r>
      <w:r w:rsidRPr="006D33FB">
        <w:t xml:space="preserve">2011, </w:t>
      </w:r>
      <w:r w:rsidRPr="003A273A">
        <w:rPr>
          <w:i/>
        </w:rPr>
        <w:t>Sustainable Australia — Sustainable Communities: A Sustainable Population Strategy for Australia</w:t>
      </w:r>
      <w:r w:rsidRPr="006D33FB">
        <w:t xml:space="preserve">, </w:t>
      </w:r>
      <w:r>
        <w:t>Canberra.</w:t>
      </w:r>
    </w:p>
    <w:p w:rsidR="00415ABA" w:rsidRDefault="00415ABA" w:rsidP="00CE0B69">
      <w:pPr>
        <w:pStyle w:val="Reference"/>
      </w:pPr>
      <w:r>
        <w:t xml:space="preserve">—— 2012, </w:t>
      </w:r>
      <w:r w:rsidRPr="00031A9A">
        <w:rPr>
          <w:i/>
        </w:rPr>
        <w:t>Southern Tanami Indigenous Protected Area</w:t>
      </w:r>
      <w:r>
        <w:t xml:space="preserve">, Department of Sustainability, Environment, Water, Population and Communities, Canberra, </w:t>
      </w:r>
      <w:r w:rsidRPr="00B77B41">
        <w:t>www.environment.gov.au/indigenous/ipa/declared/southern-tanami.html</w:t>
      </w:r>
      <w:r>
        <w:t xml:space="preserve"> (accessed 22</w:t>
      </w:r>
      <w:r w:rsidR="00A42E76">
        <w:t> </w:t>
      </w:r>
      <w:r>
        <w:t>August 2012).</w:t>
      </w:r>
    </w:p>
    <w:p w:rsidR="00415ABA" w:rsidRDefault="00415ABA" w:rsidP="00CE0B69">
      <w:pPr>
        <w:pStyle w:val="Reference"/>
      </w:pPr>
      <w:r>
        <w:t xml:space="preserve">—— 2013, </w:t>
      </w:r>
      <w:r w:rsidRPr="0036573C">
        <w:rPr>
          <w:i/>
        </w:rPr>
        <w:t>National Sustainability Council</w:t>
      </w:r>
      <w:r>
        <w:t xml:space="preserve">, Canberra, </w:t>
      </w:r>
      <w:proofErr w:type="spellStart"/>
      <w:r w:rsidRPr="0036573C">
        <w:t>www.environment.gov.au</w:t>
      </w:r>
      <w:proofErr w:type="spellEnd"/>
      <w:r w:rsidRPr="0036573C">
        <w:t>/sustainability/measuring/</w:t>
      </w:r>
      <w:proofErr w:type="spellStart"/>
      <w:r w:rsidRPr="0036573C">
        <w:t>council.html</w:t>
      </w:r>
      <w:proofErr w:type="spellEnd"/>
      <w:r>
        <w:t xml:space="preserve"> (accessed 26 March 2013).</w:t>
      </w:r>
    </w:p>
    <w:p w:rsidR="00665B1F" w:rsidRDefault="00665B1F" w:rsidP="00CE0B69">
      <w:pPr>
        <w:pStyle w:val="Reference"/>
      </w:pPr>
      <w:r w:rsidRPr="001B1DC5">
        <w:t xml:space="preserve">Harrison, M. 2010, </w:t>
      </w:r>
      <w:r w:rsidRPr="001B1DC5">
        <w:rPr>
          <w:i/>
        </w:rPr>
        <w:t xml:space="preserve">Valuing the Future: </w:t>
      </w:r>
      <w:r>
        <w:rPr>
          <w:i/>
        </w:rPr>
        <w:t>T</w:t>
      </w:r>
      <w:r w:rsidRPr="001B1DC5">
        <w:rPr>
          <w:i/>
        </w:rPr>
        <w:t xml:space="preserve">he </w:t>
      </w:r>
      <w:r>
        <w:rPr>
          <w:i/>
        </w:rPr>
        <w:t>S</w:t>
      </w:r>
      <w:r w:rsidRPr="001B1DC5">
        <w:rPr>
          <w:i/>
        </w:rPr>
        <w:t xml:space="preserve">ocial </w:t>
      </w:r>
      <w:r>
        <w:rPr>
          <w:i/>
        </w:rPr>
        <w:t>D</w:t>
      </w:r>
      <w:r w:rsidRPr="001B1DC5">
        <w:rPr>
          <w:i/>
        </w:rPr>
        <w:t xml:space="preserve">iscount </w:t>
      </w:r>
      <w:r>
        <w:rPr>
          <w:i/>
        </w:rPr>
        <w:t>R</w:t>
      </w:r>
      <w:r w:rsidRPr="001B1DC5">
        <w:rPr>
          <w:i/>
        </w:rPr>
        <w:t xml:space="preserve">ate in </w:t>
      </w:r>
      <w:r>
        <w:rPr>
          <w:i/>
        </w:rPr>
        <w:t>C</w:t>
      </w:r>
      <w:r w:rsidRPr="001B1DC5">
        <w:rPr>
          <w:i/>
        </w:rPr>
        <w:t>ost</w:t>
      </w:r>
      <w:r>
        <w:rPr>
          <w:i/>
        </w:rPr>
        <w:t>–B</w:t>
      </w:r>
      <w:r w:rsidRPr="001B1DC5">
        <w:rPr>
          <w:i/>
        </w:rPr>
        <w:t xml:space="preserve">enefit </w:t>
      </w:r>
      <w:r>
        <w:rPr>
          <w:i/>
        </w:rPr>
        <w:t>A</w:t>
      </w:r>
      <w:r w:rsidRPr="001B1DC5">
        <w:rPr>
          <w:i/>
        </w:rPr>
        <w:t>nalysis</w:t>
      </w:r>
      <w:r w:rsidRPr="004C292F">
        <w:t>,</w:t>
      </w:r>
      <w:r w:rsidRPr="001B1DC5">
        <w:rPr>
          <w:i/>
        </w:rPr>
        <w:t xml:space="preserve"> </w:t>
      </w:r>
      <w:r w:rsidRPr="001B1DC5">
        <w:t>Visiting Researcher Paper, Productivity Commission, Canberra.</w:t>
      </w:r>
    </w:p>
    <w:p w:rsidR="00665B1F" w:rsidRDefault="00665B1F" w:rsidP="00CE0B69">
      <w:pPr>
        <w:pStyle w:val="Reference"/>
      </w:pPr>
      <w:proofErr w:type="spellStart"/>
      <w:r w:rsidRPr="00E67B77">
        <w:t>Har</w:t>
      </w:r>
      <w:r w:rsidRPr="004C292F">
        <w:t>twick</w:t>
      </w:r>
      <w:proofErr w:type="spellEnd"/>
      <w:r w:rsidRPr="004C292F">
        <w:t>, J. 1977 ‘Intergenerational equity and the investing of rents from exhaustible resources’</w:t>
      </w:r>
      <w:r w:rsidRPr="00E67B77">
        <w:t xml:space="preserve">, </w:t>
      </w:r>
      <w:r w:rsidRPr="004C292F">
        <w:rPr>
          <w:i/>
        </w:rPr>
        <w:t>American Economic Review</w:t>
      </w:r>
      <w:r w:rsidRPr="00E67B77">
        <w:t xml:space="preserve">, </w:t>
      </w:r>
      <w:r>
        <w:t>v</w:t>
      </w:r>
      <w:r w:rsidRPr="00E67B77">
        <w:t xml:space="preserve">ol. 67. </w:t>
      </w:r>
      <w:r>
        <w:t>n</w:t>
      </w:r>
      <w:r w:rsidRPr="00E67B77">
        <w:t>o. 5</w:t>
      </w:r>
      <w:r>
        <w:t>, pp. 972–974.</w:t>
      </w:r>
    </w:p>
    <w:p w:rsidR="00665B1F" w:rsidRPr="001B1DC5" w:rsidRDefault="00665B1F" w:rsidP="00CE0B69">
      <w:pPr>
        <w:pStyle w:val="Reference"/>
      </w:pPr>
      <w:r>
        <w:t xml:space="preserve">IC (Industry Commission) </w:t>
      </w:r>
      <w:r w:rsidRPr="001B1DC5">
        <w:t>1998</w:t>
      </w:r>
      <w:r>
        <w:t>,</w:t>
      </w:r>
      <w:r w:rsidRPr="001B1DC5">
        <w:t xml:space="preserve"> </w:t>
      </w:r>
      <w:r w:rsidRPr="001B1DC5">
        <w:rPr>
          <w:i/>
        </w:rPr>
        <w:t xml:space="preserve">A Full Repairing Lease: Inquiry into Ecologically Sustainable Land Management, </w:t>
      </w:r>
      <w:r>
        <w:t>Report No. 60, Canberra.</w:t>
      </w:r>
    </w:p>
    <w:p w:rsidR="00665B1F" w:rsidRDefault="00665B1F" w:rsidP="00CE0B69">
      <w:pPr>
        <w:pStyle w:val="Reference"/>
      </w:pPr>
      <w:proofErr w:type="spellStart"/>
      <w:r>
        <w:t>IISD</w:t>
      </w:r>
      <w:proofErr w:type="spellEnd"/>
      <w:r>
        <w:t xml:space="preserve"> (International Institute for Sustainable Development) 2012, </w:t>
      </w:r>
      <w:r w:rsidRPr="005F3D0E">
        <w:rPr>
          <w:i/>
        </w:rPr>
        <w:t>What is Sustainable Development?</w:t>
      </w:r>
      <w:r>
        <w:t xml:space="preserve">, Winnipeg, </w:t>
      </w:r>
      <w:proofErr w:type="spellStart"/>
      <w:r>
        <w:t>www.iisd.org</w:t>
      </w:r>
      <w:proofErr w:type="spellEnd"/>
      <w:r>
        <w:t>/</w:t>
      </w:r>
      <w:proofErr w:type="spellStart"/>
      <w:r>
        <w:t>sd</w:t>
      </w:r>
      <w:proofErr w:type="spellEnd"/>
      <w:r>
        <w:t xml:space="preserve"> (accessed 29</w:t>
      </w:r>
      <w:r w:rsidR="0074563A">
        <w:t> </w:t>
      </w:r>
      <w:r>
        <w:t xml:space="preserve">June 2012). </w:t>
      </w:r>
    </w:p>
    <w:p w:rsidR="00665B1F" w:rsidRPr="00E67B77" w:rsidRDefault="00665B1F" w:rsidP="00CE0B69">
      <w:pPr>
        <w:pStyle w:val="Reference"/>
      </w:pPr>
      <w:r w:rsidRPr="00E67B77">
        <w:t xml:space="preserve">Murtough, G., Aretino, B. and </w:t>
      </w:r>
      <w:proofErr w:type="spellStart"/>
      <w:r w:rsidRPr="00E67B77">
        <w:t>Matysek</w:t>
      </w:r>
      <w:proofErr w:type="spellEnd"/>
      <w:r w:rsidRPr="00E67B77">
        <w:t xml:space="preserve">, A. 2002, </w:t>
      </w:r>
      <w:r w:rsidRPr="00E67B77">
        <w:rPr>
          <w:i/>
        </w:rPr>
        <w:t xml:space="preserve">Creating </w:t>
      </w:r>
      <w:r>
        <w:rPr>
          <w:i/>
        </w:rPr>
        <w:t>M</w:t>
      </w:r>
      <w:r w:rsidRPr="00E67B77">
        <w:rPr>
          <w:i/>
        </w:rPr>
        <w:t xml:space="preserve">arkets for </w:t>
      </w:r>
      <w:r>
        <w:rPr>
          <w:i/>
        </w:rPr>
        <w:t>E</w:t>
      </w:r>
      <w:r w:rsidRPr="00E67B77">
        <w:rPr>
          <w:i/>
        </w:rPr>
        <w:t xml:space="preserve">cosystem </w:t>
      </w:r>
      <w:r>
        <w:rPr>
          <w:i/>
        </w:rPr>
        <w:t>S</w:t>
      </w:r>
      <w:r w:rsidRPr="00E67B77">
        <w:rPr>
          <w:i/>
        </w:rPr>
        <w:t>ervices</w:t>
      </w:r>
      <w:r w:rsidRPr="00E67B77">
        <w:t>, Productivity Commission Staff Research Paper, Canberra.</w:t>
      </w:r>
    </w:p>
    <w:p w:rsidR="00665B1F" w:rsidRPr="001B1DC5" w:rsidRDefault="00665B1F" w:rsidP="00CE0B69">
      <w:pPr>
        <w:pStyle w:val="Reference"/>
      </w:pPr>
      <w:proofErr w:type="spellStart"/>
      <w:r w:rsidRPr="001B1DC5">
        <w:t>Neumayer</w:t>
      </w:r>
      <w:proofErr w:type="spellEnd"/>
      <w:r w:rsidRPr="001B1DC5">
        <w:t xml:space="preserve">, E. 2010, </w:t>
      </w:r>
      <w:r w:rsidRPr="001B1DC5">
        <w:rPr>
          <w:i/>
        </w:rPr>
        <w:t>Weak Versus Strong Sustainability: Exploring the Limits of Two Opposing Paradigms</w:t>
      </w:r>
      <w:r>
        <w:t xml:space="preserve">, third </w:t>
      </w:r>
      <w:proofErr w:type="spellStart"/>
      <w:r>
        <w:t>edn</w:t>
      </w:r>
      <w:proofErr w:type="spellEnd"/>
      <w:r>
        <w:t>, Edward Elgar, Cheltenham UK.</w:t>
      </w:r>
    </w:p>
    <w:p w:rsidR="00665B1F" w:rsidRPr="001B1DC5" w:rsidRDefault="00665B1F" w:rsidP="00CE0B69">
      <w:pPr>
        <w:pStyle w:val="Reference"/>
      </w:pPr>
      <w:r>
        <w:t xml:space="preserve">NSW Government 2011, </w:t>
      </w:r>
      <w:r>
        <w:rPr>
          <w:i/>
        </w:rPr>
        <w:t>What is Sustainability?</w:t>
      </w:r>
      <w:r>
        <w:t xml:space="preserve">, Sydney, </w:t>
      </w:r>
      <w:proofErr w:type="spellStart"/>
      <w:r w:rsidRPr="00C72536">
        <w:t>www.environment.nsw.gov.au</w:t>
      </w:r>
      <w:proofErr w:type="spellEnd"/>
      <w:r w:rsidRPr="00C72536">
        <w:t>/sustainability/</w:t>
      </w:r>
      <w:proofErr w:type="spellStart"/>
      <w:r w:rsidRPr="00C72536">
        <w:t>index.htm</w:t>
      </w:r>
      <w:proofErr w:type="spellEnd"/>
      <w:r>
        <w:t xml:space="preserve"> (accessed 3 August 2011).</w:t>
      </w:r>
    </w:p>
    <w:p w:rsidR="00665B1F" w:rsidRDefault="00665B1F" w:rsidP="00CE0B69">
      <w:pPr>
        <w:pStyle w:val="Reference"/>
      </w:pPr>
      <w:r>
        <w:t>OECD (Organisation for Economic Co</w:t>
      </w:r>
      <w:r w:rsidR="00A42E76">
        <w:noBreakHyphen/>
      </w:r>
      <w:r>
        <w:t xml:space="preserve">operation and Development) 2012, </w:t>
      </w:r>
      <w:r w:rsidRPr="002514CA">
        <w:rPr>
          <w:i/>
        </w:rPr>
        <w:t>OECD Better Life Index</w:t>
      </w:r>
      <w:r>
        <w:t xml:space="preserve">, </w:t>
      </w:r>
      <w:proofErr w:type="spellStart"/>
      <w:r>
        <w:t>www.oecdbetterlifeindex.org</w:t>
      </w:r>
      <w:proofErr w:type="spellEnd"/>
      <w:r>
        <w:t xml:space="preserve"> (accessed 29 June 2012).</w:t>
      </w:r>
    </w:p>
    <w:p w:rsidR="00665B1F" w:rsidRDefault="00665B1F" w:rsidP="00CE0B69">
      <w:pPr>
        <w:pStyle w:val="Reference"/>
      </w:pPr>
      <w:r w:rsidRPr="001B1DC5">
        <w:t>Parkinson, M</w:t>
      </w:r>
      <w:r>
        <w:t xml:space="preserve">. </w:t>
      </w:r>
      <w:r w:rsidRPr="001B1DC5">
        <w:t>2011</w:t>
      </w:r>
      <w:r w:rsidRPr="00055331">
        <w:t xml:space="preserve">, </w:t>
      </w:r>
      <w:r w:rsidRPr="001B1DC5">
        <w:rPr>
          <w:i/>
        </w:rPr>
        <w:t>Sustainable Wellbeing</w:t>
      </w:r>
      <w:r>
        <w:rPr>
          <w:i/>
        </w:rPr>
        <w:t>:</w:t>
      </w:r>
      <w:r w:rsidRPr="001B1DC5">
        <w:rPr>
          <w:i/>
        </w:rPr>
        <w:t xml:space="preserve"> An Economic Future for Australia,</w:t>
      </w:r>
      <w:r w:rsidRPr="001B1DC5">
        <w:t xml:space="preserve"> </w:t>
      </w:r>
      <w:proofErr w:type="spellStart"/>
      <w:r w:rsidRPr="001B1DC5">
        <w:t>Shann</w:t>
      </w:r>
      <w:proofErr w:type="spellEnd"/>
      <w:r w:rsidRPr="001B1DC5">
        <w:t xml:space="preserve"> Memorial Lecture,</w:t>
      </w:r>
      <w:r>
        <w:t xml:space="preserve"> Perth, 23 August.</w:t>
      </w:r>
    </w:p>
    <w:p w:rsidR="00665B1F" w:rsidRPr="0006160D" w:rsidRDefault="00665B1F" w:rsidP="00CE0B69">
      <w:pPr>
        <w:pStyle w:val="Reference"/>
      </w:pPr>
      <w:proofErr w:type="spellStart"/>
      <w:r w:rsidRPr="001B1DC5">
        <w:t>Pezzey</w:t>
      </w:r>
      <w:proofErr w:type="spellEnd"/>
      <w:r w:rsidRPr="001B1DC5">
        <w:t>, J</w:t>
      </w:r>
      <w:r>
        <w:t>.</w:t>
      </w:r>
      <w:r w:rsidRPr="001B1DC5">
        <w:t xml:space="preserve"> </w:t>
      </w:r>
      <w:r w:rsidRPr="00E67B77">
        <w:t xml:space="preserve">1992, </w:t>
      </w:r>
      <w:r w:rsidRPr="00E67B77">
        <w:rPr>
          <w:i/>
        </w:rPr>
        <w:t>S</w:t>
      </w:r>
      <w:r>
        <w:rPr>
          <w:i/>
        </w:rPr>
        <w:t>ustainable Development Concepts:</w:t>
      </w:r>
      <w:r w:rsidRPr="00E67B77">
        <w:rPr>
          <w:i/>
        </w:rPr>
        <w:t xml:space="preserve"> An Economic Analysis</w:t>
      </w:r>
      <w:r>
        <w:t>,</w:t>
      </w:r>
      <w:r w:rsidRPr="00E67B77">
        <w:t xml:space="preserve"> Environment Paper No. 2</w:t>
      </w:r>
      <w:r>
        <w:t xml:space="preserve">, </w:t>
      </w:r>
      <w:r w:rsidRPr="00E67B77">
        <w:t>World Bank</w:t>
      </w:r>
      <w:r>
        <w:t>, Washington DC.</w:t>
      </w:r>
    </w:p>
    <w:p w:rsidR="00665B1F" w:rsidRDefault="00665B1F" w:rsidP="00CE0B69">
      <w:pPr>
        <w:pStyle w:val="Reference"/>
      </w:pPr>
      <w:r>
        <w:t xml:space="preserve">—— </w:t>
      </w:r>
      <w:r w:rsidRPr="001B1DC5">
        <w:t xml:space="preserve">1997, </w:t>
      </w:r>
      <w:r>
        <w:t>‘</w:t>
      </w:r>
      <w:r w:rsidRPr="00515798">
        <w:t xml:space="preserve">Sustainability </w:t>
      </w:r>
      <w:r>
        <w:t>c</w:t>
      </w:r>
      <w:r w:rsidRPr="00515798">
        <w:t>onstraints versus ‘</w:t>
      </w:r>
      <w:r>
        <w:t>o</w:t>
      </w:r>
      <w:r w:rsidRPr="00515798">
        <w:t xml:space="preserve">ptimality’ versus </w:t>
      </w:r>
      <w:proofErr w:type="spellStart"/>
      <w:r>
        <w:t>i</w:t>
      </w:r>
      <w:r w:rsidRPr="00515798">
        <w:t>ntertemporal</w:t>
      </w:r>
      <w:proofErr w:type="spellEnd"/>
      <w:r w:rsidRPr="00515798">
        <w:t xml:space="preserve"> </w:t>
      </w:r>
      <w:r>
        <w:t>c</w:t>
      </w:r>
      <w:r w:rsidRPr="00515798">
        <w:t xml:space="preserve">oncern, and </w:t>
      </w:r>
      <w:r>
        <w:t>a</w:t>
      </w:r>
      <w:r w:rsidRPr="00515798">
        <w:t xml:space="preserve">xioms versus </w:t>
      </w:r>
      <w:r>
        <w:t>d</w:t>
      </w:r>
      <w:r w:rsidRPr="00515798">
        <w:t>ata</w:t>
      </w:r>
      <w:r>
        <w:t>’,</w:t>
      </w:r>
      <w:r w:rsidRPr="001B1DC5">
        <w:t xml:space="preserve"> </w:t>
      </w:r>
      <w:r w:rsidRPr="00515798">
        <w:rPr>
          <w:i/>
        </w:rPr>
        <w:t>Land Economics</w:t>
      </w:r>
      <w:r w:rsidRPr="001B1DC5">
        <w:t xml:space="preserve">, </w:t>
      </w:r>
      <w:r>
        <w:t>v</w:t>
      </w:r>
      <w:r w:rsidRPr="001B1DC5">
        <w:t>ol.</w:t>
      </w:r>
      <w:r>
        <w:t> </w:t>
      </w:r>
      <w:r w:rsidRPr="001B1DC5">
        <w:t xml:space="preserve">73, </w:t>
      </w:r>
      <w:r>
        <w:t>n</w:t>
      </w:r>
      <w:r w:rsidRPr="001B1DC5">
        <w:t>o.</w:t>
      </w:r>
      <w:r>
        <w:t> </w:t>
      </w:r>
      <w:r w:rsidRPr="001B1DC5">
        <w:t>4, pp.</w:t>
      </w:r>
      <w:r>
        <w:t> </w:t>
      </w:r>
      <w:r w:rsidRPr="001B1DC5">
        <w:t>448</w:t>
      </w:r>
      <w:r>
        <w:t>–</w:t>
      </w:r>
      <w:r w:rsidRPr="001B1DC5">
        <w:t>466</w:t>
      </w:r>
      <w:r>
        <w:t>.</w:t>
      </w:r>
    </w:p>
    <w:p w:rsidR="00665B1F" w:rsidRPr="0006160D" w:rsidRDefault="00665B1F" w:rsidP="00CE0B69">
      <w:pPr>
        <w:pStyle w:val="Reference"/>
      </w:pPr>
      <w:r>
        <w:lastRenderedPageBreak/>
        <w:t xml:space="preserve">—— and </w:t>
      </w:r>
      <w:proofErr w:type="spellStart"/>
      <w:r w:rsidRPr="0006160D">
        <w:t>Toman</w:t>
      </w:r>
      <w:proofErr w:type="spellEnd"/>
      <w:r w:rsidRPr="0006160D">
        <w:t xml:space="preserve">, M. </w:t>
      </w:r>
      <w:r>
        <w:t xml:space="preserve">A. </w:t>
      </w:r>
      <w:r w:rsidRPr="0006160D">
        <w:t xml:space="preserve">2002, </w:t>
      </w:r>
      <w:r w:rsidRPr="000D2CC8">
        <w:rPr>
          <w:i/>
        </w:rPr>
        <w:t>The Economics of Sustainability: A Review of Journal Articles</w:t>
      </w:r>
      <w:r w:rsidRPr="0006160D">
        <w:t>, Discussion Paper 02</w:t>
      </w:r>
      <w:r w:rsidRPr="0006160D">
        <w:noBreakHyphen/>
        <w:t>03, Resources for the Future</w:t>
      </w:r>
      <w:r>
        <w:t>, Washington DC.</w:t>
      </w:r>
      <w:r w:rsidRPr="0006160D">
        <w:t xml:space="preserve"> </w:t>
      </w:r>
    </w:p>
    <w:p w:rsidR="00665B1F" w:rsidRPr="001B1DC5" w:rsidRDefault="00665B1F" w:rsidP="00CE0B69">
      <w:pPr>
        <w:pStyle w:val="Reference"/>
      </w:pPr>
      <w:r>
        <w:t>PC (Productivity Commission)</w:t>
      </w:r>
      <w:r w:rsidRPr="00881FA9">
        <w:t xml:space="preserve"> </w:t>
      </w:r>
      <w:r w:rsidRPr="001B1DC5">
        <w:t>1999</w:t>
      </w:r>
      <w:r>
        <w:t>,</w:t>
      </w:r>
      <w:r w:rsidRPr="001B1DC5">
        <w:t xml:space="preserve"> </w:t>
      </w:r>
      <w:r w:rsidRPr="001B1DC5">
        <w:rPr>
          <w:i/>
        </w:rPr>
        <w:t>Implementation of Ecological Sustainable Development by Commonwealth Departments and Agencies</w:t>
      </w:r>
      <w:r w:rsidRPr="001B1DC5">
        <w:t xml:space="preserve">, </w:t>
      </w:r>
      <w:r>
        <w:t>Report No. 5,</w:t>
      </w:r>
      <w:r w:rsidR="00A42E76">
        <w:t xml:space="preserve"> </w:t>
      </w:r>
      <w:r>
        <w:t>Canberra.</w:t>
      </w:r>
      <w:r w:rsidRPr="001B1DC5">
        <w:t xml:space="preserve"> </w:t>
      </w:r>
    </w:p>
    <w:p w:rsidR="00665B1F" w:rsidRPr="001B1DC5" w:rsidRDefault="00665B1F" w:rsidP="00CE0B69">
      <w:pPr>
        <w:pStyle w:val="Reference"/>
      </w:pPr>
      <w:r>
        <w:t xml:space="preserve">—— </w:t>
      </w:r>
      <w:r w:rsidRPr="001B1DC5">
        <w:t>2006</w:t>
      </w:r>
      <w:r>
        <w:t>,</w:t>
      </w:r>
      <w:r w:rsidRPr="001B1DC5">
        <w:t xml:space="preserve"> </w:t>
      </w:r>
      <w:r w:rsidRPr="001B1DC5">
        <w:rPr>
          <w:i/>
        </w:rPr>
        <w:t>Waste Management</w:t>
      </w:r>
      <w:r w:rsidRPr="006A347A">
        <w:t xml:space="preserve">, </w:t>
      </w:r>
      <w:r>
        <w:t>Report No. 38, Canberra.</w:t>
      </w:r>
      <w:r w:rsidRPr="001B1DC5">
        <w:t xml:space="preserve"> </w:t>
      </w:r>
    </w:p>
    <w:p w:rsidR="00665B1F" w:rsidRPr="001B1DC5" w:rsidRDefault="00665B1F" w:rsidP="00CE0B69">
      <w:pPr>
        <w:pStyle w:val="Reference"/>
      </w:pPr>
      <w:r>
        <w:t xml:space="preserve">—— </w:t>
      </w:r>
      <w:proofErr w:type="spellStart"/>
      <w:r>
        <w:t>2011a</w:t>
      </w:r>
      <w:proofErr w:type="spellEnd"/>
      <w:r w:rsidRPr="001B1DC5">
        <w:t xml:space="preserve">, </w:t>
      </w:r>
      <w:r w:rsidRPr="001B1DC5">
        <w:rPr>
          <w:i/>
        </w:rPr>
        <w:t>Australia’s</w:t>
      </w:r>
      <w:r>
        <w:rPr>
          <w:i/>
        </w:rPr>
        <w:t xml:space="preserve"> </w:t>
      </w:r>
      <w:r w:rsidRPr="001B1DC5">
        <w:rPr>
          <w:i/>
        </w:rPr>
        <w:t>Urban Water Sector</w:t>
      </w:r>
      <w:r w:rsidRPr="001B1DC5">
        <w:t xml:space="preserve">, Report No. 55, Canberra. </w:t>
      </w:r>
    </w:p>
    <w:p w:rsidR="00665B1F" w:rsidRPr="001B1DC5" w:rsidRDefault="00665B1F" w:rsidP="00CE0B69">
      <w:pPr>
        <w:pStyle w:val="Reference"/>
      </w:pPr>
      <w:r>
        <w:t xml:space="preserve">—— </w:t>
      </w:r>
      <w:proofErr w:type="spellStart"/>
      <w:r>
        <w:t>2011b</w:t>
      </w:r>
      <w:proofErr w:type="spellEnd"/>
      <w:r>
        <w:t>,</w:t>
      </w:r>
      <w:r w:rsidRPr="001B1DC5">
        <w:t xml:space="preserve"> </w:t>
      </w:r>
      <w:r w:rsidRPr="001B1DC5">
        <w:rPr>
          <w:i/>
        </w:rPr>
        <w:t xml:space="preserve">Carbon Emission Policies in Key Economies, </w:t>
      </w:r>
      <w:r w:rsidRPr="001B1DC5">
        <w:t xml:space="preserve">Research Report, Canberra. </w:t>
      </w:r>
    </w:p>
    <w:p w:rsidR="00665B1F" w:rsidRDefault="00665B1F" w:rsidP="00CE0B69">
      <w:pPr>
        <w:pStyle w:val="Reference"/>
      </w:pPr>
      <w:r>
        <w:t xml:space="preserve">—— </w:t>
      </w:r>
      <w:proofErr w:type="spellStart"/>
      <w:r w:rsidRPr="001B1DC5">
        <w:t>2011</w:t>
      </w:r>
      <w:r>
        <w:t>c</w:t>
      </w:r>
      <w:proofErr w:type="spellEnd"/>
      <w:r>
        <w:t xml:space="preserve">, </w:t>
      </w:r>
      <w:r w:rsidRPr="0068599C">
        <w:rPr>
          <w:i/>
        </w:rPr>
        <w:t>Identifying and Evaluating Regulation Reforms</w:t>
      </w:r>
      <w:r>
        <w:t>, Research Report, Canberra.</w:t>
      </w:r>
    </w:p>
    <w:p w:rsidR="00665B1F" w:rsidRDefault="00665B1F" w:rsidP="00CE0B69">
      <w:pPr>
        <w:pStyle w:val="Reference"/>
      </w:pPr>
      <w:r>
        <w:t xml:space="preserve">—— 2012, </w:t>
      </w:r>
      <w:r w:rsidRPr="0068599C">
        <w:rPr>
          <w:i/>
        </w:rPr>
        <w:t>Barriers to Effective Climate Change Adaptation</w:t>
      </w:r>
      <w:r>
        <w:t>, Report No. 59, Canberra.</w:t>
      </w:r>
    </w:p>
    <w:p w:rsidR="00665B1F" w:rsidRDefault="00665B1F" w:rsidP="00CE0B69">
      <w:pPr>
        <w:pStyle w:val="Reference"/>
      </w:pPr>
      <w:r>
        <w:t xml:space="preserve">Sen, A. 1999, </w:t>
      </w:r>
      <w:r w:rsidRPr="008F53FE">
        <w:rPr>
          <w:i/>
        </w:rPr>
        <w:t>Development as Freedom</w:t>
      </w:r>
      <w:r>
        <w:t>, Anchor Books, New York.</w:t>
      </w:r>
    </w:p>
    <w:p w:rsidR="00665B1F" w:rsidRDefault="00665B1F" w:rsidP="00CE0B69">
      <w:pPr>
        <w:pStyle w:val="Reference"/>
      </w:pPr>
      <w:r w:rsidRPr="0095140E">
        <w:t xml:space="preserve">Solow, R. </w:t>
      </w:r>
      <w:r w:rsidRPr="00E67B77">
        <w:t>1974</w:t>
      </w:r>
      <w:r>
        <w:t>,</w:t>
      </w:r>
      <w:r w:rsidRPr="00E67B77">
        <w:t xml:space="preserve"> </w:t>
      </w:r>
      <w:r>
        <w:t>‘</w:t>
      </w:r>
      <w:r w:rsidRPr="00B038E1">
        <w:t xml:space="preserve">Intergenerational equity and </w:t>
      </w:r>
      <w:r>
        <w:t>e</w:t>
      </w:r>
      <w:r w:rsidRPr="00B038E1">
        <w:t xml:space="preserve">xhaustible </w:t>
      </w:r>
      <w:r>
        <w:t>r</w:t>
      </w:r>
      <w:r w:rsidRPr="00B038E1">
        <w:t>esources</w:t>
      </w:r>
      <w:r>
        <w:t>’</w:t>
      </w:r>
      <w:r w:rsidRPr="00E67B77">
        <w:t xml:space="preserve">, </w:t>
      </w:r>
      <w:r w:rsidRPr="00B038E1">
        <w:rPr>
          <w:i/>
        </w:rPr>
        <w:t>Review of Economic Studies</w:t>
      </w:r>
      <w:r w:rsidRPr="00E67B77">
        <w:t xml:space="preserve">, </w:t>
      </w:r>
      <w:r>
        <w:t>v</w:t>
      </w:r>
      <w:r w:rsidRPr="00E67B77">
        <w:t>ol. 41, pp.</w:t>
      </w:r>
      <w:r>
        <w:t> </w:t>
      </w:r>
      <w:r w:rsidRPr="00E67B77">
        <w:t>29</w:t>
      </w:r>
      <w:r>
        <w:t>–</w:t>
      </w:r>
      <w:r w:rsidRPr="00E67B77">
        <w:t>45</w:t>
      </w:r>
      <w:r>
        <w:t>.</w:t>
      </w:r>
    </w:p>
    <w:p w:rsidR="00665B1F" w:rsidRDefault="00665B1F" w:rsidP="00CE0B69">
      <w:pPr>
        <w:pStyle w:val="Reference"/>
      </w:pPr>
      <w:r>
        <w:t xml:space="preserve">—— </w:t>
      </w:r>
      <w:r w:rsidRPr="001B1DC5">
        <w:t>199</w:t>
      </w:r>
      <w:r>
        <w:t>2</w:t>
      </w:r>
      <w:r w:rsidRPr="001B1DC5">
        <w:t xml:space="preserve">, </w:t>
      </w:r>
      <w:r>
        <w:t>‘</w:t>
      </w:r>
      <w:r w:rsidRPr="00311F66">
        <w:t xml:space="preserve">Sustainability: An </w:t>
      </w:r>
      <w:r>
        <w:t>e</w:t>
      </w:r>
      <w:r w:rsidRPr="00311F66">
        <w:t xml:space="preserve">conomist’s </w:t>
      </w:r>
      <w:r>
        <w:t>p</w:t>
      </w:r>
      <w:r w:rsidRPr="00311F66">
        <w:t>erspective</w:t>
      </w:r>
      <w:r>
        <w:t xml:space="preserve">’, in </w:t>
      </w:r>
      <w:proofErr w:type="spellStart"/>
      <w:r>
        <w:t>Dorfman</w:t>
      </w:r>
      <w:proofErr w:type="spellEnd"/>
      <w:r>
        <w:t xml:space="preserve">, R. and </w:t>
      </w:r>
      <w:proofErr w:type="spellStart"/>
      <w:r>
        <w:t>Dorfman</w:t>
      </w:r>
      <w:proofErr w:type="spellEnd"/>
      <w:r>
        <w:t>, N. (</w:t>
      </w:r>
      <w:proofErr w:type="spellStart"/>
      <w:r>
        <w:t>eds</w:t>
      </w:r>
      <w:proofErr w:type="spellEnd"/>
      <w:r>
        <w:t xml:space="preserve">), </w:t>
      </w:r>
      <w:r w:rsidRPr="00C4737B">
        <w:rPr>
          <w:i/>
        </w:rPr>
        <w:t>Economics of the Environment</w:t>
      </w:r>
      <w:r>
        <w:t>, WW Norton and Co., New York, pp.</w:t>
      </w:r>
      <w:r w:rsidR="00824A7C">
        <w:t> </w:t>
      </w:r>
      <w:r>
        <w:t>179–187.</w:t>
      </w:r>
    </w:p>
    <w:p w:rsidR="00665B1F" w:rsidRDefault="00665B1F" w:rsidP="00CE0B69">
      <w:pPr>
        <w:pStyle w:val="Reference"/>
      </w:pPr>
      <w:r>
        <w:t xml:space="preserve">—— </w:t>
      </w:r>
      <w:r w:rsidRPr="0095140E">
        <w:t>1993</w:t>
      </w:r>
      <w:r>
        <w:t>,</w:t>
      </w:r>
      <w:r w:rsidRPr="0095140E">
        <w:t xml:space="preserve"> </w:t>
      </w:r>
      <w:r>
        <w:t>‘</w:t>
      </w:r>
      <w:r w:rsidRPr="0095140E">
        <w:t>An almost practical step towards sustainability</w:t>
      </w:r>
      <w:r>
        <w:t>’</w:t>
      </w:r>
      <w:r w:rsidRPr="0095140E">
        <w:t xml:space="preserve">, </w:t>
      </w:r>
      <w:r>
        <w:t>Resources Policy, September, pp. 162–172.</w:t>
      </w:r>
    </w:p>
    <w:p w:rsidR="00665B1F" w:rsidRDefault="00665B1F" w:rsidP="00CE0B69">
      <w:pPr>
        <w:pStyle w:val="Reference"/>
      </w:pPr>
      <w:proofErr w:type="spellStart"/>
      <w:r>
        <w:t>Stavins</w:t>
      </w:r>
      <w:proofErr w:type="spellEnd"/>
      <w:r>
        <w:t xml:space="preserve">, R., Wagner, A. F., Wagner, G. </w:t>
      </w:r>
      <w:r w:rsidRPr="00F70F11">
        <w:t>2003, ‘Interpreting sustainability in economic terms: Dynamic efficiently plus intergenerational equity</w:t>
      </w:r>
      <w:r>
        <w:t xml:space="preserve">’, </w:t>
      </w:r>
      <w:r w:rsidRPr="00F70F11">
        <w:rPr>
          <w:i/>
        </w:rPr>
        <w:t>Economics Letters</w:t>
      </w:r>
      <w:r>
        <w:t>, vol. 79, pp. 339–343.</w:t>
      </w:r>
    </w:p>
    <w:p w:rsidR="00665B1F" w:rsidRPr="00881345" w:rsidRDefault="00665B1F" w:rsidP="00CE0B69">
      <w:pPr>
        <w:pStyle w:val="Reference"/>
      </w:pPr>
      <w:proofErr w:type="spellStart"/>
      <w:r>
        <w:t>Stiglitz</w:t>
      </w:r>
      <w:proofErr w:type="spellEnd"/>
      <w:r>
        <w:t>, J., 1974, ‘</w:t>
      </w:r>
      <w:r w:rsidRPr="00881345">
        <w:t xml:space="preserve">Growth with </w:t>
      </w:r>
      <w:r>
        <w:t>e</w:t>
      </w:r>
      <w:r w:rsidRPr="00881345">
        <w:t xml:space="preserve">xhaustible </w:t>
      </w:r>
      <w:r>
        <w:t>n</w:t>
      </w:r>
      <w:r w:rsidRPr="00881345">
        <w:t xml:space="preserve">atural </w:t>
      </w:r>
      <w:r>
        <w:t>r</w:t>
      </w:r>
      <w:r w:rsidRPr="00881345">
        <w:t xml:space="preserve">esources: Efficient and </w:t>
      </w:r>
      <w:r>
        <w:t>o</w:t>
      </w:r>
      <w:r w:rsidRPr="00881345">
        <w:t xml:space="preserve">ptimal </w:t>
      </w:r>
      <w:r>
        <w:t>g</w:t>
      </w:r>
      <w:r w:rsidRPr="00881345">
        <w:t xml:space="preserve">rowth </w:t>
      </w:r>
      <w:r>
        <w:t>p</w:t>
      </w:r>
      <w:r w:rsidRPr="00881345">
        <w:t>aths</w:t>
      </w:r>
      <w:r>
        <w:t>’</w:t>
      </w:r>
      <w:r w:rsidRPr="00881345">
        <w:t xml:space="preserve">, </w:t>
      </w:r>
      <w:r w:rsidRPr="00881345">
        <w:rPr>
          <w:i/>
        </w:rPr>
        <w:t>Review of Economic Studies</w:t>
      </w:r>
      <w:r w:rsidRPr="00881345">
        <w:t xml:space="preserve">, </w:t>
      </w:r>
      <w:r>
        <w:t>v</w:t>
      </w:r>
      <w:r w:rsidRPr="00881345">
        <w:t>ol. 41, pp.</w:t>
      </w:r>
      <w:r>
        <w:t> </w:t>
      </w:r>
      <w:r w:rsidRPr="00881345">
        <w:t>123</w:t>
      </w:r>
      <w:r>
        <w:t>–</w:t>
      </w:r>
      <w:r w:rsidRPr="00881345">
        <w:t>137</w:t>
      </w:r>
      <w:r>
        <w:t>.</w:t>
      </w:r>
    </w:p>
    <w:p w:rsidR="00665B1F" w:rsidRPr="00094F36" w:rsidRDefault="00665B1F" w:rsidP="00CE0B69">
      <w:pPr>
        <w:pStyle w:val="Reference"/>
        <w:rPr>
          <w:i/>
        </w:rPr>
      </w:pPr>
      <w:r>
        <w:t xml:space="preserve">——, </w:t>
      </w:r>
      <w:r w:rsidRPr="00F737DD">
        <w:t xml:space="preserve">Sen, A., and </w:t>
      </w:r>
      <w:proofErr w:type="spellStart"/>
      <w:r w:rsidRPr="00F737DD">
        <w:t>Fitoussi</w:t>
      </w:r>
      <w:proofErr w:type="spellEnd"/>
      <w:r w:rsidRPr="00F737DD">
        <w:t>, J</w:t>
      </w:r>
      <w:r>
        <w:t>.</w:t>
      </w:r>
      <w:r>
        <w:noBreakHyphen/>
      </w:r>
      <w:r w:rsidRPr="00F737DD">
        <w:t>P</w:t>
      </w:r>
      <w:r>
        <w:t>.</w:t>
      </w:r>
      <w:r w:rsidRPr="00F737DD">
        <w:t xml:space="preserve"> 2009, </w:t>
      </w:r>
      <w:r w:rsidRPr="008E3BA7">
        <w:rPr>
          <w:i/>
        </w:rPr>
        <w:t>Report by the Commission on the Measurement of Economic Performance and Social Progress</w:t>
      </w:r>
      <w:r w:rsidRPr="00094F36">
        <w:t xml:space="preserve">, </w:t>
      </w:r>
      <w:r>
        <w:t>Commission on the Measurement of Economic Performance and Social Progress, Paris.</w:t>
      </w:r>
    </w:p>
    <w:p w:rsidR="00665B1F" w:rsidRDefault="00665B1F" w:rsidP="00CE0B69">
      <w:pPr>
        <w:pStyle w:val="Reference"/>
      </w:pPr>
      <w:proofErr w:type="spellStart"/>
      <w:r w:rsidRPr="00E67B77">
        <w:t>Toman</w:t>
      </w:r>
      <w:proofErr w:type="spellEnd"/>
      <w:r w:rsidRPr="00E67B77">
        <w:t>, M</w:t>
      </w:r>
      <w:r>
        <w:t>.</w:t>
      </w:r>
      <w:r w:rsidRPr="00E67B77">
        <w:t xml:space="preserve"> 1998</w:t>
      </w:r>
      <w:r>
        <w:t>,</w:t>
      </w:r>
      <w:r w:rsidRPr="00E67B77">
        <w:t xml:space="preserve"> </w:t>
      </w:r>
      <w:r w:rsidRPr="00E67B77">
        <w:rPr>
          <w:i/>
        </w:rPr>
        <w:t>Sustainable Decision</w:t>
      </w:r>
      <w:r>
        <w:rPr>
          <w:i/>
        </w:rPr>
        <w:noBreakHyphen/>
      </w:r>
      <w:r w:rsidRPr="00E67B77">
        <w:rPr>
          <w:i/>
        </w:rPr>
        <w:t>making: The State of the Art from an Economics Perspective</w:t>
      </w:r>
      <w:r w:rsidRPr="00E67B77">
        <w:t>, Discussion Paper 98</w:t>
      </w:r>
      <w:r>
        <w:noBreakHyphen/>
      </w:r>
      <w:r w:rsidRPr="00E67B77">
        <w:t>39</w:t>
      </w:r>
      <w:r>
        <w:t xml:space="preserve">, </w:t>
      </w:r>
      <w:r w:rsidRPr="00E67B77">
        <w:t>Resources for the Future,</w:t>
      </w:r>
      <w:r>
        <w:t xml:space="preserve"> Washington DC.</w:t>
      </w:r>
    </w:p>
    <w:p w:rsidR="0058417D" w:rsidRDefault="0058417D" w:rsidP="00CE0B69">
      <w:pPr>
        <w:pStyle w:val="Reference"/>
      </w:pPr>
      <w:r>
        <w:t>Wei, H.</w:t>
      </w:r>
      <w:r w:rsidRPr="001B1DC5">
        <w:t xml:space="preserve"> </w:t>
      </w:r>
      <w:r>
        <w:t xml:space="preserve">2008, </w:t>
      </w:r>
      <w:r w:rsidRPr="0068599C">
        <w:rPr>
          <w:i/>
        </w:rPr>
        <w:t>Measuring Human Capital Flows for Australia: A Lifetime Labour Income Approach</w:t>
      </w:r>
      <w:r>
        <w:t>, Australian Bureau of Statistics</w:t>
      </w:r>
      <w:r w:rsidRPr="00146739">
        <w:t xml:space="preserve"> </w:t>
      </w:r>
      <w:r>
        <w:t>Research Paper, Cat. no. 1351.0.55.023, Canberra.</w:t>
      </w:r>
    </w:p>
    <w:p w:rsidR="00665B1F" w:rsidRPr="001B1DC5" w:rsidRDefault="00665B1F" w:rsidP="00CE0B69">
      <w:pPr>
        <w:pStyle w:val="Reference"/>
      </w:pPr>
      <w:proofErr w:type="spellStart"/>
      <w:r w:rsidRPr="001B1DC5">
        <w:lastRenderedPageBreak/>
        <w:t>Weier</w:t>
      </w:r>
      <w:proofErr w:type="spellEnd"/>
      <w:r w:rsidRPr="001B1DC5">
        <w:t xml:space="preserve">, A. and Loke, P. 2007, </w:t>
      </w:r>
      <w:r w:rsidRPr="00145F9E">
        <w:rPr>
          <w:i/>
        </w:rPr>
        <w:t xml:space="preserve">Precaution and the Precautionary Principle: </w:t>
      </w:r>
      <w:r>
        <w:rPr>
          <w:i/>
        </w:rPr>
        <w:t>T</w:t>
      </w:r>
      <w:r w:rsidRPr="00145F9E">
        <w:rPr>
          <w:i/>
        </w:rPr>
        <w:t>wo Australian case studies</w:t>
      </w:r>
      <w:r w:rsidRPr="001B1DC5">
        <w:t xml:space="preserve">, Productivity Commission Staff Working Paper, </w:t>
      </w:r>
      <w:r>
        <w:t>Melbourne.</w:t>
      </w:r>
    </w:p>
    <w:p w:rsidR="00665B1F" w:rsidRDefault="00665B1F" w:rsidP="00CE0B69">
      <w:pPr>
        <w:pStyle w:val="Reference"/>
      </w:pPr>
      <w:r w:rsidRPr="001B1DC5">
        <w:t xml:space="preserve">World Commission on Environment and Development 1987, </w:t>
      </w:r>
      <w:r w:rsidRPr="001B1DC5">
        <w:rPr>
          <w:i/>
        </w:rPr>
        <w:t>Our Common Future</w:t>
      </w:r>
      <w:r>
        <w:rPr>
          <w:i/>
        </w:rPr>
        <w:t xml:space="preserve">: </w:t>
      </w:r>
      <w:r w:rsidRPr="00E523A3">
        <w:rPr>
          <w:i/>
        </w:rPr>
        <w:t>The World Commission on Environment and Development</w:t>
      </w:r>
      <w:r w:rsidRPr="001B1DC5">
        <w:t xml:space="preserve">, </w:t>
      </w:r>
      <w:r>
        <w:t>Oxford University Press, Oxford.</w:t>
      </w:r>
      <w:r w:rsidRPr="001B1DC5">
        <w:t xml:space="preserve"> </w:t>
      </w:r>
    </w:p>
    <w:p w:rsidR="001B1DC5" w:rsidRPr="00CC5A11" w:rsidRDefault="00665B1F" w:rsidP="00C72536">
      <w:pPr>
        <w:pStyle w:val="Reference"/>
      </w:pPr>
      <w:proofErr w:type="spellStart"/>
      <w:r>
        <w:t>Zhuang</w:t>
      </w:r>
      <w:proofErr w:type="spellEnd"/>
      <w:r>
        <w:t xml:space="preserve">, J., Liang, Z., Lin, T. and Guzman, F. 2007, </w:t>
      </w:r>
      <w:r w:rsidRPr="00FB5F11">
        <w:rPr>
          <w:i/>
        </w:rPr>
        <w:t>Theory and Practice in the Choice of Social Discount Rate for Cost</w:t>
      </w:r>
      <w:r>
        <w:rPr>
          <w:i/>
        </w:rPr>
        <w:noBreakHyphen/>
      </w:r>
      <w:r w:rsidRPr="00FB5F11">
        <w:rPr>
          <w:i/>
        </w:rPr>
        <w:t>Benefit Analysis: A Survey</w:t>
      </w:r>
      <w:r>
        <w:t>, Economics and Research Department Working Paper No. 94, Asian Development Bank, Manila.</w:t>
      </w:r>
    </w:p>
    <w:sectPr w:rsidR="001B1DC5" w:rsidRPr="00CC5A11" w:rsidSect="00547854">
      <w:headerReference w:type="even" r:id="rId10"/>
      <w:headerReference w:type="default" r:id="rId11"/>
      <w:footerReference w:type="even" r:id="rId12"/>
      <w:footerReference w:type="default" r:id="rId13"/>
      <w:pgSz w:w="11907" w:h="16840" w:code="9"/>
      <w:pgMar w:top="1985" w:right="1304" w:bottom="1418" w:left="1814" w:header="1701" w:footer="567" w:gutter="0"/>
      <w:pgNumType w:start="1" w:chapSep="period"/>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276D4" w:rsidRDefault="002276D4">
      <w:r>
        <w:separator/>
      </w:r>
    </w:p>
  </w:endnote>
  <w:endnote w:type="continuationSeparator" w:id="0">
    <w:p w:rsidR="002276D4" w:rsidRDefault="002276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T Extra">
    <w:panose1 w:val="05050102010205020202"/>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510"/>
      <w:gridCol w:w="1644"/>
      <w:gridCol w:w="6634"/>
    </w:tblGrid>
    <w:tr w:rsidR="002276D4">
      <w:trPr>
        <w:trHeight w:hRule="exact" w:val="740"/>
      </w:trPr>
      <w:tc>
        <w:tcPr>
          <w:tcW w:w="510" w:type="dxa"/>
          <w:tcBorders>
            <w:top w:val="single" w:sz="6" w:space="0" w:color="auto"/>
          </w:tcBorders>
        </w:tcPr>
        <w:p w:rsidR="002276D4" w:rsidRDefault="002276D4" w:rsidP="0019293B">
          <w:pPr>
            <w:pStyle w:val="Footer"/>
            <w:tabs>
              <w:tab w:val="left" w:pos="0"/>
            </w:tabs>
            <w:ind w:right="0"/>
            <w:rPr>
              <w:rStyle w:val="PageNumber"/>
            </w:rPr>
          </w:pPr>
          <w:r>
            <w:rPr>
              <w:rStyle w:val="PageNumber"/>
            </w:rPr>
            <w:fldChar w:fldCharType="begin"/>
          </w:r>
          <w:r>
            <w:rPr>
              <w:rStyle w:val="PageNumber"/>
            </w:rPr>
            <w:instrText xml:space="preserve">PAGE  </w:instrText>
          </w:r>
          <w:r>
            <w:rPr>
              <w:rStyle w:val="PageNumber"/>
            </w:rPr>
            <w:fldChar w:fldCharType="separate"/>
          </w:r>
          <w:r w:rsidR="00A46653">
            <w:rPr>
              <w:rStyle w:val="PageNumber"/>
              <w:noProof/>
            </w:rPr>
            <w:t>2</w:t>
          </w:r>
          <w:r>
            <w:rPr>
              <w:rStyle w:val="PageNumber"/>
            </w:rPr>
            <w:fldChar w:fldCharType="end"/>
          </w:r>
        </w:p>
      </w:tc>
      <w:tc>
        <w:tcPr>
          <w:tcW w:w="1644" w:type="dxa"/>
          <w:tcBorders>
            <w:top w:val="single" w:sz="6" w:space="0" w:color="auto"/>
          </w:tcBorders>
        </w:tcPr>
        <w:p w:rsidR="002276D4" w:rsidRDefault="002276D4" w:rsidP="0019293B">
          <w:pPr>
            <w:pStyle w:val="Footer"/>
          </w:pPr>
          <w:fldSimple w:instr=" SUBJECT  \* MERGEFORMAT ">
            <w:r>
              <w:t>On sustainability</w:t>
            </w:r>
          </w:fldSimple>
        </w:p>
      </w:tc>
      <w:tc>
        <w:tcPr>
          <w:tcW w:w="6634" w:type="dxa"/>
        </w:tcPr>
        <w:p w:rsidR="002276D4" w:rsidRDefault="002276D4" w:rsidP="0019293B">
          <w:pPr>
            <w:pStyle w:val="Footer"/>
          </w:pPr>
        </w:p>
      </w:tc>
    </w:tr>
  </w:tbl>
  <w:p w:rsidR="002276D4" w:rsidRDefault="002276D4" w:rsidP="0019293B">
    <w:pPr>
      <w:pStyle w:val="FooterEnd"/>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6634"/>
      <w:gridCol w:w="1644"/>
      <w:gridCol w:w="510"/>
    </w:tblGrid>
    <w:tr w:rsidR="002276D4">
      <w:trPr>
        <w:trHeight w:hRule="exact" w:val="740"/>
      </w:trPr>
      <w:tc>
        <w:tcPr>
          <w:tcW w:w="6634" w:type="dxa"/>
        </w:tcPr>
        <w:p w:rsidR="002276D4" w:rsidRDefault="002276D4">
          <w:pPr>
            <w:pStyle w:val="Footer"/>
            <w:ind w:right="360" w:firstLine="360"/>
          </w:pPr>
        </w:p>
      </w:tc>
      <w:tc>
        <w:tcPr>
          <w:tcW w:w="1644" w:type="dxa"/>
          <w:tcBorders>
            <w:top w:val="single" w:sz="6" w:space="0" w:color="auto"/>
          </w:tcBorders>
        </w:tcPr>
        <w:p w:rsidR="002276D4" w:rsidRDefault="002276D4">
          <w:pPr>
            <w:pStyle w:val="Footer"/>
          </w:pPr>
          <w:fldSimple w:instr=" TITLE  \* MERGEFORMAT ">
            <w:r>
              <w:t>On sustainability</w:t>
            </w:r>
          </w:fldSimple>
        </w:p>
      </w:tc>
      <w:tc>
        <w:tcPr>
          <w:tcW w:w="510" w:type="dxa"/>
          <w:tcBorders>
            <w:top w:val="single" w:sz="6" w:space="0" w:color="auto"/>
          </w:tcBorders>
        </w:tcPr>
        <w:p w:rsidR="002276D4" w:rsidRDefault="002276D4">
          <w:pPr>
            <w:pStyle w:val="Footer"/>
            <w:jc w:val="right"/>
          </w:pPr>
          <w:r>
            <w:rPr>
              <w:rStyle w:val="PageNumber"/>
            </w:rPr>
            <w:fldChar w:fldCharType="begin"/>
          </w:r>
          <w:r>
            <w:rPr>
              <w:rStyle w:val="PageNumber"/>
            </w:rPr>
            <w:instrText xml:space="preserve">PAGE  </w:instrText>
          </w:r>
          <w:r>
            <w:rPr>
              <w:rStyle w:val="PageNumber"/>
            </w:rPr>
            <w:fldChar w:fldCharType="separate"/>
          </w:r>
          <w:r w:rsidR="00A46653">
            <w:rPr>
              <w:rStyle w:val="PageNumber"/>
              <w:noProof/>
            </w:rPr>
            <w:t>1</w:t>
          </w:r>
          <w:r>
            <w:rPr>
              <w:rStyle w:val="PageNumber"/>
            </w:rPr>
            <w:fldChar w:fldCharType="end"/>
          </w:r>
        </w:p>
      </w:tc>
    </w:tr>
  </w:tbl>
  <w:p w:rsidR="002276D4" w:rsidRDefault="002276D4">
    <w:pPr>
      <w:pStyle w:val="FooterEn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276D4" w:rsidRDefault="002276D4">
      <w:r>
        <w:separator/>
      </w:r>
    </w:p>
  </w:footnote>
  <w:footnote w:type="continuationSeparator" w:id="0">
    <w:p w:rsidR="002276D4" w:rsidRDefault="002276D4">
      <w:r>
        <w:continuationSeparator/>
      </w:r>
    </w:p>
  </w:footnote>
  <w:footnote w:id="1">
    <w:p w:rsidR="002276D4" w:rsidRDefault="002276D4" w:rsidP="00F6458C">
      <w:pPr>
        <w:pStyle w:val="FootnoteText"/>
      </w:pPr>
      <w:r>
        <w:rPr>
          <w:rStyle w:val="FootnoteReference"/>
        </w:rPr>
        <w:footnoteRef/>
      </w:r>
      <w:r>
        <w:t xml:space="preserve"> </w:t>
      </w:r>
      <w:r>
        <w:tab/>
        <w:t xml:space="preserve">While there is debate over the distinction between these terms, in general </w:t>
      </w:r>
      <w:r w:rsidRPr="006773F9">
        <w:t xml:space="preserve">‘sustainability’ and ‘sustainable development’ are used </w:t>
      </w:r>
      <w:r>
        <w:t>interchangeably. This paper will not distinguish between these two terms</w:t>
      </w:r>
      <w:r w:rsidRPr="008837D9">
        <w:t>.</w:t>
      </w:r>
    </w:p>
  </w:footnote>
  <w:footnote w:id="2">
    <w:p w:rsidR="002276D4" w:rsidRDefault="002276D4">
      <w:pPr>
        <w:pStyle w:val="FootnoteText"/>
      </w:pPr>
      <w:r>
        <w:rPr>
          <w:rStyle w:val="FootnoteReference"/>
        </w:rPr>
        <w:footnoteRef/>
      </w:r>
      <w:r>
        <w:t xml:space="preserve"> </w:t>
      </w:r>
      <w:r w:rsidRPr="00DA6C3E">
        <w:t>Knowledge includes basic and applied research and intellectual property, which can also be interpreted as produced capital.</w:t>
      </w:r>
    </w:p>
  </w:footnote>
  <w:footnote w:id="3">
    <w:p w:rsidR="002276D4" w:rsidRDefault="002276D4" w:rsidP="00B24F71">
      <w:pPr>
        <w:pStyle w:val="FootnoteText"/>
      </w:pPr>
      <w:r>
        <w:rPr>
          <w:rStyle w:val="FootnoteReference"/>
        </w:rPr>
        <w:footnoteRef/>
      </w:r>
      <w:r>
        <w:tab/>
        <w:t>The issues of capital depreciation and population growth are not addressed in this discussion as this would raise the additional complication of ‘sustainable population’. To sustain community wellbeing implicitly requires maintaining outcomes per person, so if the population is growing then the outcomes must match the population growth. Under the economic approach this requires that the net effective capital stock (which includes the contribution of knowledge and adjusts for depreciation) grows at the rate of population growth.</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2155"/>
      <w:gridCol w:w="6634"/>
    </w:tblGrid>
    <w:tr w:rsidR="002276D4">
      <w:tc>
        <w:tcPr>
          <w:tcW w:w="2155" w:type="dxa"/>
          <w:tcBorders>
            <w:top w:val="single" w:sz="24" w:space="0" w:color="auto"/>
          </w:tcBorders>
        </w:tcPr>
        <w:p w:rsidR="002276D4" w:rsidRDefault="002276D4" w:rsidP="0019293B">
          <w:pPr>
            <w:pStyle w:val="HeaderEven"/>
          </w:pPr>
        </w:p>
      </w:tc>
      <w:tc>
        <w:tcPr>
          <w:tcW w:w="6634" w:type="dxa"/>
          <w:tcBorders>
            <w:top w:val="single" w:sz="6" w:space="0" w:color="auto"/>
          </w:tcBorders>
        </w:tcPr>
        <w:p w:rsidR="002276D4" w:rsidRDefault="002276D4" w:rsidP="0019293B">
          <w:pPr>
            <w:pStyle w:val="HeaderEven"/>
          </w:pPr>
        </w:p>
      </w:tc>
    </w:tr>
  </w:tbl>
  <w:p w:rsidR="002276D4" w:rsidRDefault="002276D4" w:rsidP="0019293B">
    <w:pPr>
      <w:pStyle w:val="HeaderEn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Borders>
        <w:top w:val="single" w:sz="6" w:space="0" w:color="auto"/>
      </w:tblBorders>
      <w:tblLayout w:type="fixed"/>
      <w:tblCellMar>
        <w:left w:w="0" w:type="dxa"/>
        <w:right w:w="0" w:type="dxa"/>
      </w:tblCellMar>
      <w:tblLook w:val="0000" w:firstRow="0" w:lastRow="0" w:firstColumn="0" w:lastColumn="0" w:noHBand="0" w:noVBand="0"/>
    </w:tblPr>
    <w:tblGrid>
      <w:gridCol w:w="6634"/>
      <w:gridCol w:w="2155"/>
    </w:tblGrid>
    <w:tr w:rsidR="002276D4">
      <w:tc>
        <w:tcPr>
          <w:tcW w:w="6634" w:type="dxa"/>
          <w:tcBorders>
            <w:top w:val="single" w:sz="6" w:space="0" w:color="auto"/>
          </w:tcBorders>
        </w:tcPr>
        <w:p w:rsidR="002276D4" w:rsidRDefault="002276D4" w:rsidP="00E669E2">
          <w:pPr>
            <w:pStyle w:val="HeaderOdd"/>
          </w:pPr>
        </w:p>
      </w:tc>
      <w:tc>
        <w:tcPr>
          <w:tcW w:w="2155" w:type="dxa"/>
          <w:tcBorders>
            <w:top w:val="single" w:sz="24" w:space="0" w:color="auto"/>
          </w:tcBorders>
        </w:tcPr>
        <w:p w:rsidR="002276D4" w:rsidRDefault="002276D4" w:rsidP="00E669E2">
          <w:pPr>
            <w:pStyle w:val="HeaderOdd"/>
          </w:pPr>
        </w:p>
      </w:tc>
    </w:tr>
  </w:tbl>
  <w:p w:rsidR="002276D4" w:rsidRDefault="002276D4" w:rsidP="00E669E2">
    <w:pPr>
      <w:pStyle w:val="HeaderEn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E"/>
    <w:multiLevelType w:val="singleLevel"/>
    <w:tmpl w:val="ED98921A"/>
    <w:lvl w:ilvl="0">
      <w:start w:val="1"/>
      <w:numFmt w:val="decimal"/>
      <w:lvlText w:val="%1."/>
      <w:lvlJc w:val="left"/>
      <w:pPr>
        <w:tabs>
          <w:tab w:val="num" w:pos="926"/>
        </w:tabs>
        <w:ind w:left="926" w:hanging="360"/>
      </w:pPr>
    </w:lvl>
  </w:abstractNum>
  <w:abstractNum w:abstractNumId="1">
    <w:nsid w:val="FFFFFF7F"/>
    <w:multiLevelType w:val="singleLevel"/>
    <w:tmpl w:val="69042E6A"/>
    <w:lvl w:ilvl="0">
      <w:start w:val="1"/>
      <w:numFmt w:val="decimal"/>
      <w:lvlText w:val="%1."/>
      <w:lvlJc w:val="left"/>
      <w:pPr>
        <w:tabs>
          <w:tab w:val="num" w:pos="643"/>
        </w:tabs>
        <w:ind w:left="643" w:hanging="360"/>
      </w:pPr>
    </w:lvl>
  </w:abstractNum>
  <w:abstractNum w:abstractNumId="2">
    <w:nsid w:val="FFFFFF82"/>
    <w:multiLevelType w:val="singleLevel"/>
    <w:tmpl w:val="3A3A2F08"/>
    <w:lvl w:ilvl="0">
      <w:start w:val="1"/>
      <w:numFmt w:val="bullet"/>
      <w:lvlText w:val=""/>
      <w:lvlJc w:val="left"/>
      <w:pPr>
        <w:tabs>
          <w:tab w:val="num" w:pos="926"/>
        </w:tabs>
        <w:ind w:left="926" w:hanging="360"/>
      </w:pPr>
      <w:rPr>
        <w:rFonts w:ascii="Symbol" w:hAnsi="Symbol" w:hint="default"/>
      </w:rPr>
    </w:lvl>
  </w:abstractNum>
  <w:abstractNum w:abstractNumId="3">
    <w:nsid w:val="FFFFFF83"/>
    <w:multiLevelType w:val="singleLevel"/>
    <w:tmpl w:val="0BA2943E"/>
    <w:lvl w:ilvl="0">
      <w:start w:val="1"/>
      <w:numFmt w:val="bullet"/>
      <w:lvlText w:val=""/>
      <w:lvlJc w:val="left"/>
      <w:pPr>
        <w:tabs>
          <w:tab w:val="num" w:pos="643"/>
        </w:tabs>
        <w:ind w:left="643" w:hanging="360"/>
      </w:pPr>
      <w:rPr>
        <w:rFonts w:ascii="Symbol" w:hAnsi="Symbol" w:hint="default"/>
      </w:rPr>
    </w:lvl>
  </w:abstractNum>
  <w:abstractNum w:abstractNumId="4">
    <w:nsid w:val="FFFFFF88"/>
    <w:multiLevelType w:val="singleLevel"/>
    <w:tmpl w:val="93104AE2"/>
    <w:lvl w:ilvl="0">
      <w:start w:val="1"/>
      <w:numFmt w:val="decimal"/>
      <w:lvlText w:val="%1."/>
      <w:lvlJc w:val="left"/>
      <w:pPr>
        <w:tabs>
          <w:tab w:val="num" w:pos="360"/>
        </w:tabs>
        <w:ind w:left="360" w:hanging="360"/>
      </w:pPr>
    </w:lvl>
  </w:abstractNum>
  <w:abstractNum w:abstractNumId="5">
    <w:nsid w:val="FFFFFF89"/>
    <w:multiLevelType w:val="singleLevel"/>
    <w:tmpl w:val="0F36FBA8"/>
    <w:lvl w:ilvl="0">
      <w:start w:val="1"/>
      <w:numFmt w:val="bullet"/>
      <w:lvlText w:val=""/>
      <w:lvlJc w:val="left"/>
      <w:pPr>
        <w:tabs>
          <w:tab w:val="num" w:pos="360"/>
        </w:tabs>
        <w:ind w:left="360" w:hanging="360"/>
      </w:pPr>
      <w:rPr>
        <w:rFonts w:ascii="Symbol" w:hAnsi="Symbol" w:hint="default"/>
      </w:rPr>
    </w:lvl>
  </w:abstractNum>
  <w:abstractNum w:abstractNumId="6">
    <w:nsid w:val="FFFFFFFE"/>
    <w:multiLevelType w:val="singleLevel"/>
    <w:tmpl w:val="FFFFFFFF"/>
    <w:lvl w:ilvl="0">
      <w:numFmt w:val="decimal"/>
      <w:lvlText w:val="*"/>
      <w:lvlJc w:val="left"/>
    </w:lvl>
  </w:abstractNum>
  <w:abstractNum w:abstractNumId="7">
    <w:nsid w:val="02D84BB9"/>
    <w:multiLevelType w:val="hybridMultilevel"/>
    <w:tmpl w:val="5F24570C"/>
    <w:lvl w:ilvl="0" w:tplc="6C209310">
      <w:start w:val="1"/>
      <w:numFmt w:val="bullet"/>
      <w:pStyle w:val="Jurisdictioncommentslistbullet"/>
      <w:lvlText w:val=""/>
      <w:lvlJc w:val="left"/>
      <w:pPr>
        <w:tabs>
          <w:tab w:val="num" w:pos="318"/>
        </w:tabs>
        <w:ind w:left="318" w:hanging="318"/>
      </w:pPr>
      <w:rPr>
        <w:rFonts w:ascii="Symbol" w:hAnsi="Symbol" w:hint="default"/>
        <w:sz w:val="20"/>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8">
    <w:nsid w:val="033F2413"/>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9">
    <w:nsid w:val="047A7C39"/>
    <w:multiLevelType w:val="singleLevel"/>
    <w:tmpl w:val="4438961C"/>
    <w:lvl w:ilvl="0">
      <w:numFmt w:val="bullet"/>
      <w:pStyle w:val="ListBullet2"/>
      <w:lvlText w:val="–"/>
      <w:lvlJc w:val="left"/>
      <w:pPr>
        <w:tabs>
          <w:tab w:val="num" w:pos="680"/>
        </w:tabs>
        <w:ind w:left="680" w:hanging="340"/>
      </w:pPr>
      <w:rPr>
        <w:rFonts w:ascii="Times New Roman" w:hAnsi="Times New Roman" w:cs="Times New Roman" w:hint="default"/>
      </w:rPr>
    </w:lvl>
  </w:abstractNum>
  <w:abstractNum w:abstractNumId="10">
    <w:nsid w:val="06214B87"/>
    <w:multiLevelType w:val="singleLevel"/>
    <w:tmpl w:val="AB185BC4"/>
    <w:lvl w:ilvl="0">
      <w:numFmt w:val="bullet"/>
      <w:pStyle w:val="BoxListBullet2"/>
      <w:lvlText w:val="–"/>
      <w:lvlJc w:val="left"/>
      <w:pPr>
        <w:tabs>
          <w:tab w:val="num" w:pos="567"/>
        </w:tabs>
        <w:ind w:left="567" w:hanging="283"/>
      </w:pPr>
      <w:rPr>
        <w:rFonts w:ascii="Times New Roman" w:hAnsi="Times New Roman" w:cs="Times New Roman" w:hint="default"/>
      </w:rPr>
    </w:lvl>
  </w:abstractNum>
  <w:abstractNum w:abstractNumId="11">
    <w:nsid w:val="06791123"/>
    <w:multiLevelType w:val="hybridMultilevel"/>
    <w:tmpl w:val="5F14156E"/>
    <w:lvl w:ilvl="0" w:tplc="2BD04F64">
      <w:numFmt w:val="bullet"/>
      <w:lvlText w:val=""/>
      <w:lvlJc w:val="left"/>
      <w:pPr>
        <w:ind w:left="1004" w:hanging="360"/>
      </w:pPr>
      <w:rPr>
        <w:rFonts w:ascii="MT Extra" w:hAnsi="MT Extra" w:cs="Times New Roman"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12">
    <w:nsid w:val="07057F34"/>
    <w:multiLevelType w:val="singleLevel"/>
    <w:tmpl w:val="ED98921A"/>
    <w:lvl w:ilvl="0">
      <w:start w:val="1"/>
      <w:numFmt w:val="decimal"/>
      <w:lvlText w:val="%1."/>
      <w:legacy w:legacy="1" w:legacySpace="0" w:legacyIndent="340"/>
      <w:lvlJc w:val="left"/>
      <w:pPr>
        <w:ind w:left="340" w:hanging="340"/>
      </w:pPr>
    </w:lvl>
  </w:abstractNum>
  <w:abstractNum w:abstractNumId="13">
    <w:nsid w:val="07405C8A"/>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nsid w:val="0E116344"/>
    <w:multiLevelType w:val="multilevel"/>
    <w:tmpl w:val="3B188B36"/>
    <w:lvl w:ilvl="0">
      <w:start w:val="1"/>
      <w:numFmt w:val="decimal"/>
      <w:pStyle w:val="BoxListNumber"/>
      <w:lvlText w:val="%1."/>
      <w:lvlJc w:val="left"/>
      <w:pPr>
        <w:tabs>
          <w:tab w:val="num" w:pos="284"/>
        </w:tabs>
        <w:ind w:left="284" w:hanging="284"/>
      </w:pPr>
      <w:rPr>
        <w:rFonts w:hint="default"/>
      </w:rPr>
    </w:lvl>
    <w:lvl w:ilvl="1">
      <w:start w:val="1"/>
      <w:numFmt w:val="lowerLetter"/>
      <w:pStyle w:val="BoxListNumber2"/>
      <w:lvlText w:val="(%2)"/>
      <w:lvlJc w:val="left"/>
      <w:pPr>
        <w:tabs>
          <w:tab w:val="num" w:pos="680"/>
        </w:tabs>
        <w:ind w:left="680" w:hanging="396"/>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5">
    <w:nsid w:val="0ED95F65"/>
    <w:multiLevelType w:val="multilevel"/>
    <w:tmpl w:val="C444122C"/>
    <w:lvl w:ilvl="0">
      <w:start w:val="1"/>
      <w:numFmt w:val="decimal"/>
      <w:pStyle w:val="ListNumber"/>
      <w:lvlText w:val="%1."/>
      <w:lvlJc w:val="left"/>
      <w:pPr>
        <w:tabs>
          <w:tab w:val="num" w:pos="340"/>
        </w:tabs>
        <w:ind w:left="340" w:hanging="340"/>
      </w:pPr>
      <w:rPr>
        <w:rFonts w:hint="default"/>
      </w:rPr>
    </w:lvl>
    <w:lvl w:ilvl="1">
      <w:start w:val="1"/>
      <w:numFmt w:val="lowerLetter"/>
      <w:pStyle w:val="ListNumber2"/>
      <w:lvlText w:val="(%2)"/>
      <w:lvlJc w:val="left"/>
      <w:pPr>
        <w:tabs>
          <w:tab w:val="num" w:pos="794"/>
        </w:tabs>
        <w:ind w:left="794" w:hanging="454"/>
      </w:pPr>
      <w:rPr>
        <w:rFonts w:hint="default"/>
      </w:rPr>
    </w:lvl>
    <w:lvl w:ilvl="2">
      <w:start w:val="1"/>
      <w:numFmt w:val="lowerRoman"/>
      <w:pStyle w:val="ListNumber3"/>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6">
    <w:nsid w:val="11CE45D8"/>
    <w:multiLevelType w:val="singleLevel"/>
    <w:tmpl w:val="650622E4"/>
    <w:lvl w:ilvl="0">
      <w:numFmt w:val="bullet"/>
      <w:pStyle w:val="SideNoteBullet"/>
      <w:lvlText w:val="–"/>
      <w:lvlJc w:val="left"/>
      <w:pPr>
        <w:tabs>
          <w:tab w:val="num" w:pos="360"/>
        </w:tabs>
        <w:ind w:left="227" w:hanging="227"/>
      </w:pPr>
      <w:rPr>
        <w:rFonts w:ascii="Times New Roman" w:hAnsi="Times New Roman" w:hint="default"/>
      </w:rPr>
    </w:lvl>
  </w:abstractNum>
  <w:abstractNum w:abstractNumId="17">
    <w:nsid w:val="23FF358D"/>
    <w:multiLevelType w:val="singleLevel"/>
    <w:tmpl w:val="4146A198"/>
    <w:lvl w:ilvl="0">
      <w:start w:val="1"/>
      <w:numFmt w:val="bullet"/>
      <w:pStyle w:val="RecBBullet"/>
      <w:lvlText w:val=""/>
      <w:lvlJc w:val="left"/>
      <w:pPr>
        <w:tabs>
          <w:tab w:val="num" w:pos="340"/>
        </w:tabs>
        <w:ind w:left="340" w:hanging="340"/>
      </w:pPr>
      <w:rPr>
        <w:rFonts w:ascii="Symbol" w:hAnsi="Symbol" w:hint="default"/>
        <w:b w:val="0"/>
        <w:i w:val="0"/>
        <w:sz w:val="18"/>
      </w:rPr>
    </w:lvl>
  </w:abstractNum>
  <w:abstractNum w:abstractNumId="18">
    <w:nsid w:val="27371796"/>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nsid w:val="30E90CE4"/>
    <w:multiLevelType w:val="singleLevel"/>
    <w:tmpl w:val="52F61D9A"/>
    <w:lvl w:ilvl="0">
      <w:start w:val="1"/>
      <w:numFmt w:val="bullet"/>
      <w:pStyle w:val="BoxListBullet"/>
      <w:lvlText w:val=""/>
      <w:lvlJc w:val="left"/>
      <w:pPr>
        <w:tabs>
          <w:tab w:val="num" w:pos="284"/>
        </w:tabs>
        <w:ind w:left="284" w:hanging="284"/>
      </w:pPr>
      <w:rPr>
        <w:rFonts w:ascii="Symbol" w:hAnsi="Symbol" w:hint="default"/>
        <w:sz w:val="18"/>
      </w:rPr>
    </w:lvl>
  </w:abstractNum>
  <w:abstractNum w:abstractNumId="20">
    <w:nsid w:val="37ED3958"/>
    <w:multiLevelType w:val="hybridMultilevel"/>
    <w:tmpl w:val="5A74712E"/>
    <w:lvl w:ilvl="0" w:tplc="67827726">
      <w:numFmt w:val="bullet"/>
      <w:lvlText w:val="—"/>
      <w:lvlJc w:val="left"/>
      <w:pPr>
        <w:tabs>
          <w:tab w:val="num" w:pos="735"/>
        </w:tabs>
        <w:ind w:left="735" w:hanging="375"/>
      </w:pPr>
      <w:rPr>
        <w:rFonts w:ascii="Times New Roman" w:eastAsia="Times New Roman" w:hAnsi="Times New Roman" w:cs="Times New Roman"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1">
    <w:nsid w:val="39C335C1"/>
    <w:multiLevelType w:val="multilevel"/>
    <w:tmpl w:val="7DF6C670"/>
    <w:lvl w:ilvl="0">
      <w:start w:val="1"/>
      <w:numFmt w:val="decimal"/>
      <w:lvlText w:val="%1)"/>
      <w:lvlJc w:val="left"/>
      <w:pPr>
        <w:tabs>
          <w:tab w:val="num" w:pos="1134"/>
        </w:tabs>
        <w:ind w:left="1134" w:hanging="340"/>
      </w:pPr>
      <w:rPr>
        <w:rFonts w:hint="default"/>
      </w:rPr>
    </w:lvl>
    <w:lvl w:ilvl="1">
      <w:start w:val="1"/>
      <w:numFmt w:val="lowerLetter"/>
      <w:lvlText w:val="%2)"/>
      <w:lvlJc w:val="left"/>
      <w:pPr>
        <w:tabs>
          <w:tab w:val="num" w:pos="1588"/>
        </w:tabs>
        <w:ind w:left="1588" w:hanging="454"/>
      </w:pPr>
      <w:rPr>
        <w:rFonts w:hint="default"/>
      </w:rPr>
    </w:lvl>
    <w:lvl w:ilvl="2">
      <w:start w:val="1"/>
      <w:numFmt w:val="lowerRoman"/>
      <w:lvlText w:val="%3)"/>
      <w:lvlJc w:val="left"/>
      <w:pPr>
        <w:tabs>
          <w:tab w:val="num" w:pos="2098"/>
        </w:tabs>
        <w:ind w:left="2098" w:hanging="510"/>
      </w:pPr>
      <w:rPr>
        <w:rFonts w:hint="default"/>
      </w:rPr>
    </w:lvl>
    <w:lvl w:ilvl="3">
      <w:start w:val="1"/>
      <w:numFmt w:val="decimal"/>
      <w:lvlText w:val="(%4)"/>
      <w:lvlJc w:val="left"/>
      <w:pPr>
        <w:tabs>
          <w:tab w:val="num" w:pos="2234"/>
        </w:tabs>
        <w:ind w:left="2234" w:hanging="360"/>
      </w:pPr>
      <w:rPr>
        <w:rFonts w:hint="default"/>
      </w:rPr>
    </w:lvl>
    <w:lvl w:ilvl="4">
      <w:start w:val="1"/>
      <w:numFmt w:val="lowerLetter"/>
      <w:lvlText w:val="(%5)"/>
      <w:lvlJc w:val="left"/>
      <w:pPr>
        <w:tabs>
          <w:tab w:val="num" w:pos="2594"/>
        </w:tabs>
        <w:ind w:left="2594" w:hanging="360"/>
      </w:pPr>
      <w:rPr>
        <w:rFonts w:hint="default"/>
      </w:rPr>
    </w:lvl>
    <w:lvl w:ilvl="5">
      <w:start w:val="1"/>
      <w:numFmt w:val="lowerRoman"/>
      <w:lvlText w:val="(%6)"/>
      <w:lvlJc w:val="left"/>
      <w:pPr>
        <w:tabs>
          <w:tab w:val="num" w:pos="2954"/>
        </w:tabs>
        <w:ind w:left="2954" w:hanging="360"/>
      </w:pPr>
      <w:rPr>
        <w:rFonts w:hint="default"/>
      </w:rPr>
    </w:lvl>
    <w:lvl w:ilvl="6">
      <w:start w:val="1"/>
      <w:numFmt w:val="decimal"/>
      <w:lvlText w:val="%7."/>
      <w:lvlJc w:val="left"/>
      <w:pPr>
        <w:tabs>
          <w:tab w:val="num" w:pos="3314"/>
        </w:tabs>
        <w:ind w:left="3314" w:hanging="360"/>
      </w:pPr>
      <w:rPr>
        <w:rFonts w:hint="default"/>
      </w:rPr>
    </w:lvl>
    <w:lvl w:ilvl="7">
      <w:start w:val="1"/>
      <w:numFmt w:val="lowerLetter"/>
      <w:lvlText w:val="%8."/>
      <w:lvlJc w:val="left"/>
      <w:pPr>
        <w:tabs>
          <w:tab w:val="num" w:pos="3674"/>
        </w:tabs>
        <w:ind w:left="3674" w:hanging="360"/>
      </w:pPr>
      <w:rPr>
        <w:rFonts w:hint="default"/>
      </w:rPr>
    </w:lvl>
    <w:lvl w:ilvl="8">
      <w:start w:val="1"/>
      <w:numFmt w:val="lowerRoman"/>
      <w:lvlText w:val="%9."/>
      <w:lvlJc w:val="left"/>
      <w:pPr>
        <w:tabs>
          <w:tab w:val="num" w:pos="4034"/>
        </w:tabs>
        <w:ind w:left="4034" w:hanging="360"/>
      </w:pPr>
      <w:rPr>
        <w:rFonts w:hint="default"/>
      </w:rPr>
    </w:lvl>
  </w:abstractNum>
  <w:abstractNum w:abstractNumId="22">
    <w:nsid w:val="4D212809"/>
    <w:multiLevelType w:val="hybridMultilevel"/>
    <w:tmpl w:val="01EE78F8"/>
    <w:lvl w:ilvl="0" w:tplc="FEF0DFD2">
      <w:start w:val="1"/>
      <w:numFmt w:val="bullet"/>
      <w:lvlText w:val="–"/>
      <w:lvlJc w:val="left"/>
      <w:pPr>
        <w:ind w:left="700" w:hanging="360"/>
      </w:pPr>
      <w:rPr>
        <w:rFonts w:ascii="Times New Roman" w:hAnsi="Times New Roman" w:cs="Times New Roman" w:hint="default"/>
        <w:b w:val="0"/>
        <w:i w:val="0"/>
        <w:sz w:val="18"/>
      </w:rPr>
    </w:lvl>
    <w:lvl w:ilvl="1" w:tplc="0C090003" w:tentative="1">
      <w:start w:val="1"/>
      <w:numFmt w:val="bullet"/>
      <w:lvlText w:val="o"/>
      <w:lvlJc w:val="left"/>
      <w:pPr>
        <w:ind w:left="1780" w:hanging="360"/>
      </w:pPr>
      <w:rPr>
        <w:rFonts w:ascii="Courier New" w:hAnsi="Courier New" w:cs="Courier New" w:hint="default"/>
      </w:rPr>
    </w:lvl>
    <w:lvl w:ilvl="2" w:tplc="0C090005" w:tentative="1">
      <w:start w:val="1"/>
      <w:numFmt w:val="bullet"/>
      <w:lvlText w:val=""/>
      <w:lvlJc w:val="left"/>
      <w:pPr>
        <w:ind w:left="2500" w:hanging="360"/>
      </w:pPr>
      <w:rPr>
        <w:rFonts w:ascii="Wingdings" w:hAnsi="Wingdings" w:hint="default"/>
      </w:rPr>
    </w:lvl>
    <w:lvl w:ilvl="3" w:tplc="0C090001" w:tentative="1">
      <w:start w:val="1"/>
      <w:numFmt w:val="bullet"/>
      <w:lvlText w:val=""/>
      <w:lvlJc w:val="left"/>
      <w:pPr>
        <w:ind w:left="3220" w:hanging="360"/>
      </w:pPr>
      <w:rPr>
        <w:rFonts w:ascii="Symbol" w:hAnsi="Symbol" w:hint="default"/>
      </w:rPr>
    </w:lvl>
    <w:lvl w:ilvl="4" w:tplc="0C090003" w:tentative="1">
      <w:start w:val="1"/>
      <w:numFmt w:val="bullet"/>
      <w:lvlText w:val="o"/>
      <w:lvlJc w:val="left"/>
      <w:pPr>
        <w:ind w:left="3940" w:hanging="360"/>
      </w:pPr>
      <w:rPr>
        <w:rFonts w:ascii="Courier New" w:hAnsi="Courier New" w:cs="Courier New" w:hint="default"/>
      </w:rPr>
    </w:lvl>
    <w:lvl w:ilvl="5" w:tplc="0C090005" w:tentative="1">
      <w:start w:val="1"/>
      <w:numFmt w:val="bullet"/>
      <w:lvlText w:val=""/>
      <w:lvlJc w:val="left"/>
      <w:pPr>
        <w:ind w:left="4660" w:hanging="360"/>
      </w:pPr>
      <w:rPr>
        <w:rFonts w:ascii="Wingdings" w:hAnsi="Wingdings" w:hint="default"/>
      </w:rPr>
    </w:lvl>
    <w:lvl w:ilvl="6" w:tplc="0C090001" w:tentative="1">
      <w:start w:val="1"/>
      <w:numFmt w:val="bullet"/>
      <w:lvlText w:val=""/>
      <w:lvlJc w:val="left"/>
      <w:pPr>
        <w:ind w:left="5380" w:hanging="360"/>
      </w:pPr>
      <w:rPr>
        <w:rFonts w:ascii="Symbol" w:hAnsi="Symbol" w:hint="default"/>
      </w:rPr>
    </w:lvl>
    <w:lvl w:ilvl="7" w:tplc="0C090003" w:tentative="1">
      <w:start w:val="1"/>
      <w:numFmt w:val="bullet"/>
      <w:lvlText w:val="o"/>
      <w:lvlJc w:val="left"/>
      <w:pPr>
        <w:ind w:left="6100" w:hanging="360"/>
      </w:pPr>
      <w:rPr>
        <w:rFonts w:ascii="Courier New" w:hAnsi="Courier New" w:cs="Courier New" w:hint="default"/>
      </w:rPr>
    </w:lvl>
    <w:lvl w:ilvl="8" w:tplc="0C090005" w:tentative="1">
      <w:start w:val="1"/>
      <w:numFmt w:val="bullet"/>
      <w:lvlText w:val=""/>
      <w:lvlJc w:val="left"/>
      <w:pPr>
        <w:ind w:left="6820" w:hanging="360"/>
      </w:pPr>
      <w:rPr>
        <w:rFonts w:ascii="Wingdings" w:hAnsi="Wingdings" w:hint="default"/>
      </w:rPr>
    </w:lvl>
  </w:abstractNum>
  <w:abstractNum w:abstractNumId="23">
    <w:nsid w:val="4EAF5D91"/>
    <w:multiLevelType w:val="hybridMultilevel"/>
    <w:tmpl w:val="FA5E775E"/>
    <w:lvl w:ilvl="0" w:tplc="893EB9AE">
      <w:start w:val="1"/>
      <w:numFmt w:val="decimal"/>
      <w:lvlText w:val="%1"/>
      <w:lvlJc w:val="left"/>
      <w:pPr>
        <w:ind w:left="1260" w:hanging="90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4">
    <w:nsid w:val="51F74561"/>
    <w:multiLevelType w:val="singleLevel"/>
    <w:tmpl w:val="ED98921A"/>
    <w:lvl w:ilvl="0">
      <w:start w:val="1"/>
      <w:numFmt w:val="decimal"/>
      <w:lvlText w:val="%1."/>
      <w:legacy w:legacy="1" w:legacySpace="0" w:legacyIndent="340"/>
      <w:lvlJc w:val="left"/>
      <w:pPr>
        <w:ind w:left="340" w:hanging="340"/>
      </w:pPr>
    </w:lvl>
  </w:abstractNum>
  <w:abstractNum w:abstractNumId="25">
    <w:nsid w:val="54382D6E"/>
    <w:multiLevelType w:val="singleLevel"/>
    <w:tmpl w:val="315ABD1E"/>
    <w:lvl w:ilvl="0">
      <w:numFmt w:val="bullet"/>
      <w:pStyle w:val="ListBullet"/>
      <w:lvlText w:val=""/>
      <w:lvlJc w:val="left"/>
      <w:pPr>
        <w:tabs>
          <w:tab w:val="num" w:pos="340"/>
        </w:tabs>
        <w:ind w:left="340" w:hanging="340"/>
      </w:pPr>
      <w:rPr>
        <w:rFonts w:ascii="Symbol" w:hAnsi="Symbol" w:hint="default"/>
        <w:sz w:val="18"/>
      </w:rPr>
    </w:lvl>
  </w:abstractNum>
  <w:abstractNum w:abstractNumId="26">
    <w:nsid w:val="543E1FD6"/>
    <w:multiLevelType w:val="singleLevel"/>
    <w:tmpl w:val="039AA380"/>
    <w:lvl w:ilvl="0">
      <w:start w:val="1"/>
      <w:numFmt w:val="bullet"/>
      <w:pStyle w:val="TableBullet"/>
      <w:lvlText w:val=""/>
      <w:lvlJc w:val="left"/>
      <w:pPr>
        <w:tabs>
          <w:tab w:val="num" w:pos="170"/>
        </w:tabs>
        <w:ind w:left="170" w:hanging="170"/>
      </w:pPr>
      <w:rPr>
        <w:rFonts w:ascii="Symbol" w:hAnsi="Symbol" w:hint="default"/>
        <w:b w:val="0"/>
        <w:i w:val="0"/>
        <w:sz w:val="18"/>
      </w:rPr>
    </w:lvl>
  </w:abstractNum>
  <w:abstractNum w:abstractNumId="27">
    <w:nsid w:val="55532592"/>
    <w:multiLevelType w:val="singleLevel"/>
    <w:tmpl w:val="AD60D3B8"/>
    <w:lvl w:ilvl="0">
      <w:start w:val="1"/>
      <w:numFmt w:val="lowerLetter"/>
      <w:lvlText w:val="(%1)"/>
      <w:legacy w:legacy="1" w:legacySpace="0" w:legacyIndent="340"/>
      <w:lvlJc w:val="left"/>
      <w:pPr>
        <w:ind w:left="680" w:hanging="340"/>
      </w:pPr>
    </w:lvl>
  </w:abstractNum>
  <w:abstractNum w:abstractNumId="28">
    <w:nsid w:val="56107838"/>
    <w:multiLevelType w:val="singleLevel"/>
    <w:tmpl w:val="775A3F3A"/>
    <w:lvl w:ilvl="0">
      <w:start w:val="1"/>
      <w:numFmt w:val="bullet"/>
      <w:pStyle w:val="QuoteBullet"/>
      <w:lvlText w:val=""/>
      <w:lvlJc w:val="left"/>
      <w:pPr>
        <w:tabs>
          <w:tab w:val="num" w:pos="680"/>
        </w:tabs>
        <w:ind w:left="680" w:hanging="340"/>
      </w:pPr>
      <w:rPr>
        <w:rFonts w:ascii="Symbol" w:hAnsi="Symbol" w:hint="default"/>
        <w:sz w:val="18"/>
      </w:rPr>
    </w:lvl>
  </w:abstractNum>
  <w:abstractNum w:abstractNumId="29">
    <w:nsid w:val="573E2819"/>
    <w:multiLevelType w:val="hybridMultilevel"/>
    <w:tmpl w:val="2EC8F83C"/>
    <w:lvl w:ilvl="0" w:tplc="69B8531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0">
    <w:nsid w:val="58A04AF2"/>
    <w:multiLevelType w:val="singleLevel"/>
    <w:tmpl w:val="E9806908"/>
    <w:lvl w:ilvl="0">
      <w:start w:val="1"/>
      <w:numFmt w:val="lowerRoman"/>
      <w:lvlText w:val="(%1)"/>
      <w:legacy w:legacy="1" w:legacySpace="0" w:legacyIndent="340"/>
      <w:lvlJc w:val="left"/>
      <w:pPr>
        <w:ind w:left="1134" w:hanging="340"/>
      </w:pPr>
    </w:lvl>
  </w:abstractNum>
  <w:abstractNum w:abstractNumId="31">
    <w:nsid w:val="5A096576"/>
    <w:multiLevelType w:val="singleLevel"/>
    <w:tmpl w:val="ED98921A"/>
    <w:lvl w:ilvl="0">
      <w:start w:val="1"/>
      <w:numFmt w:val="decimal"/>
      <w:lvlText w:val="%1."/>
      <w:legacy w:legacy="1" w:legacySpace="0" w:legacyIndent="340"/>
      <w:lvlJc w:val="left"/>
      <w:pPr>
        <w:ind w:left="340" w:hanging="340"/>
      </w:pPr>
    </w:lvl>
  </w:abstractNum>
  <w:abstractNum w:abstractNumId="32">
    <w:nsid w:val="5BB56A48"/>
    <w:multiLevelType w:val="multilevel"/>
    <w:tmpl w:val="6D248CEA"/>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3">
    <w:nsid w:val="60055F7F"/>
    <w:multiLevelType w:val="singleLevel"/>
    <w:tmpl w:val="ED98921A"/>
    <w:lvl w:ilvl="0">
      <w:start w:val="1"/>
      <w:numFmt w:val="decimal"/>
      <w:lvlText w:val="%1."/>
      <w:legacy w:legacy="1" w:legacySpace="0" w:legacyIndent="340"/>
      <w:lvlJc w:val="left"/>
      <w:pPr>
        <w:ind w:left="340" w:hanging="340"/>
      </w:pPr>
    </w:lvl>
  </w:abstractNum>
  <w:abstractNum w:abstractNumId="34">
    <w:nsid w:val="608E741E"/>
    <w:multiLevelType w:val="singleLevel"/>
    <w:tmpl w:val="ED98921A"/>
    <w:lvl w:ilvl="0">
      <w:start w:val="1"/>
      <w:numFmt w:val="decimal"/>
      <w:lvlText w:val="%1."/>
      <w:legacy w:legacy="1" w:legacySpace="0" w:legacyIndent="340"/>
      <w:lvlJc w:val="left"/>
      <w:pPr>
        <w:ind w:left="340" w:hanging="340"/>
      </w:pPr>
    </w:lvl>
  </w:abstractNum>
  <w:abstractNum w:abstractNumId="35">
    <w:nsid w:val="61320C1E"/>
    <w:multiLevelType w:val="singleLevel"/>
    <w:tmpl w:val="C444122C"/>
    <w:lvl w:ilvl="0">
      <w:start w:val="1"/>
      <w:numFmt w:val="decimal"/>
      <w:lvlText w:val="%1."/>
      <w:legacy w:legacy="1" w:legacySpace="0" w:legacyIndent="284"/>
      <w:lvlJc w:val="left"/>
      <w:pPr>
        <w:ind w:left="284" w:hanging="284"/>
      </w:pPr>
    </w:lvl>
  </w:abstractNum>
  <w:abstractNum w:abstractNumId="36">
    <w:nsid w:val="627154D2"/>
    <w:multiLevelType w:val="singleLevel"/>
    <w:tmpl w:val="AD60D3B8"/>
    <w:lvl w:ilvl="0">
      <w:start w:val="1"/>
      <w:numFmt w:val="lowerLetter"/>
      <w:lvlText w:val="(%1)"/>
      <w:legacy w:legacy="1" w:legacySpace="0" w:legacyIndent="340"/>
      <w:lvlJc w:val="left"/>
      <w:pPr>
        <w:ind w:left="680" w:hanging="340"/>
      </w:pPr>
    </w:lvl>
  </w:abstractNum>
  <w:abstractNum w:abstractNumId="37">
    <w:nsid w:val="643516F3"/>
    <w:multiLevelType w:val="singleLevel"/>
    <w:tmpl w:val="C05AE1DC"/>
    <w:lvl w:ilvl="0">
      <w:start w:val="1"/>
      <w:numFmt w:val="bullet"/>
      <w:pStyle w:val="ListBullet3"/>
      <w:lvlText w:val=""/>
      <w:lvlJc w:val="left"/>
      <w:pPr>
        <w:tabs>
          <w:tab w:val="num" w:pos="1021"/>
        </w:tabs>
        <w:ind w:left="1021" w:hanging="341"/>
      </w:pPr>
      <w:rPr>
        <w:rFonts w:ascii="MT Extra" w:hAnsi="MT Extra" w:hint="default"/>
        <w:b w:val="0"/>
        <w:i w:val="0"/>
        <w:sz w:val="16"/>
      </w:rPr>
    </w:lvl>
  </w:abstractNum>
  <w:abstractNum w:abstractNumId="38">
    <w:nsid w:val="67806EB5"/>
    <w:multiLevelType w:val="singleLevel"/>
    <w:tmpl w:val="AD60D3B8"/>
    <w:lvl w:ilvl="0">
      <w:start w:val="1"/>
      <w:numFmt w:val="lowerLetter"/>
      <w:lvlText w:val="(%1)"/>
      <w:legacy w:legacy="1" w:legacySpace="0" w:legacyIndent="340"/>
      <w:lvlJc w:val="left"/>
      <w:pPr>
        <w:ind w:left="680" w:hanging="340"/>
      </w:pPr>
    </w:lvl>
  </w:abstractNum>
  <w:abstractNum w:abstractNumId="39">
    <w:nsid w:val="707E6FEC"/>
    <w:multiLevelType w:val="singleLevel"/>
    <w:tmpl w:val="E9806908"/>
    <w:lvl w:ilvl="0">
      <w:start w:val="1"/>
      <w:numFmt w:val="lowerRoman"/>
      <w:lvlText w:val="(%1)"/>
      <w:legacy w:legacy="1" w:legacySpace="0" w:legacyIndent="340"/>
      <w:lvlJc w:val="left"/>
      <w:pPr>
        <w:ind w:left="1134" w:hanging="340"/>
      </w:pPr>
    </w:lvl>
  </w:abstractNum>
  <w:abstractNum w:abstractNumId="40">
    <w:nsid w:val="746E6DCF"/>
    <w:multiLevelType w:val="multilevel"/>
    <w:tmpl w:val="8E3050E6"/>
    <w:lvl w:ilvl="0">
      <w:start w:val="1"/>
      <w:numFmt w:val="decimal"/>
      <w:lvlText w:val="%1)"/>
      <w:lvlJc w:val="left"/>
      <w:pPr>
        <w:tabs>
          <w:tab w:val="num" w:pos="340"/>
        </w:tabs>
        <w:ind w:left="340" w:hanging="340"/>
      </w:pPr>
      <w:rPr>
        <w:rFonts w:hint="default"/>
      </w:rPr>
    </w:lvl>
    <w:lvl w:ilvl="1">
      <w:start w:val="1"/>
      <w:numFmt w:val="lowerLetter"/>
      <w:lvlText w:val="%2)"/>
      <w:lvlJc w:val="left"/>
      <w:pPr>
        <w:tabs>
          <w:tab w:val="num" w:pos="794"/>
        </w:tabs>
        <w:ind w:left="794" w:hanging="454"/>
      </w:pPr>
      <w:rPr>
        <w:rFonts w:hint="default"/>
      </w:rPr>
    </w:lvl>
    <w:lvl w:ilvl="2">
      <w:start w:val="1"/>
      <w:numFmt w:val="lowerRoman"/>
      <w:lvlText w:val="%3)"/>
      <w:lvlJc w:val="left"/>
      <w:pPr>
        <w:tabs>
          <w:tab w:val="num" w:pos="1304"/>
        </w:tabs>
        <w:ind w:left="1304" w:hanging="51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nsid w:val="74E25280"/>
    <w:multiLevelType w:val="singleLevel"/>
    <w:tmpl w:val="AD60D3B8"/>
    <w:lvl w:ilvl="0">
      <w:start w:val="1"/>
      <w:numFmt w:val="lowerLetter"/>
      <w:lvlText w:val="(%1)"/>
      <w:legacy w:legacy="1" w:legacySpace="0" w:legacyIndent="340"/>
      <w:lvlJc w:val="left"/>
      <w:pPr>
        <w:ind w:left="680" w:hanging="340"/>
      </w:pPr>
    </w:lvl>
  </w:abstractNum>
  <w:abstractNum w:abstractNumId="42">
    <w:nsid w:val="7A1373DF"/>
    <w:multiLevelType w:val="singleLevel"/>
    <w:tmpl w:val="66CC34AA"/>
    <w:lvl w:ilvl="0">
      <w:start w:val="1"/>
      <w:numFmt w:val="bullet"/>
      <w:pStyle w:val="FindingBullet"/>
      <w:lvlText w:val=""/>
      <w:lvlJc w:val="left"/>
      <w:pPr>
        <w:tabs>
          <w:tab w:val="num" w:pos="340"/>
        </w:tabs>
        <w:ind w:left="340" w:hanging="340"/>
      </w:pPr>
      <w:rPr>
        <w:rFonts w:ascii="Symbol" w:hAnsi="Symbol" w:hint="default"/>
        <w:b w:val="0"/>
        <w:i w:val="0"/>
        <w:sz w:val="18"/>
      </w:rPr>
    </w:lvl>
  </w:abstractNum>
  <w:abstractNum w:abstractNumId="43">
    <w:nsid w:val="7BFA7D75"/>
    <w:multiLevelType w:val="singleLevel"/>
    <w:tmpl w:val="B4C476FC"/>
    <w:lvl w:ilvl="0">
      <w:start w:val="1"/>
      <w:numFmt w:val="bullet"/>
      <w:pStyle w:val="RecBullet"/>
      <w:lvlText w:val=""/>
      <w:lvlJc w:val="left"/>
      <w:pPr>
        <w:tabs>
          <w:tab w:val="num" w:pos="340"/>
        </w:tabs>
        <w:ind w:left="340" w:hanging="340"/>
      </w:pPr>
      <w:rPr>
        <w:rFonts w:ascii="Symbol" w:hAnsi="Symbol" w:hint="default"/>
        <w:b w:val="0"/>
        <w:i w:val="0"/>
        <w:sz w:val="18"/>
      </w:rPr>
    </w:lvl>
  </w:abstractNum>
  <w:abstractNum w:abstractNumId="44">
    <w:nsid w:val="7F5B19CF"/>
    <w:multiLevelType w:val="multilevel"/>
    <w:tmpl w:val="0C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9"/>
  </w:num>
  <w:num w:numId="2">
    <w:abstractNumId w:val="10"/>
  </w:num>
  <w:num w:numId="3">
    <w:abstractNumId w:val="42"/>
  </w:num>
  <w:num w:numId="4">
    <w:abstractNumId w:val="7"/>
  </w:num>
  <w:num w:numId="5">
    <w:abstractNumId w:val="5"/>
  </w:num>
  <w:num w:numId="6">
    <w:abstractNumId w:val="25"/>
  </w:num>
  <w:num w:numId="7">
    <w:abstractNumId w:val="3"/>
  </w:num>
  <w:num w:numId="8">
    <w:abstractNumId w:val="9"/>
  </w:num>
  <w:num w:numId="9">
    <w:abstractNumId w:val="2"/>
  </w:num>
  <w:num w:numId="10">
    <w:abstractNumId w:val="37"/>
  </w:num>
  <w:num w:numId="11">
    <w:abstractNumId w:val="4"/>
  </w:num>
  <w:num w:numId="12">
    <w:abstractNumId w:val="1"/>
  </w:num>
  <w:num w:numId="13">
    <w:abstractNumId w:val="0"/>
  </w:num>
  <w:num w:numId="14">
    <w:abstractNumId w:val="28"/>
  </w:num>
  <w:num w:numId="15">
    <w:abstractNumId w:val="43"/>
  </w:num>
  <w:num w:numId="16">
    <w:abstractNumId w:val="17"/>
  </w:num>
  <w:num w:numId="17">
    <w:abstractNumId w:val="16"/>
  </w:num>
  <w:num w:numId="18">
    <w:abstractNumId w:val="26"/>
  </w:num>
  <w:num w:numId="19">
    <w:abstractNumId w:val="12"/>
  </w:num>
  <w:num w:numId="20">
    <w:abstractNumId w:val="34"/>
  </w:num>
  <w:num w:numId="21">
    <w:abstractNumId w:val="36"/>
  </w:num>
  <w:num w:numId="22">
    <w:abstractNumId w:val="24"/>
  </w:num>
  <w:num w:numId="23">
    <w:abstractNumId w:val="27"/>
  </w:num>
  <w:num w:numId="24">
    <w:abstractNumId w:val="30"/>
  </w:num>
  <w:num w:numId="25">
    <w:abstractNumId w:val="41"/>
  </w:num>
  <w:num w:numId="26">
    <w:abstractNumId w:val="33"/>
  </w:num>
  <w:num w:numId="27">
    <w:abstractNumId w:val="38"/>
  </w:num>
  <w:num w:numId="28">
    <w:abstractNumId w:val="39"/>
  </w:num>
  <w:num w:numId="29">
    <w:abstractNumId w:val="31"/>
  </w:num>
  <w:num w:numId="30">
    <w:abstractNumId w:val="21"/>
  </w:num>
  <w:num w:numId="31">
    <w:abstractNumId w:val="44"/>
  </w:num>
  <w:num w:numId="32">
    <w:abstractNumId w:val="15"/>
  </w:num>
  <w:num w:numId="33">
    <w:abstractNumId w:val="8"/>
  </w:num>
  <w:num w:numId="34">
    <w:abstractNumId w:val="18"/>
  </w:num>
  <w:num w:numId="35">
    <w:abstractNumId w:val="40"/>
  </w:num>
  <w:num w:numId="36">
    <w:abstractNumId w:val="32"/>
  </w:num>
  <w:num w:numId="37">
    <w:abstractNumId w:val="13"/>
  </w:num>
  <w:num w:numId="38">
    <w:abstractNumId w:val="35"/>
  </w:num>
  <w:num w:numId="39">
    <w:abstractNumId w:val="14"/>
  </w:num>
  <w:num w:numId="40">
    <w:abstractNumId w:val="17"/>
  </w:num>
  <w:num w:numId="41">
    <w:abstractNumId w:val="9"/>
  </w:num>
  <w:num w:numId="42">
    <w:abstractNumId w:val="22"/>
  </w:num>
  <w:num w:numId="43">
    <w:abstractNumId w:val="6"/>
    <w:lvlOverride w:ilvl="0">
      <w:lvl w:ilvl="0">
        <w:start w:val="1"/>
        <w:numFmt w:val="bullet"/>
        <w:lvlText w:val=""/>
        <w:legacy w:legacy="1" w:legacySpace="0" w:legacyIndent="340"/>
        <w:lvlJc w:val="left"/>
        <w:pPr>
          <w:ind w:left="340" w:hanging="340"/>
        </w:pPr>
        <w:rPr>
          <w:rFonts w:ascii="Symbol" w:hAnsi="Symbol" w:hint="default"/>
          <w:sz w:val="18"/>
        </w:rPr>
      </w:lvl>
    </w:lvlOverride>
  </w:num>
  <w:num w:numId="44">
    <w:abstractNumId w:val="11"/>
  </w:num>
  <w:num w:numId="45">
    <w:abstractNumId w:val="23"/>
  </w:num>
  <w:num w:numId="46">
    <w:abstractNumId w:val="29"/>
  </w:num>
  <w:num w:numId="47">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fullPage" w:percent="83"/>
  <w:mirrorMargins/>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clickAndTypeStyle w:val="BodyText"/>
  <w:evenAndOddHeaders/>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FindingOptions" w:val="1"/>
    <w:docVar w:name="RecOptions" w:val="111"/>
    <w:docVar w:name="ShortChapterTitle" w:val="On sustainability"/>
    <w:docVar w:name="ShortReportTitle" w:val="On sustainability"/>
  </w:docVars>
  <w:rsids>
    <w:rsidRoot w:val="00F46BBD"/>
    <w:rsid w:val="00000904"/>
    <w:rsid w:val="00001639"/>
    <w:rsid w:val="00001BFE"/>
    <w:rsid w:val="00001C35"/>
    <w:rsid w:val="0000469C"/>
    <w:rsid w:val="00006E43"/>
    <w:rsid w:val="00010F65"/>
    <w:rsid w:val="000111F8"/>
    <w:rsid w:val="00011A19"/>
    <w:rsid w:val="00013E29"/>
    <w:rsid w:val="000153EF"/>
    <w:rsid w:val="00015F80"/>
    <w:rsid w:val="0002011D"/>
    <w:rsid w:val="00022068"/>
    <w:rsid w:val="00023918"/>
    <w:rsid w:val="00023B38"/>
    <w:rsid w:val="000245AA"/>
    <w:rsid w:val="000258FB"/>
    <w:rsid w:val="00026434"/>
    <w:rsid w:val="00026768"/>
    <w:rsid w:val="00027250"/>
    <w:rsid w:val="00031A9A"/>
    <w:rsid w:val="00032E2B"/>
    <w:rsid w:val="0003302D"/>
    <w:rsid w:val="000333E1"/>
    <w:rsid w:val="00035297"/>
    <w:rsid w:val="0003594C"/>
    <w:rsid w:val="00035FC4"/>
    <w:rsid w:val="0003664B"/>
    <w:rsid w:val="00037075"/>
    <w:rsid w:val="00037650"/>
    <w:rsid w:val="00040C48"/>
    <w:rsid w:val="0004111F"/>
    <w:rsid w:val="00041508"/>
    <w:rsid w:val="0004166C"/>
    <w:rsid w:val="00041784"/>
    <w:rsid w:val="00043986"/>
    <w:rsid w:val="00044706"/>
    <w:rsid w:val="0004695F"/>
    <w:rsid w:val="000471A6"/>
    <w:rsid w:val="00047D4D"/>
    <w:rsid w:val="000511A8"/>
    <w:rsid w:val="0005217C"/>
    <w:rsid w:val="00052851"/>
    <w:rsid w:val="00053436"/>
    <w:rsid w:val="000545CF"/>
    <w:rsid w:val="00054AD1"/>
    <w:rsid w:val="00055553"/>
    <w:rsid w:val="00055DF5"/>
    <w:rsid w:val="000565B3"/>
    <w:rsid w:val="000569FB"/>
    <w:rsid w:val="00056FC2"/>
    <w:rsid w:val="0006160D"/>
    <w:rsid w:val="00061F83"/>
    <w:rsid w:val="00062D70"/>
    <w:rsid w:val="000633A9"/>
    <w:rsid w:val="00067676"/>
    <w:rsid w:val="00067FE9"/>
    <w:rsid w:val="00070D84"/>
    <w:rsid w:val="0007150B"/>
    <w:rsid w:val="000734FF"/>
    <w:rsid w:val="0007680C"/>
    <w:rsid w:val="00076C5F"/>
    <w:rsid w:val="00076F43"/>
    <w:rsid w:val="0007730C"/>
    <w:rsid w:val="00080E35"/>
    <w:rsid w:val="00080F70"/>
    <w:rsid w:val="00082231"/>
    <w:rsid w:val="00082A8E"/>
    <w:rsid w:val="0008314C"/>
    <w:rsid w:val="00084798"/>
    <w:rsid w:val="00085C5F"/>
    <w:rsid w:val="00085DB9"/>
    <w:rsid w:val="00086BB5"/>
    <w:rsid w:val="00086C10"/>
    <w:rsid w:val="00090C4B"/>
    <w:rsid w:val="00091911"/>
    <w:rsid w:val="00091F1A"/>
    <w:rsid w:val="00091F29"/>
    <w:rsid w:val="000938F5"/>
    <w:rsid w:val="000951DB"/>
    <w:rsid w:val="0009587C"/>
    <w:rsid w:val="00097251"/>
    <w:rsid w:val="000975C8"/>
    <w:rsid w:val="000A03CF"/>
    <w:rsid w:val="000A34F8"/>
    <w:rsid w:val="000A640D"/>
    <w:rsid w:val="000B2235"/>
    <w:rsid w:val="000B3C3C"/>
    <w:rsid w:val="000B5E20"/>
    <w:rsid w:val="000B601B"/>
    <w:rsid w:val="000B7055"/>
    <w:rsid w:val="000B7DC6"/>
    <w:rsid w:val="000C02F7"/>
    <w:rsid w:val="000C0638"/>
    <w:rsid w:val="000C207E"/>
    <w:rsid w:val="000C51C7"/>
    <w:rsid w:val="000C58DD"/>
    <w:rsid w:val="000C58F9"/>
    <w:rsid w:val="000C6AFC"/>
    <w:rsid w:val="000C77C5"/>
    <w:rsid w:val="000D0762"/>
    <w:rsid w:val="000D13FC"/>
    <w:rsid w:val="000D183C"/>
    <w:rsid w:val="000D28BB"/>
    <w:rsid w:val="000D2B26"/>
    <w:rsid w:val="000D2E0F"/>
    <w:rsid w:val="000D2FB9"/>
    <w:rsid w:val="000D332D"/>
    <w:rsid w:val="000D5890"/>
    <w:rsid w:val="000D6B06"/>
    <w:rsid w:val="000E032C"/>
    <w:rsid w:val="000E03B8"/>
    <w:rsid w:val="000E1AE9"/>
    <w:rsid w:val="000E1DA6"/>
    <w:rsid w:val="000E1E85"/>
    <w:rsid w:val="000E212B"/>
    <w:rsid w:val="000E3ED5"/>
    <w:rsid w:val="000E4DAC"/>
    <w:rsid w:val="000E4DF0"/>
    <w:rsid w:val="000E5595"/>
    <w:rsid w:val="000E5C7B"/>
    <w:rsid w:val="000E6658"/>
    <w:rsid w:val="000E79A4"/>
    <w:rsid w:val="000F1B79"/>
    <w:rsid w:val="000F26CD"/>
    <w:rsid w:val="000F2D3B"/>
    <w:rsid w:val="000F354C"/>
    <w:rsid w:val="000F36A9"/>
    <w:rsid w:val="000F4372"/>
    <w:rsid w:val="000F52F9"/>
    <w:rsid w:val="0010191A"/>
    <w:rsid w:val="00103157"/>
    <w:rsid w:val="001042FC"/>
    <w:rsid w:val="001046A8"/>
    <w:rsid w:val="00106E48"/>
    <w:rsid w:val="00110116"/>
    <w:rsid w:val="001107E6"/>
    <w:rsid w:val="001115F8"/>
    <w:rsid w:val="00111CD9"/>
    <w:rsid w:val="00112BCA"/>
    <w:rsid w:val="00112CFF"/>
    <w:rsid w:val="00112E08"/>
    <w:rsid w:val="00113905"/>
    <w:rsid w:val="00115E61"/>
    <w:rsid w:val="001166B0"/>
    <w:rsid w:val="00121E35"/>
    <w:rsid w:val="00122DA4"/>
    <w:rsid w:val="00123D80"/>
    <w:rsid w:val="001254FD"/>
    <w:rsid w:val="00125BB4"/>
    <w:rsid w:val="001266A6"/>
    <w:rsid w:val="00126BB6"/>
    <w:rsid w:val="00126EB8"/>
    <w:rsid w:val="001274D4"/>
    <w:rsid w:val="00131FC7"/>
    <w:rsid w:val="00132768"/>
    <w:rsid w:val="001335CE"/>
    <w:rsid w:val="00133835"/>
    <w:rsid w:val="00133B10"/>
    <w:rsid w:val="00134FAF"/>
    <w:rsid w:val="00135AD9"/>
    <w:rsid w:val="001363AA"/>
    <w:rsid w:val="00136F0D"/>
    <w:rsid w:val="00137CE0"/>
    <w:rsid w:val="0014116F"/>
    <w:rsid w:val="0014279B"/>
    <w:rsid w:val="00145CB1"/>
    <w:rsid w:val="001460DC"/>
    <w:rsid w:val="0015295B"/>
    <w:rsid w:val="001543B2"/>
    <w:rsid w:val="00154779"/>
    <w:rsid w:val="00156ACF"/>
    <w:rsid w:val="001620CC"/>
    <w:rsid w:val="0016277F"/>
    <w:rsid w:val="001630A4"/>
    <w:rsid w:val="00163C64"/>
    <w:rsid w:val="00164095"/>
    <w:rsid w:val="00165630"/>
    <w:rsid w:val="001656AC"/>
    <w:rsid w:val="00166692"/>
    <w:rsid w:val="00170781"/>
    <w:rsid w:val="001709B3"/>
    <w:rsid w:val="00172A3A"/>
    <w:rsid w:val="00172A6C"/>
    <w:rsid w:val="00174B18"/>
    <w:rsid w:val="00174EAD"/>
    <w:rsid w:val="0017647B"/>
    <w:rsid w:val="00177B63"/>
    <w:rsid w:val="00181D1C"/>
    <w:rsid w:val="00182462"/>
    <w:rsid w:val="00183E82"/>
    <w:rsid w:val="00184455"/>
    <w:rsid w:val="001908DD"/>
    <w:rsid w:val="001913EF"/>
    <w:rsid w:val="00191AE0"/>
    <w:rsid w:val="0019293B"/>
    <w:rsid w:val="00194777"/>
    <w:rsid w:val="00194E7F"/>
    <w:rsid w:val="00195FDC"/>
    <w:rsid w:val="001962E8"/>
    <w:rsid w:val="001A0130"/>
    <w:rsid w:val="001A3FE5"/>
    <w:rsid w:val="001A4556"/>
    <w:rsid w:val="001A7BEC"/>
    <w:rsid w:val="001B1DC5"/>
    <w:rsid w:val="001B25A9"/>
    <w:rsid w:val="001B269B"/>
    <w:rsid w:val="001B34D6"/>
    <w:rsid w:val="001B4B70"/>
    <w:rsid w:val="001B6152"/>
    <w:rsid w:val="001B66D0"/>
    <w:rsid w:val="001B7AED"/>
    <w:rsid w:val="001C02B1"/>
    <w:rsid w:val="001C055A"/>
    <w:rsid w:val="001C0865"/>
    <w:rsid w:val="001C0CE1"/>
    <w:rsid w:val="001C14D8"/>
    <w:rsid w:val="001C2E87"/>
    <w:rsid w:val="001C32AF"/>
    <w:rsid w:val="001C3ABA"/>
    <w:rsid w:val="001C4C3C"/>
    <w:rsid w:val="001C5B7D"/>
    <w:rsid w:val="001D08F6"/>
    <w:rsid w:val="001D0973"/>
    <w:rsid w:val="001D1475"/>
    <w:rsid w:val="001D2C85"/>
    <w:rsid w:val="001D467B"/>
    <w:rsid w:val="001D5BA4"/>
    <w:rsid w:val="001D7142"/>
    <w:rsid w:val="001E0F57"/>
    <w:rsid w:val="001E3BCB"/>
    <w:rsid w:val="001E3C5A"/>
    <w:rsid w:val="001E5A5C"/>
    <w:rsid w:val="001E663A"/>
    <w:rsid w:val="001E7BE8"/>
    <w:rsid w:val="001F0248"/>
    <w:rsid w:val="001F087A"/>
    <w:rsid w:val="001F2514"/>
    <w:rsid w:val="001F3EB3"/>
    <w:rsid w:val="002005CC"/>
    <w:rsid w:val="00200AA4"/>
    <w:rsid w:val="00202655"/>
    <w:rsid w:val="00202C2C"/>
    <w:rsid w:val="0020642D"/>
    <w:rsid w:val="002071EB"/>
    <w:rsid w:val="00210599"/>
    <w:rsid w:val="00211809"/>
    <w:rsid w:val="00211986"/>
    <w:rsid w:val="0021295F"/>
    <w:rsid w:val="00212F47"/>
    <w:rsid w:val="00215675"/>
    <w:rsid w:val="002162AF"/>
    <w:rsid w:val="00216DD3"/>
    <w:rsid w:val="002205A4"/>
    <w:rsid w:val="002223E1"/>
    <w:rsid w:val="002227E6"/>
    <w:rsid w:val="0022280F"/>
    <w:rsid w:val="00222A6E"/>
    <w:rsid w:val="00224E0E"/>
    <w:rsid w:val="00225E3D"/>
    <w:rsid w:val="00225F53"/>
    <w:rsid w:val="00226D3C"/>
    <w:rsid w:val="00226F44"/>
    <w:rsid w:val="00226FCF"/>
    <w:rsid w:val="002276D4"/>
    <w:rsid w:val="002302E8"/>
    <w:rsid w:val="00230823"/>
    <w:rsid w:val="00230D47"/>
    <w:rsid w:val="002314D1"/>
    <w:rsid w:val="00232027"/>
    <w:rsid w:val="002324A6"/>
    <w:rsid w:val="0023338F"/>
    <w:rsid w:val="0023648A"/>
    <w:rsid w:val="00236655"/>
    <w:rsid w:val="002400ED"/>
    <w:rsid w:val="00240393"/>
    <w:rsid w:val="002408E3"/>
    <w:rsid w:val="00241469"/>
    <w:rsid w:val="00242279"/>
    <w:rsid w:val="00244B4B"/>
    <w:rsid w:val="00245C82"/>
    <w:rsid w:val="002462A6"/>
    <w:rsid w:val="00246427"/>
    <w:rsid w:val="002477AC"/>
    <w:rsid w:val="0025110B"/>
    <w:rsid w:val="0025274F"/>
    <w:rsid w:val="0025347D"/>
    <w:rsid w:val="002550D7"/>
    <w:rsid w:val="002551C3"/>
    <w:rsid w:val="002576FD"/>
    <w:rsid w:val="002601D2"/>
    <w:rsid w:val="00261DE8"/>
    <w:rsid w:val="0026386B"/>
    <w:rsid w:val="0026398E"/>
    <w:rsid w:val="00265E7F"/>
    <w:rsid w:val="002700CA"/>
    <w:rsid w:val="00271C34"/>
    <w:rsid w:val="00272030"/>
    <w:rsid w:val="00275490"/>
    <w:rsid w:val="002775C9"/>
    <w:rsid w:val="00280677"/>
    <w:rsid w:val="00281029"/>
    <w:rsid w:val="0028107C"/>
    <w:rsid w:val="0028154E"/>
    <w:rsid w:val="002843D2"/>
    <w:rsid w:val="00284B3A"/>
    <w:rsid w:val="00285AEF"/>
    <w:rsid w:val="00287435"/>
    <w:rsid w:val="00290057"/>
    <w:rsid w:val="00290B7A"/>
    <w:rsid w:val="00290BFE"/>
    <w:rsid w:val="0029178B"/>
    <w:rsid w:val="00291B40"/>
    <w:rsid w:val="00292E19"/>
    <w:rsid w:val="0029418F"/>
    <w:rsid w:val="00294561"/>
    <w:rsid w:val="00295024"/>
    <w:rsid w:val="00295168"/>
    <w:rsid w:val="0029682F"/>
    <w:rsid w:val="0029710C"/>
    <w:rsid w:val="00297B2E"/>
    <w:rsid w:val="002A011B"/>
    <w:rsid w:val="002A02A9"/>
    <w:rsid w:val="002A0492"/>
    <w:rsid w:val="002A07BB"/>
    <w:rsid w:val="002A0FB8"/>
    <w:rsid w:val="002A1557"/>
    <w:rsid w:val="002A162C"/>
    <w:rsid w:val="002A18E8"/>
    <w:rsid w:val="002A1AC1"/>
    <w:rsid w:val="002A21D7"/>
    <w:rsid w:val="002A2346"/>
    <w:rsid w:val="002A7607"/>
    <w:rsid w:val="002A7646"/>
    <w:rsid w:val="002B030C"/>
    <w:rsid w:val="002B2604"/>
    <w:rsid w:val="002B2990"/>
    <w:rsid w:val="002B4008"/>
    <w:rsid w:val="002B462E"/>
    <w:rsid w:val="002B6E24"/>
    <w:rsid w:val="002B7ABA"/>
    <w:rsid w:val="002C20EF"/>
    <w:rsid w:val="002C2CB9"/>
    <w:rsid w:val="002C4881"/>
    <w:rsid w:val="002C493C"/>
    <w:rsid w:val="002C4957"/>
    <w:rsid w:val="002C5DD3"/>
    <w:rsid w:val="002D034C"/>
    <w:rsid w:val="002D0659"/>
    <w:rsid w:val="002D0E8E"/>
    <w:rsid w:val="002D1147"/>
    <w:rsid w:val="002D11F9"/>
    <w:rsid w:val="002D27C3"/>
    <w:rsid w:val="002D2B0B"/>
    <w:rsid w:val="002D3049"/>
    <w:rsid w:val="002D31EC"/>
    <w:rsid w:val="002D3D2C"/>
    <w:rsid w:val="002D6591"/>
    <w:rsid w:val="002D6EEC"/>
    <w:rsid w:val="002E0557"/>
    <w:rsid w:val="002E0B3B"/>
    <w:rsid w:val="002E1016"/>
    <w:rsid w:val="002E168D"/>
    <w:rsid w:val="002E2C23"/>
    <w:rsid w:val="002E4409"/>
    <w:rsid w:val="002E5A9D"/>
    <w:rsid w:val="002E628F"/>
    <w:rsid w:val="002E6800"/>
    <w:rsid w:val="002E792D"/>
    <w:rsid w:val="002E7CB2"/>
    <w:rsid w:val="002E7EEA"/>
    <w:rsid w:val="002F3206"/>
    <w:rsid w:val="002F37F3"/>
    <w:rsid w:val="002F3B79"/>
    <w:rsid w:val="002F63A6"/>
    <w:rsid w:val="002F6E7D"/>
    <w:rsid w:val="002F6F33"/>
    <w:rsid w:val="002F73AB"/>
    <w:rsid w:val="00301189"/>
    <w:rsid w:val="00301DB0"/>
    <w:rsid w:val="003046B5"/>
    <w:rsid w:val="00305890"/>
    <w:rsid w:val="0030594A"/>
    <w:rsid w:val="0030636D"/>
    <w:rsid w:val="003075F2"/>
    <w:rsid w:val="003076EA"/>
    <w:rsid w:val="003110FC"/>
    <w:rsid w:val="003121D9"/>
    <w:rsid w:val="00313823"/>
    <w:rsid w:val="003156C0"/>
    <w:rsid w:val="00315D1C"/>
    <w:rsid w:val="003169EC"/>
    <w:rsid w:val="00317025"/>
    <w:rsid w:val="00323E09"/>
    <w:rsid w:val="00323EE5"/>
    <w:rsid w:val="003258B3"/>
    <w:rsid w:val="00325EF0"/>
    <w:rsid w:val="00330036"/>
    <w:rsid w:val="00330F4D"/>
    <w:rsid w:val="00331F40"/>
    <w:rsid w:val="003330B7"/>
    <w:rsid w:val="00333932"/>
    <w:rsid w:val="00333CF9"/>
    <w:rsid w:val="003406D8"/>
    <w:rsid w:val="00341B88"/>
    <w:rsid w:val="00342C12"/>
    <w:rsid w:val="00342D13"/>
    <w:rsid w:val="00342D79"/>
    <w:rsid w:val="0034422A"/>
    <w:rsid w:val="00345D60"/>
    <w:rsid w:val="003460A4"/>
    <w:rsid w:val="00346CCE"/>
    <w:rsid w:val="003518AA"/>
    <w:rsid w:val="00352165"/>
    <w:rsid w:val="00353182"/>
    <w:rsid w:val="0035473F"/>
    <w:rsid w:val="003565D9"/>
    <w:rsid w:val="003568D7"/>
    <w:rsid w:val="003570B2"/>
    <w:rsid w:val="003602E1"/>
    <w:rsid w:val="0036163C"/>
    <w:rsid w:val="003642F6"/>
    <w:rsid w:val="0037026F"/>
    <w:rsid w:val="003705E0"/>
    <w:rsid w:val="00370C21"/>
    <w:rsid w:val="00371240"/>
    <w:rsid w:val="00371AEF"/>
    <w:rsid w:val="00373710"/>
    <w:rsid w:val="00373948"/>
    <w:rsid w:val="00374731"/>
    <w:rsid w:val="00375DAA"/>
    <w:rsid w:val="0037727A"/>
    <w:rsid w:val="003817B5"/>
    <w:rsid w:val="00381A8C"/>
    <w:rsid w:val="00382C9C"/>
    <w:rsid w:val="003833AF"/>
    <w:rsid w:val="003860E0"/>
    <w:rsid w:val="00386606"/>
    <w:rsid w:val="00386761"/>
    <w:rsid w:val="00386C35"/>
    <w:rsid w:val="00391781"/>
    <w:rsid w:val="0039191F"/>
    <w:rsid w:val="003919F9"/>
    <w:rsid w:val="003924AB"/>
    <w:rsid w:val="003924C6"/>
    <w:rsid w:val="00392801"/>
    <w:rsid w:val="003928E8"/>
    <w:rsid w:val="003933EA"/>
    <w:rsid w:val="003941BC"/>
    <w:rsid w:val="00394378"/>
    <w:rsid w:val="0039558D"/>
    <w:rsid w:val="003961DC"/>
    <w:rsid w:val="003A1D31"/>
    <w:rsid w:val="003A4A1E"/>
    <w:rsid w:val="003A7E91"/>
    <w:rsid w:val="003B0A10"/>
    <w:rsid w:val="003B1D61"/>
    <w:rsid w:val="003B598D"/>
    <w:rsid w:val="003B74A8"/>
    <w:rsid w:val="003C1377"/>
    <w:rsid w:val="003C1498"/>
    <w:rsid w:val="003C1FB0"/>
    <w:rsid w:val="003C21EE"/>
    <w:rsid w:val="003C38B5"/>
    <w:rsid w:val="003C405B"/>
    <w:rsid w:val="003C5B4F"/>
    <w:rsid w:val="003C5D99"/>
    <w:rsid w:val="003C75C2"/>
    <w:rsid w:val="003D1101"/>
    <w:rsid w:val="003D1AB0"/>
    <w:rsid w:val="003D1C56"/>
    <w:rsid w:val="003D1D49"/>
    <w:rsid w:val="003D2266"/>
    <w:rsid w:val="003D2E51"/>
    <w:rsid w:val="003D4686"/>
    <w:rsid w:val="003D4F50"/>
    <w:rsid w:val="003D616A"/>
    <w:rsid w:val="003E2A7E"/>
    <w:rsid w:val="003E2F59"/>
    <w:rsid w:val="003E6553"/>
    <w:rsid w:val="003E6B87"/>
    <w:rsid w:val="003E733D"/>
    <w:rsid w:val="003F06CD"/>
    <w:rsid w:val="003F0789"/>
    <w:rsid w:val="003F0F6F"/>
    <w:rsid w:val="003F253B"/>
    <w:rsid w:val="003F2AF5"/>
    <w:rsid w:val="003F35CA"/>
    <w:rsid w:val="003F435D"/>
    <w:rsid w:val="003F4994"/>
    <w:rsid w:val="003F4DF2"/>
    <w:rsid w:val="003F5CCB"/>
    <w:rsid w:val="0040072F"/>
    <w:rsid w:val="00400967"/>
    <w:rsid w:val="00401882"/>
    <w:rsid w:val="00404151"/>
    <w:rsid w:val="004043B4"/>
    <w:rsid w:val="004061B9"/>
    <w:rsid w:val="00407099"/>
    <w:rsid w:val="004100C8"/>
    <w:rsid w:val="00411DBD"/>
    <w:rsid w:val="0041294B"/>
    <w:rsid w:val="00412ACE"/>
    <w:rsid w:val="0041319A"/>
    <w:rsid w:val="004134D1"/>
    <w:rsid w:val="00413876"/>
    <w:rsid w:val="00413F1E"/>
    <w:rsid w:val="00414192"/>
    <w:rsid w:val="00414A39"/>
    <w:rsid w:val="00414F54"/>
    <w:rsid w:val="0041522E"/>
    <w:rsid w:val="00415ABA"/>
    <w:rsid w:val="00416A4B"/>
    <w:rsid w:val="00416E5E"/>
    <w:rsid w:val="004170CD"/>
    <w:rsid w:val="00420466"/>
    <w:rsid w:val="004204E8"/>
    <w:rsid w:val="00420CAF"/>
    <w:rsid w:val="00421888"/>
    <w:rsid w:val="00423D16"/>
    <w:rsid w:val="004248C1"/>
    <w:rsid w:val="004266BD"/>
    <w:rsid w:val="00427C0E"/>
    <w:rsid w:val="00431249"/>
    <w:rsid w:val="00431786"/>
    <w:rsid w:val="004324D8"/>
    <w:rsid w:val="00432AB3"/>
    <w:rsid w:val="00432F8E"/>
    <w:rsid w:val="00434C19"/>
    <w:rsid w:val="0043539A"/>
    <w:rsid w:val="00436C8B"/>
    <w:rsid w:val="00442C00"/>
    <w:rsid w:val="00444E29"/>
    <w:rsid w:val="00446232"/>
    <w:rsid w:val="00450810"/>
    <w:rsid w:val="0045210C"/>
    <w:rsid w:val="0045243A"/>
    <w:rsid w:val="00453A83"/>
    <w:rsid w:val="00454502"/>
    <w:rsid w:val="004549A3"/>
    <w:rsid w:val="004572CF"/>
    <w:rsid w:val="0046033C"/>
    <w:rsid w:val="004645C0"/>
    <w:rsid w:val="00465A81"/>
    <w:rsid w:val="00467D65"/>
    <w:rsid w:val="004706DF"/>
    <w:rsid w:val="00472BC5"/>
    <w:rsid w:val="004731B3"/>
    <w:rsid w:val="00473DC3"/>
    <w:rsid w:val="004741CA"/>
    <w:rsid w:val="004750A4"/>
    <w:rsid w:val="004770F2"/>
    <w:rsid w:val="00477144"/>
    <w:rsid w:val="00480E97"/>
    <w:rsid w:val="00483A51"/>
    <w:rsid w:val="00485069"/>
    <w:rsid w:val="0048518F"/>
    <w:rsid w:val="004853CA"/>
    <w:rsid w:val="004857CF"/>
    <w:rsid w:val="0048701D"/>
    <w:rsid w:val="004879C6"/>
    <w:rsid w:val="00490B97"/>
    <w:rsid w:val="004916E3"/>
    <w:rsid w:val="00492DDB"/>
    <w:rsid w:val="00493346"/>
    <w:rsid w:val="0049459F"/>
    <w:rsid w:val="004950D0"/>
    <w:rsid w:val="00496F30"/>
    <w:rsid w:val="004A1271"/>
    <w:rsid w:val="004A1780"/>
    <w:rsid w:val="004A38DD"/>
    <w:rsid w:val="004A42CD"/>
    <w:rsid w:val="004A459D"/>
    <w:rsid w:val="004A7F22"/>
    <w:rsid w:val="004B43AE"/>
    <w:rsid w:val="004B4F71"/>
    <w:rsid w:val="004B5EE9"/>
    <w:rsid w:val="004B61D4"/>
    <w:rsid w:val="004B6674"/>
    <w:rsid w:val="004B6BE9"/>
    <w:rsid w:val="004B7FF1"/>
    <w:rsid w:val="004C0C2C"/>
    <w:rsid w:val="004C119C"/>
    <w:rsid w:val="004C237B"/>
    <w:rsid w:val="004C30ED"/>
    <w:rsid w:val="004C322C"/>
    <w:rsid w:val="004C3720"/>
    <w:rsid w:val="004C49A6"/>
    <w:rsid w:val="004C71EE"/>
    <w:rsid w:val="004D0105"/>
    <w:rsid w:val="004D0AFF"/>
    <w:rsid w:val="004D151B"/>
    <w:rsid w:val="004D2AC1"/>
    <w:rsid w:val="004D4A69"/>
    <w:rsid w:val="004D4C55"/>
    <w:rsid w:val="004D5675"/>
    <w:rsid w:val="004E092B"/>
    <w:rsid w:val="004E2169"/>
    <w:rsid w:val="004E35EB"/>
    <w:rsid w:val="004E6207"/>
    <w:rsid w:val="004E6B47"/>
    <w:rsid w:val="004F0B6A"/>
    <w:rsid w:val="004F301D"/>
    <w:rsid w:val="004F43D3"/>
    <w:rsid w:val="004F45B2"/>
    <w:rsid w:val="004F5387"/>
    <w:rsid w:val="004F6A42"/>
    <w:rsid w:val="004F74DF"/>
    <w:rsid w:val="004F7AB3"/>
    <w:rsid w:val="00502A21"/>
    <w:rsid w:val="00502F43"/>
    <w:rsid w:val="00503B4C"/>
    <w:rsid w:val="0051145B"/>
    <w:rsid w:val="005115A4"/>
    <w:rsid w:val="005136C4"/>
    <w:rsid w:val="005140CD"/>
    <w:rsid w:val="005154D5"/>
    <w:rsid w:val="005200EF"/>
    <w:rsid w:val="0052177C"/>
    <w:rsid w:val="0052197E"/>
    <w:rsid w:val="00521AFA"/>
    <w:rsid w:val="0052293E"/>
    <w:rsid w:val="00523639"/>
    <w:rsid w:val="0052416B"/>
    <w:rsid w:val="00525193"/>
    <w:rsid w:val="00525428"/>
    <w:rsid w:val="00526611"/>
    <w:rsid w:val="005303FC"/>
    <w:rsid w:val="0053298F"/>
    <w:rsid w:val="00532F7A"/>
    <w:rsid w:val="00535D95"/>
    <w:rsid w:val="00536913"/>
    <w:rsid w:val="005369DC"/>
    <w:rsid w:val="00536F6A"/>
    <w:rsid w:val="00537B26"/>
    <w:rsid w:val="00540730"/>
    <w:rsid w:val="005408BF"/>
    <w:rsid w:val="00541139"/>
    <w:rsid w:val="005417A9"/>
    <w:rsid w:val="00543A76"/>
    <w:rsid w:val="00543E09"/>
    <w:rsid w:val="005445EE"/>
    <w:rsid w:val="00544B80"/>
    <w:rsid w:val="00544D1F"/>
    <w:rsid w:val="0054523A"/>
    <w:rsid w:val="0054538F"/>
    <w:rsid w:val="00545390"/>
    <w:rsid w:val="00546AB3"/>
    <w:rsid w:val="00546CF5"/>
    <w:rsid w:val="00547854"/>
    <w:rsid w:val="005513E9"/>
    <w:rsid w:val="0055182C"/>
    <w:rsid w:val="005529A6"/>
    <w:rsid w:val="00553A3E"/>
    <w:rsid w:val="00555F98"/>
    <w:rsid w:val="00557F3D"/>
    <w:rsid w:val="00560537"/>
    <w:rsid w:val="00560E04"/>
    <w:rsid w:val="005619B8"/>
    <w:rsid w:val="00561CC2"/>
    <w:rsid w:val="00563941"/>
    <w:rsid w:val="00564D7F"/>
    <w:rsid w:val="005653F1"/>
    <w:rsid w:val="00565981"/>
    <w:rsid w:val="00565D4F"/>
    <w:rsid w:val="00565E54"/>
    <w:rsid w:val="00566DD7"/>
    <w:rsid w:val="005674A2"/>
    <w:rsid w:val="005677A2"/>
    <w:rsid w:val="0057265B"/>
    <w:rsid w:val="005734E2"/>
    <w:rsid w:val="0057359F"/>
    <w:rsid w:val="0057363F"/>
    <w:rsid w:val="00573F00"/>
    <w:rsid w:val="0058135E"/>
    <w:rsid w:val="005818E6"/>
    <w:rsid w:val="00582207"/>
    <w:rsid w:val="005823CD"/>
    <w:rsid w:val="00583917"/>
    <w:rsid w:val="0058398A"/>
    <w:rsid w:val="00583C39"/>
    <w:rsid w:val="0058417D"/>
    <w:rsid w:val="005909CF"/>
    <w:rsid w:val="005910F7"/>
    <w:rsid w:val="00591939"/>
    <w:rsid w:val="00591BC0"/>
    <w:rsid w:val="00591E71"/>
    <w:rsid w:val="005920FB"/>
    <w:rsid w:val="0059267B"/>
    <w:rsid w:val="005927FF"/>
    <w:rsid w:val="00593695"/>
    <w:rsid w:val="005958EC"/>
    <w:rsid w:val="00596F06"/>
    <w:rsid w:val="00597403"/>
    <w:rsid w:val="005977DE"/>
    <w:rsid w:val="005977EF"/>
    <w:rsid w:val="00597DF1"/>
    <w:rsid w:val="005A0D41"/>
    <w:rsid w:val="005A1052"/>
    <w:rsid w:val="005A20B5"/>
    <w:rsid w:val="005A33C8"/>
    <w:rsid w:val="005A59EB"/>
    <w:rsid w:val="005B0D5E"/>
    <w:rsid w:val="005B5005"/>
    <w:rsid w:val="005B5382"/>
    <w:rsid w:val="005B70BA"/>
    <w:rsid w:val="005B77FD"/>
    <w:rsid w:val="005C1B4E"/>
    <w:rsid w:val="005C2217"/>
    <w:rsid w:val="005C4621"/>
    <w:rsid w:val="005C4EED"/>
    <w:rsid w:val="005C584F"/>
    <w:rsid w:val="005C73BC"/>
    <w:rsid w:val="005D01E7"/>
    <w:rsid w:val="005D2032"/>
    <w:rsid w:val="005D383B"/>
    <w:rsid w:val="005D4B05"/>
    <w:rsid w:val="005D5BAE"/>
    <w:rsid w:val="005D7296"/>
    <w:rsid w:val="005D7BBB"/>
    <w:rsid w:val="005D7BEC"/>
    <w:rsid w:val="005E0B2A"/>
    <w:rsid w:val="005E13B8"/>
    <w:rsid w:val="005E20DB"/>
    <w:rsid w:val="005E556D"/>
    <w:rsid w:val="005F016B"/>
    <w:rsid w:val="005F1415"/>
    <w:rsid w:val="005F3D0E"/>
    <w:rsid w:val="005F696D"/>
    <w:rsid w:val="005F79A8"/>
    <w:rsid w:val="0060037C"/>
    <w:rsid w:val="00600E8E"/>
    <w:rsid w:val="00602BB8"/>
    <w:rsid w:val="00603523"/>
    <w:rsid w:val="00604741"/>
    <w:rsid w:val="00605103"/>
    <w:rsid w:val="00606CB1"/>
    <w:rsid w:val="006078CB"/>
    <w:rsid w:val="00607BF1"/>
    <w:rsid w:val="00610491"/>
    <w:rsid w:val="00611C3A"/>
    <w:rsid w:val="00611C6D"/>
    <w:rsid w:val="0061240E"/>
    <w:rsid w:val="00612A65"/>
    <w:rsid w:val="0061318B"/>
    <w:rsid w:val="00613E32"/>
    <w:rsid w:val="00614760"/>
    <w:rsid w:val="0061540D"/>
    <w:rsid w:val="006156D4"/>
    <w:rsid w:val="00616972"/>
    <w:rsid w:val="00616B9A"/>
    <w:rsid w:val="00616D48"/>
    <w:rsid w:val="00620D77"/>
    <w:rsid w:val="0062148C"/>
    <w:rsid w:val="00622C64"/>
    <w:rsid w:val="00624730"/>
    <w:rsid w:val="00624F97"/>
    <w:rsid w:val="0062510B"/>
    <w:rsid w:val="006258C1"/>
    <w:rsid w:val="00626EEB"/>
    <w:rsid w:val="00630A2D"/>
    <w:rsid w:val="00630D4D"/>
    <w:rsid w:val="0063166C"/>
    <w:rsid w:val="00631AD9"/>
    <w:rsid w:val="00631C7E"/>
    <w:rsid w:val="00632896"/>
    <w:rsid w:val="00632A74"/>
    <w:rsid w:val="00632CAF"/>
    <w:rsid w:val="006337A4"/>
    <w:rsid w:val="006341A2"/>
    <w:rsid w:val="00637E94"/>
    <w:rsid w:val="0064196E"/>
    <w:rsid w:val="00642BE1"/>
    <w:rsid w:val="00644952"/>
    <w:rsid w:val="00650A85"/>
    <w:rsid w:val="00651E0E"/>
    <w:rsid w:val="00654DA8"/>
    <w:rsid w:val="00655C64"/>
    <w:rsid w:val="00655E7A"/>
    <w:rsid w:val="006562EA"/>
    <w:rsid w:val="00657AA0"/>
    <w:rsid w:val="00657B4B"/>
    <w:rsid w:val="00657EBD"/>
    <w:rsid w:val="006602D7"/>
    <w:rsid w:val="00660395"/>
    <w:rsid w:val="006614A7"/>
    <w:rsid w:val="00665B1F"/>
    <w:rsid w:val="00665D9A"/>
    <w:rsid w:val="00666AD5"/>
    <w:rsid w:val="00667F1F"/>
    <w:rsid w:val="00671523"/>
    <w:rsid w:val="0067402B"/>
    <w:rsid w:val="00681FDA"/>
    <w:rsid w:val="0068317F"/>
    <w:rsid w:val="006837AD"/>
    <w:rsid w:val="00684653"/>
    <w:rsid w:val="0068599C"/>
    <w:rsid w:val="00685E27"/>
    <w:rsid w:val="00686A73"/>
    <w:rsid w:val="00690CB4"/>
    <w:rsid w:val="00691411"/>
    <w:rsid w:val="00691475"/>
    <w:rsid w:val="00691BC0"/>
    <w:rsid w:val="00692021"/>
    <w:rsid w:val="00692448"/>
    <w:rsid w:val="00693318"/>
    <w:rsid w:val="00696DE2"/>
    <w:rsid w:val="00696FB8"/>
    <w:rsid w:val="00697009"/>
    <w:rsid w:val="006A00CD"/>
    <w:rsid w:val="006A1F16"/>
    <w:rsid w:val="006A2CD8"/>
    <w:rsid w:val="006A2E10"/>
    <w:rsid w:val="006A4064"/>
    <w:rsid w:val="006A4655"/>
    <w:rsid w:val="006A6B45"/>
    <w:rsid w:val="006A732C"/>
    <w:rsid w:val="006B0CEF"/>
    <w:rsid w:val="006B2B3C"/>
    <w:rsid w:val="006B2D6C"/>
    <w:rsid w:val="006B2E92"/>
    <w:rsid w:val="006B32CE"/>
    <w:rsid w:val="006B3599"/>
    <w:rsid w:val="006B69E5"/>
    <w:rsid w:val="006C1D81"/>
    <w:rsid w:val="006C2A44"/>
    <w:rsid w:val="006C3383"/>
    <w:rsid w:val="006C37B1"/>
    <w:rsid w:val="006C4818"/>
    <w:rsid w:val="006C5669"/>
    <w:rsid w:val="006C5EFD"/>
    <w:rsid w:val="006C62D8"/>
    <w:rsid w:val="006C7038"/>
    <w:rsid w:val="006D008D"/>
    <w:rsid w:val="006D031D"/>
    <w:rsid w:val="006D06CE"/>
    <w:rsid w:val="006D0816"/>
    <w:rsid w:val="006D0D38"/>
    <w:rsid w:val="006D1279"/>
    <w:rsid w:val="006D1CEB"/>
    <w:rsid w:val="006D225D"/>
    <w:rsid w:val="006D24EC"/>
    <w:rsid w:val="006D2F1C"/>
    <w:rsid w:val="006D33FB"/>
    <w:rsid w:val="006D48DA"/>
    <w:rsid w:val="006D4E41"/>
    <w:rsid w:val="006D6002"/>
    <w:rsid w:val="006E0159"/>
    <w:rsid w:val="006E2405"/>
    <w:rsid w:val="006E2A76"/>
    <w:rsid w:val="006E3195"/>
    <w:rsid w:val="006E3BF6"/>
    <w:rsid w:val="006E56F9"/>
    <w:rsid w:val="006E6C0C"/>
    <w:rsid w:val="006E73EF"/>
    <w:rsid w:val="006E764C"/>
    <w:rsid w:val="006F0069"/>
    <w:rsid w:val="006F04AB"/>
    <w:rsid w:val="006F1B3A"/>
    <w:rsid w:val="006F21BD"/>
    <w:rsid w:val="006F614D"/>
    <w:rsid w:val="006F6437"/>
    <w:rsid w:val="006F665E"/>
    <w:rsid w:val="00700642"/>
    <w:rsid w:val="00702505"/>
    <w:rsid w:val="007072BC"/>
    <w:rsid w:val="0071051D"/>
    <w:rsid w:val="00711FB3"/>
    <w:rsid w:val="007134F2"/>
    <w:rsid w:val="00714D4D"/>
    <w:rsid w:val="007213E7"/>
    <w:rsid w:val="0072514B"/>
    <w:rsid w:val="00725254"/>
    <w:rsid w:val="007267D9"/>
    <w:rsid w:val="007307D8"/>
    <w:rsid w:val="0073095A"/>
    <w:rsid w:val="00730AC8"/>
    <w:rsid w:val="00730F8C"/>
    <w:rsid w:val="0073149B"/>
    <w:rsid w:val="007327CC"/>
    <w:rsid w:val="0073334D"/>
    <w:rsid w:val="00733D96"/>
    <w:rsid w:val="0073456A"/>
    <w:rsid w:val="00735125"/>
    <w:rsid w:val="00736747"/>
    <w:rsid w:val="007368C1"/>
    <w:rsid w:val="007377A7"/>
    <w:rsid w:val="00742747"/>
    <w:rsid w:val="0074475E"/>
    <w:rsid w:val="0074556E"/>
    <w:rsid w:val="0074563A"/>
    <w:rsid w:val="00745CB4"/>
    <w:rsid w:val="007461C9"/>
    <w:rsid w:val="00746521"/>
    <w:rsid w:val="007476BF"/>
    <w:rsid w:val="00750C69"/>
    <w:rsid w:val="00751670"/>
    <w:rsid w:val="00751DE0"/>
    <w:rsid w:val="00751E69"/>
    <w:rsid w:val="0075252E"/>
    <w:rsid w:val="00753D2B"/>
    <w:rsid w:val="00753ECD"/>
    <w:rsid w:val="0075495A"/>
    <w:rsid w:val="0075661D"/>
    <w:rsid w:val="00756C93"/>
    <w:rsid w:val="00757705"/>
    <w:rsid w:val="00757825"/>
    <w:rsid w:val="007604BB"/>
    <w:rsid w:val="0076068D"/>
    <w:rsid w:val="0076150C"/>
    <w:rsid w:val="00762F6B"/>
    <w:rsid w:val="00762F99"/>
    <w:rsid w:val="00764AF9"/>
    <w:rsid w:val="007672C0"/>
    <w:rsid w:val="007703AB"/>
    <w:rsid w:val="0077057B"/>
    <w:rsid w:val="007713E1"/>
    <w:rsid w:val="007739A4"/>
    <w:rsid w:val="007757F2"/>
    <w:rsid w:val="00776637"/>
    <w:rsid w:val="007766BD"/>
    <w:rsid w:val="0078086A"/>
    <w:rsid w:val="00780B13"/>
    <w:rsid w:val="00781128"/>
    <w:rsid w:val="0078467F"/>
    <w:rsid w:val="00785232"/>
    <w:rsid w:val="007879EA"/>
    <w:rsid w:val="00787A1E"/>
    <w:rsid w:val="00787CD7"/>
    <w:rsid w:val="00790105"/>
    <w:rsid w:val="00791DE5"/>
    <w:rsid w:val="007933A3"/>
    <w:rsid w:val="007936CD"/>
    <w:rsid w:val="00794EF9"/>
    <w:rsid w:val="0079523A"/>
    <w:rsid w:val="00795C38"/>
    <w:rsid w:val="007978C2"/>
    <w:rsid w:val="007A1104"/>
    <w:rsid w:val="007A20BE"/>
    <w:rsid w:val="007A21EB"/>
    <w:rsid w:val="007A2F81"/>
    <w:rsid w:val="007A4291"/>
    <w:rsid w:val="007A5F82"/>
    <w:rsid w:val="007B0535"/>
    <w:rsid w:val="007B0C06"/>
    <w:rsid w:val="007B15D1"/>
    <w:rsid w:val="007B18D9"/>
    <w:rsid w:val="007B1A23"/>
    <w:rsid w:val="007B1A93"/>
    <w:rsid w:val="007B363D"/>
    <w:rsid w:val="007B3DD9"/>
    <w:rsid w:val="007B4AEF"/>
    <w:rsid w:val="007B68B8"/>
    <w:rsid w:val="007C081D"/>
    <w:rsid w:val="007C0B6D"/>
    <w:rsid w:val="007C17EF"/>
    <w:rsid w:val="007C36C9"/>
    <w:rsid w:val="007C4470"/>
    <w:rsid w:val="007C7680"/>
    <w:rsid w:val="007D03F0"/>
    <w:rsid w:val="007D156F"/>
    <w:rsid w:val="007D364F"/>
    <w:rsid w:val="007D39AA"/>
    <w:rsid w:val="007D4166"/>
    <w:rsid w:val="007D6401"/>
    <w:rsid w:val="007E01E4"/>
    <w:rsid w:val="007E2CE1"/>
    <w:rsid w:val="007E3A3A"/>
    <w:rsid w:val="007E420E"/>
    <w:rsid w:val="007E4C6C"/>
    <w:rsid w:val="007E5413"/>
    <w:rsid w:val="007E6765"/>
    <w:rsid w:val="007E6A06"/>
    <w:rsid w:val="007E7DF6"/>
    <w:rsid w:val="007F1003"/>
    <w:rsid w:val="007F13EF"/>
    <w:rsid w:val="007F24B0"/>
    <w:rsid w:val="007F2A76"/>
    <w:rsid w:val="007F3333"/>
    <w:rsid w:val="007F3577"/>
    <w:rsid w:val="007F3F9C"/>
    <w:rsid w:val="007F40BD"/>
    <w:rsid w:val="007F616C"/>
    <w:rsid w:val="007F7107"/>
    <w:rsid w:val="0080143E"/>
    <w:rsid w:val="00803FD2"/>
    <w:rsid w:val="00804B1C"/>
    <w:rsid w:val="008058BD"/>
    <w:rsid w:val="0081030F"/>
    <w:rsid w:val="008109FC"/>
    <w:rsid w:val="00811B50"/>
    <w:rsid w:val="00812D01"/>
    <w:rsid w:val="008132C5"/>
    <w:rsid w:val="0081398F"/>
    <w:rsid w:val="00815989"/>
    <w:rsid w:val="00816F34"/>
    <w:rsid w:val="0082065D"/>
    <w:rsid w:val="0082087D"/>
    <w:rsid w:val="00821736"/>
    <w:rsid w:val="00822AAF"/>
    <w:rsid w:val="008231D7"/>
    <w:rsid w:val="008236B3"/>
    <w:rsid w:val="00824A7C"/>
    <w:rsid w:val="008252A9"/>
    <w:rsid w:val="00825BDA"/>
    <w:rsid w:val="00827532"/>
    <w:rsid w:val="00830F3D"/>
    <w:rsid w:val="0083120E"/>
    <w:rsid w:val="00833530"/>
    <w:rsid w:val="00833CC4"/>
    <w:rsid w:val="00833E41"/>
    <w:rsid w:val="008403FE"/>
    <w:rsid w:val="00840C68"/>
    <w:rsid w:val="00842933"/>
    <w:rsid w:val="0084605E"/>
    <w:rsid w:val="0084655C"/>
    <w:rsid w:val="00846D5A"/>
    <w:rsid w:val="008509DA"/>
    <w:rsid w:val="00851E4F"/>
    <w:rsid w:val="00852643"/>
    <w:rsid w:val="008531CD"/>
    <w:rsid w:val="008535FD"/>
    <w:rsid w:val="0085486B"/>
    <w:rsid w:val="008548A7"/>
    <w:rsid w:val="00855F40"/>
    <w:rsid w:val="00857C05"/>
    <w:rsid w:val="008601C8"/>
    <w:rsid w:val="0086082C"/>
    <w:rsid w:val="0086161E"/>
    <w:rsid w:val="008642F0"/>
    <w:rsid w:val="00864ADC"/>
    <w:rsid w:val="008659A7"/>
    <w:rsid w:val="008674CE"/>
    <w:rsid w:val="00870281"/>
    <w:rsid w:val="00871003"/>
    <w:rsid w:val="008719BF"/>
    <w:rsid w:val="0087256D"/>
    <w:rsid w:val="00873FA4"/>
    <w:rsid w:val="00874F22"/>
    <w:rsid w:val="00875C8E"/>
    <w:rsid w:val="00875D5D"/>
    <w:rsid w:val="0087665A"/>
    <w:rsid w:val="00877451"/>
    <w:rsid w:val="00877654"/>
    <w:rsid w:val="00880153"/>
    <w:rsid w:val="00880F97"/>
    <w:rsid w:val="0088133A"/>
    <w:rsid w:val="00881C6A"/>
    <w:rsid w:val="00881C91"/>
    <w:rsid w:val="00882E6F"/>
    <w:rsid w:val="0088579C"/>
    <w:rsid w:val="00886FF3"/>
    <w:rsid w:val="00890BE6"/>
    <w:rsid w:val="0089120C"/>
    <w:rsid w:val="0089285E"/>
    <w:rsid w:val="008934F5"/>
    <w:rsid w:val="0089436C"/>
    <w:rsid w:val="0089624C"/>
    <w:rsid w:val="00897AB3"/>
    <w:rsid w:val="008A1378"/>
    <w:rsid w:val="008A448E"/>
    <w:rsid w:val="008A5E7D"/>
    <w:rsid w:val="008B1DC9"/>
    <w:rsid w:val="008B221C"/>
    <w:rsid w:val="008B2343"/>
    <w:rsid w:val="008B2605"/>
    <w:rsid w:val="008B2E47"/>
    <w:rsid w:val="008B38D2"/>
    <w:rsid w:val="008B405B"/>
    <w:rsid w:val="008B4A98"/>
    <w:rsid w:val="008B78F0"/>
    <w:rsid w:val="008C1665"/>
    <w:rsid w:val="008C3534"/>
    <w:rsid w:val="008C3902"/>
    <w:rsid w:val="008C7900"/>
    <w:rsid w:val="008D0F2F"/>
    <w:rsid w:val="008D105B"/>
    <w:rsid w:val="008D34CB"/>
    <w:rsid w:val="008D3518"/>
    <w:rsid w:val="008D365C"/>
    <w:rsid w:val="008D5382"/>
    <w:rsid w:val="008D58C6"/>
    <w:rsid w:val="008D5ACF"/>
    <w:rsid w:val="008D698A"/>
    <w:rsid w:val="008E2260"/>
    <w:rsid w:val="008E4FF2"/>
    <w:rsid w:val="008E5A36"/>
    <w:rsid w:val="008E5ABB"/>
    <w:rsid w:val="008E6436"/>
    <w:rsid w:val="008E6567"/>
    <w:rsid w:val="008E7B2F"/>
    <w:rsid w:val="008F05C9"/>
    <w:rsid w:val="008F09B1"/>
    <w:rsid w:val="008F0E85"/>
    <w:rsid w:val="008F233B"/>
    <w:rsid w:val="008F3BB0"/>
    <w:rsid w:val="008F3BDB"/>
    <w:rsid w:val="008F3E58"/>
    <w:rsid w:val="008F4B8F"/>
    <w:rsid w:val="008F4C25"/>
    <w:rsid w:val="008F53FE"/>
    <w:rsid w:val="008F5D49"/>
    <w:rsid w:val="008F5FFB"/>
    <w:rsid w:val="008F70E3"/>
    <w:rsid w:val="008F753F"/>
    <w:rsid w:val="009030BF"/>
    <w:rsid w:val="0091032F"/>
    <w:rsid w:val="00910B50"/>
    <w:rsid w:val="00912C0E"/>
    <w:rsid w:val="00914203"/>
    <w:rsid w:val="00914368"/>
    <w:rsid w:val="00915A90"/>
    <w:rsid w:val="00915F72"/>
    <w:rsid w:val="00916678"/>
    <w:rsid w:val="009168C3"/>
    <w:rsid w:val="00916A35"/>
    <w:rsid w:val="00917512"/>
    <w:rsid w:val="00920974"/>
    <w:rsid w:val="00921475"/>
    <w:rsid w:val="0092254A"/>
    <w:rsid w:val="009225E5"/>
    <w:rsid w:val="0092271D"/>
    <w:rsid w:val="00922F7B"/>
    <w:rsid w:val="0092382E"/>
    <w:rsid w:val="00923A19"/>
    <w:rsid w:val="00926524"/>
    <w:rsid w:val="00926A35"/>
    <w:rsid w:val="00927B99"/>
    <w:rsid w:val="009300A3"/>
    <w:rsid w:val="00931076"/>
    <w:rsid w:val="00932D70"/>
    <w:rsid w:val="0093353D"/>
    <w:rsid w:val="00933AF1"/>
    <w:rsid w:val="00933D48"/>
    <w:rsid w:val="009345D9"/>
    <w:rsid w:val="00934B15"/>
    <w:rsid w:val="009356DC"/>
    <w:rsid w:val="00935A97"/>
    <w:rsid w:val="009406A0"/>
    <w:rsid w:val="00942B62"/>
    <w:rsid w:val="009439BD"/>
    <w:rsid w:val="0094433C"/>
    <w:rsid w:val="009447A2"/>
    <w:rsid w:val="009449E0"/>
    <w:rsid w:val="00945725"/>
    <w:rsid w:val="0094673F"/>
    <w:rsid w:val="00946752"/>
    <w:rsid w:val="00946E7A"/>
    <w:rsid w:val="00947AD9"/>
    <w:rsid w:val="009512C7"/>
    <w:rsid w:val="00951C35"/>
    <w:rsid w:val="00951E9F"/>
    <w:rsid w:val="009527B4"/>
    <w:rsid w:val="00955C9B"/>
    <w:rsid w:val="00956A0C"/>
    <w:rsid w:val="00956BD9"/>
    <w:rsid w:val="00957D1D"/>
    <w:rsid w:val="00961FD3"/>
    <w:rsid w:val="00962489"/>
    <w:rsid w:val="00967859"/>
    <w:rsid w:val="00970111"/>
    <w:rsid w:val="00970B6E"/>
    <w:rsid w:val="0097136E"/>
    <w:rsid w:val="00976EF9"/>
    <w:rsid w:val="009771A6"/>
    <w:rsid w:val="0098182F"/>
    <w:rsid w:val="009848A5"/>
    <w:rsid w:val="00985F29"/>
    <w:rsid w:val="00990C2C"/>
    <w:rsid w:val="00990D78"/>
    <w:rsid w:val="009918F0"/>
    <w:rsid w:val="00992B55"/>
    <w:rsid w:val="00993CE4"/>
    <w:rsid w:val="009945DA"/>
    <w:rsid w:val="00996898"/>
    <w:rsid w:val="009A16DF"/>
    <w:rsid w:val="009A1D17"/>
    <w:rsid w:val="009A2647"/>
    <w:rsid w:val="009A2A52"/>
    <w:rsid w:val="009A34D8"/>
    <w:rsid w:val="009A388D"/>
    <w:rsid w:val="009A3C1B"/>
    <w:rsid w:val="009A3F4D"/>
    <w:rsid w:val="009A46F8"/>
    <w:rsid w:val="009A4DCC"/>
    <w:rsid w:val="009A5D06"/>
    <w:rsid w:val="009B00A8"/>
    <w:rsid w:val="009B034C"/>
    <w:rsid w:val="009B0DBB"/>
    <w:rsid w:val="009B10FF"/>
    <w:rsid w:val="009B3044"/>
    <w:rsid w:val="009B4C7D"/>
    <w:rsid w:val="009B5554"/>
    <w:rsid w:val="009B799E"/>
    <w:rsid w:val="009C244A"/>
    <w:rsid w:val="009C2E4B"/>
    <w:rsid w:val="009C2F14"/>
    <w:rsid w:val="009C4A5C"/>
    <w:rsid w:val="009C655B"/>
    <w:rsid w:val="009C67AB"/>
    <w:rsid w:val="009C692E"/>
    <w:rsid w:val="009C6A3A"/>
    <w:rsid w:val="009D5185"/>
    <w:rsid w:val="009D6690"/>
    <w:rsid w:val="009E134C"/>
    <w:rsid w:val="009E1B2B"/>
    <w:rsid w:val="009E1EE6"/>
    <w:rsid w:val="009E2760"/>
    <w:rsid w:val="009E2B9A"/>
    <w:rsid w:val="009E4D55"/>
    <w:rsid w:val="009E77E5"/>
    <w:rsid w:val="009E7DB9"/>
    <w:rsid w:val="009F2AEF"/>
    <w:rsid w:val="009F2BC7"/>
    <w:rsid w:val="009F401C"/>
    <w:rsid w:val="009F57AA"/>
    <w:rsid w:val="009F696D"/>
    <w:rsid w:val="009F6BC6"/>
    <w:rsid w:val="009F749F"/>
    <w:rsid w:val="00A0155A"/>
    <w:rsid w:val="00A02892"/>
    <w:rsid w:val="00A036B1"/>
    <w:rsid w:val="00A0635C"/>
    <w:rsid w:val="00A06AE1"/>
    <w:rsid w:val="00A06F57"/>
    <w:rsid w:val="00A107D8"/>
    <w:rsid w:val="00A10C4A"/>
    <w:rsid w:val="00A1122E"/>
    <w:rsid w:val="00A113DF"/>
    <w:rsid w:val="00A11535"/>
    <w:rsid w:val="00A1308F"/>
    <w:rsid w:val="00A13B71"/>
    <w:rsid w:val="00A14CE7"/>
    <w:rsid w:val="00A1583F"/>
    <w:rsid w:val="00A16167"/>
    <w:rsid w:val="00A17328"/>
    <w:rsid w:val="00A17CF0"/>
    <w:rsid w:val="00A20DCF"/>
    <w:rsid w:val="00A22A77"/>
    <w:rsid w:val="00A239FC"/>
    <w:rsid w:val="00A23A20"/>
    <w:rsid w:val="00A23A64"/>
    <w:rsid w:val="00A25A53"/>
    <w:rsid w:val="00A268B9"/>
    <w:rsid w:val="00A26C80"/>
    <w:rsid w:val="00A2703A"/>
    <w:rsid w:val="00A27503"/>
    <w:rsid w:val="00A278D2"/>
    <w:rsid w:val="00A30385"/>
    <w:rsid w:val="00A31956"/>
    <w:rsid w:val="00A33CF0"/>
    <w:rsid w:val="00A33DFF"/>
    <w:rsid w:val="00A35115"/>
    <w:rsid w:val="00A35AC1"/>
    <w:rsid w:val="00A36662"/>
    <w:rsid w:val="00A37AD4"/>
    <w:rsid w:val="00A402EE"/>
    <w:rsid w:val="00A415D6"/>
    <w:rsid w:val="00A41A61"/>
    <w:rsid w:val="00A42E76"/>
    <w:rsid w:val="00A438AC"/>
    <w:rsid w:val="00A43AA3"/>
    <w:rsid w:val="00A452A7"/>
    <w:rsid w:val="00A46653"/>
    <w:rsid w:val="00A46722"/>
    <w:rsid w:val="00A4769F"/>
    <w:rsid w:val="00A47BCB"/>
    <w:rsid w:val="00A5037C"/>
    <w:rsid w:val="00A54D12"/>
    <w:rsid w:val="00A554AB"/>
    <w:rsid w:val="00A55C6B"/>
    <w:rsid w:val="00A56026"/>
    <w:rsid w:val="00A565BB"/>
    <w:rsid w:val="00A60D6C"/>
    <w:rsid w:val="00A6104D"/>
    <w:rsid w:val="00A61A2A"/>
    <w:rsid w:val="00A631A1"/>
    <w:rsid w:val="00A63929"/>
    <w:rsid w:val="00A65A3E"/>
    <w:rsid w:val="00A6742E"/>
    <w:rsid w:val="00A71670"/>
    <w:rsid w:val="00A732E1"/>
    <w:rsid w:val="00A734C5"/>
    <w:rsid w:val="00A73C48"/>
    <w:rsid w:val="00A747C1"/>
    <w:rsid w:val="00A75C9E"/>
    <w:rsid w:val="00A8140D"/>
    <w:rsid w:val="00A818F3"/>
    <w:rsid w:val="00A82B8E"/>
    <w:rsid w:val="00A8318A"/>
    <w:rsid w:val="00A837FB"/>
    <w:rsid w:val="00A866E2"/>
    <w:rsid w:val="00A87D70"/>
    <w:rsid w:val="00A903CD"/>
    <w:rsid w:val="00A904E6"/>
    <w:rsid w:val="00A90B59"/>
    <w:rsid w:val="00A911AE"/>
    <w:rsid w:val="00A91DBD"/>
    <w:rsid w:val="00A92B53"/>
    <w:rsid w:val="00A92C99"/>
    <w:rsid w:val="00A94FA6"/>
    <w:rsid w:val="00A95CEF"/>
    <w:rsid w:val="00A9787F"/>
    <w:rsid w:val="00AA49A0"/>
    <w:rsid w:val="00AA4A14"/>
    <w:rsid w:val="00AA66FF"/>
    <w:rsid w:val="00AA6710"/>
    <w:rsid w:val="00AA7319"/>
    <w:rsid w:val="00AB0127"/>
    <w:rsid w:val="00AB0681"/>
    <w:rsid w:val="00AB2328"/>
    <w:rsid w:val="00AB487C"/>
    <w:rsid w:val="00AB59DD"/>
    <w:rsid w:val="00AB68D8"/>
    <w:rsid w:val="00AB7C78"/>
    <w:rsid w:val="00AB7FD7"/>
    <w:rsid w:val="00AC1062"/>
    <w:rsid w:val="00AC20E8"/>
    <w:rsid w:val="00AC411B"/>
    <w:rsid w:val="00AC52B6"/>
    <w:rsid w:val="00AC6594"/>
    <w:rsid w:val="00AC7D81"/>
    <w:rsid w:val="00AD25AE"/>
    <w:rsid w:val="00AD26D2"/>
    <w:rsid w:val="00AD2BE0"/>
    <w:rsid w:val="00AD3DDC"/>
    <w:rsid w:val="00AD520B"/>
    <w:rsid w:val="00AD5367"/>
    <w:rsid w:val="00AD76D4"/>
    <w:rsid w:val="00AD7A88"/>
    <w:rsid w:val="00AD7FFE"/>
    <w:rsid w:val="00AE0110"/>
    <w:rsid w:val="00AE0A45"/>
    <w:rsid w:val="00AE138D"/>
    <w:rsid w:val="00AE203D"/>
    <w:rsid w:val="00AE3E57"/>
    <w:rsid w:val="00AE4360"/>
    <w:rsid w:val="00AE46E9"/>
    <w:rsid w:val="00AE704C"/>
    <w:rsid w:val="00AE7D77"/>
    <w:rsid w:val="00AF3394"/>
    <w:rsid w:val="00AF4372"/>
    <w:rsid w:val="00AF5377"/>
    <w:rsid w:val="00AF6164"/>
    <w:rsid w:val="00AF6301"/>
    <w:rsid w:val="00AF672C"/>
    <w:rsid w:val="00AF6E81"/>
    <w:rsid w:val="00B014A7"/>
    <w:rsid w:val="00B03EA8"/>
    <w:rsid w:val="00B04286"/>
    <w:rsid w:val="00B066F0"/>
    <w:rsid w:val="00B10633"/>
    <w:rsid w:val="00B1170F"/>
    <w:rsid w:val="00B11E4A"/>
    <w:rsid w:val="00B11F2C"/>
    <w:rsid w:val="00B12E11"/>
    <w:rsid w:val="00B14247"/>
    <w:rsid w:val="00B14335"/>
    <w:rsid w:val="00B1436F"/>
    <w:rsid w:val="00B16F14"/>
    <w:rsid w:val="00B17D78"/>
    <w:rsid w:val="00B17FF4"/>
    <w:rsid w:val="00B219A1"/>
    <w:rsid w:val="00B21E3C"/>
    <w:rsid w:val="00B223AE"/>
    <w:rsid w:val="00B23768"/>
    <w:rsid w:val="00B24BDB"/>
    <w:rsid w:val="00B24F71"/>
    <w:rsid w:val="00B25E5A"/>
    <w:rsid w:val="00B25FAA"/>
    <w:rsid w:val="00B2627D"/>
    <w:rsid w:val="00B26A46"/>
    <w:rsid w:val="00B30223"/>
    <w:rsid w:val="00B30A28"/>
    <w:rsid w:val="00B325D6"/>
    <w:rsid w:val="00B328A2"/>
    <w:rsid w:val="00B32997"/>
    <w:rsid w:val="00B34877"/>
    <w:rsid w:val="00B3588C"/>
    <w:rsid w:val="00B37289"/>
    <w:rsid w:val="00B37BEF"/>
    <w:rsid w:val="00B40A9D"/>
    <w:rsid w:val="00B41564"/>
    <w:rsid w:val="00B41B1B"/>
    <w:rsid w:val="00B440AD"/>
    <w:rsid w:val="00B44962"/>
    <w:rsid w:val="00B46428"/>
    <w:rsid w:val="00B464F5"/>
    <w:rsid w:val="00B46519"/>
    <w:rsid w:val="00B475B2"/>
    <w:rsid w:val="00B47BB3"/>
    <w:rsid w:val="00B51473"/>
    <w:rsid w:val="00B52B3B"/>
    <w:rsid w:val="00B531C8"/>
    <w:rsid w:val="00B53E7E"/>
    <w:rsid w:val="00B54107"/>
    <w:rsid w:val="00B555C8"/>
    <w:rsid w:val="00B5764E"/>
    <w:rsid w:val="00B600BC"/>
    <w:rsid w:val="00B608C3"/>
    <w:rsid w:val="00B6342E"/>
    <w:rsid w:val="00B64D5B"/>
    <w:rsid w:val="00B65075"/>
    <w:rsid w:val="00B6509F"/>
    <w:rsid w:val="00B6592F"/>
    <w:rsid w:val="00B65A67"/>
    <w:rsid w:val="00B66A8A"/>
    <w:rsid w:val="00B67BF9"/>
    <w:rsid w:val="00B703D5"/>
    <w:rsid w:val="00B7113F"/>
    <w:rsid w:val="00B725C6"/>
    <w:rsid w:val="00B73842"/>
    <w:rsid w:val="00B74BEB"/>
    <w:rsid w:val="00B81DFC"/>
    <w:rsid w:val="00B82738"/>
    <w:rsid w:val="00B82A3A"/>
    <w:rsid w:val="00B8322F"/>
    <w:rsid w:val="00B8459F"/>
    <w:rsid w:val="00B8534E"/>
    <w:rsid w:val="00B8602B"/>
    <w:rsid w:val="00B919D4"/>
    <w:rsid w:val="00B951DA"/>
    <w:rsid w:val="00B9531F"/>
    <w:rsid w:val="00B962D9"/>
    <w:rsid w:val="00B96B59"/>
    <w:rsid w:val="00B97069"/>
    <w:rsid w:val="00BA02F4"/>
    <w:rsid w:val="00BA1D78"/>
    <w:rsid w:val="00BA4C3B"/>
    <w:rsid w:val="00BA4CAE"/>
    <w:rsid w:val="00BA50C7"/>
    <w:rsid w:val="00BA5751"/>
    <w:rsid w:val="00BA6E00"/>
    <w:rsid w:val="00BA73B6"/>
    <w:rsid w:val="00BB254E"/>
    <w:rsid w:val="00BB2603"/>
    <w:rsid w:val="00BB4FCD"/>
    <w:rsid w:val="00BC0E90"/>
    <w:rsid w:val="00BC1EA1"/>
    <w:rsid w:val="00BC3C52"/>
    <w:rsid w:val="00BC6852"/>
    <w:rsid w:val="00BC6CFB"/>
    <w:rsid w:val="00BC738F"/>
    <w:rsid w:val="00BC774E"/>
    <w:rsid w:val="00BD11E3"/>
    <w:rsid w:val="00BD13EA"/>
    <w:rsid w:val="00BD1941"/>
    <w:rsid w:val="00BD23BF"/>
    <w:rsid w:val="00BD39BB"/>
    <w:rsid w:val="00BD4157"/>
    <w:rsid w:val="00BD51C5"/>
    <w:rsid w:val="00BD5AFF"/>
    <w:rsid w:val="00BD6748"/>
    <w:rsid w:val="00BD72D8"/>
    <w:rsid w:val="00BE03B7"/>
    <w:rsid w:val="00BE3808"/>
    <w:rsid w:val="00BE3836"/>
    <w:rsid w:val="00BE500E"/>
    <w:rsid w:val="00BE5078"/>
    <w:rsid w:val="00BE6450"/>
    <w:rsid w:val="00BE73F6"/>
    <w:rsid w:val="00BF09DC"/>
    <w:rsid w:val="00BF0DAF"/>
    <w:rsid w:val="00BF211A"/>
    <w:rsid w:val="00BF4A1E"/>
    <w:rsid w:val="00BF4B33"/>
    <w:rsid w:val="00BF4F1A"/>
    <w:rsid w:val="00BF5A28"/>
    <w:rsid w:val="00BF5D83"/>
    <w:rsid w:val="00BF7546"/>
    <w:rsid w:val="00BF76B5"/>
    <w:rsid w:val="00C01044"/>
    <w:rsid w:val="00C01E16"/>
    <w:rsid w:val="00C021D8"/>
    <w:rsid w:val="00C02AD7"/>
    <w:rsid w:val="00C02E92"/>
    <w:rsid w:val="00C02FDC"/>
    <w:rsid w:val="00C0446B"/>
    <w:rsid w:val="00C062E9"/>
    <w:rsid w:val="00C0724B"/>
    <w:rsid w:val="00C07A37"/>
    <w:rsid w:val="00C07B64"/>
    <w:rsid w:val="00C104EB"/>
    <w:rsid w:val="00C112D4"/>
    <w:rsid w:val="00C13721"/>
    <w:rsid w:val="00C13E47"/>
    <w:rsid w:val="00C1481B"/>
    <w:rsid w:val="00C14849"/>
    <w:rsid w:val="00C14AA7"/>
    <w:rsid w:val="00C16166"/>
    <w:rsid w:val="00C1679D"/>
    <w:rsid w:val="00C16CE2"/>
    <w:rsid w:val="00C205C1"/>
    <w:rsid w:val="00C2226D"/>
    <w:rsid w:val="00C22CB2"/>
    <w:rsid w:val="00C23F44"/>
    <w:rsid w:val="00C24A25"/>
    <w:rsid w:val="00C24A81"/>
    <w:rsid w:val="00C2631E"/>
    <w:rsid w:val="00C267EE"/>
    <w:rsid w:val="00C26D2F"/>
    <w:rsid w:val="00C2769D"/>
    <w:rsid w:val="00C3066D"/>
    <w:rsid w:val="00C30FAC"/>
    <w:rsid w:val="00C36461"/>
    <w:rsid w:val="00C36588"/>
    <w:rsid w:val="00C36AF0"/>
    <w:rsid w:val="00C377E7"/>
    <w:rsid w:val="00C37954"/>
    <w:rsid w:val="00C401E8"/>
    <w:rsid w:val="00C40ABC"/>
    <w:rsid w:val="00C420E7"/>
    <w:rsid w:val="00C42BF2"/>
    <w:rsid w:val="00C42DA5"/>
    <w:rsid w:val="00C43AF6"/>
    <w:rsid w:val="00C43D61"/>
    <w:rsid w:val="00C44236"/>
    <w:rsid w:val="00C44450"/>
    <w:rsid w:val="00C45EC4"/>
    <w:rsid w:val="00C462A3"/>
    <w:rsid w:val="00C4735B"/>
    <w:rsid w:val="00C477B8"/>
    <w:rsid w:val="00C52B02"/>
    <w:rsid w:val="00C543F4"/>
    <w:rsid w:val="00C55C17"/>
    <w:rsid w:val="00C56130"/>
    <w:rsid w:val="00C60081"/>
    <w:rsid w:val="00C6067C"/>
    <w:rsid w:val="00C60B04"/>
    <w:rsid w:val="00C60B1A"/>
    <w:rsid w:val="00C6175F"/>
    <w:rsid w:val="00C620B5"/>
    <w:rsid w:val="00C6291C"/>
    <w:rsid w:val="00C629A8"/>
    <w:rsid w:val="00C633CB"/>
    <w:rsid w:val="00C63D5D"/>
    <w:rsid w:val="00C6471C"/>
    <w:rsid w:val="00C6498B"/>
    <w:rsid w:val="00C64F78"/>
    <w:rsid w:val="00C6555E"/>
    <w:rsid w:val="00C7177A"/>
    <w:rsid w:val="00C71837"/>
    <w:rsid w:val="00C72536"/>
    <w:rsid w:val="00C73141"/>
    <w:rsid w:val="00C7332B"/>
    <w:rsid w:val="00C73C52"/>
    <w:rsid w:val="00C74A0D"/>
    <w:rsid w:val="00C763B7"/>
    <w:rsid w:val="00C77A28"/>
    <w:rsid w:val="00C77B3C"/>
    <w:rsid w:val="00C806A2"/>
    <w:rsid w:val="00C8099D"/>
    <w:rsid w:val="00C80BB7"/>
    <w:rsid w:val="00C816D6"/>
    <w:rsid w:val="00C82244"/>
    <w:rsid w:val="00C847DE"/>
    <w:rsid w:val="00C84FFC"/>
    <w:rsid w:val="00C8671B"/>
    <w:rsid w:val="00C8762C"/>
    <w:rsid w:val="00C87947"/>
    <w:rsid w:val="00C87F33"/>
    <w:rsid w:val="00C9171B"/>
    <w:rsid w:val="00C918D6"/>
    <w:rsid w:val="00C91FA1"/>
    <w:rsid w:val="00C93D12"/>
    <w:rsid w:val="00C94D43"/>
    <w:rsid w:val="00C97C06"/>
    <w:rsid w:val="00CA00F9"/>
    <w:rsid w:val="00CA0AD8"/>
    <w:rsid w:val="00CA2961"/>
    <w:rsid w:val="00CA6B50"/>
    <w:rsid w:val="00CA7358"/>
    <w:rsid w:val="00CA7DAF"/>
    <w:rsid w:val="00CA7F9E"/>
    <w:rsid w:val="00CB3166"/>
    <w:rsid w:val="00CB50D7"/>
    <w:rsid w:val="00CB51FB"/>
    <w:rsid w:val="00CB7177"/>
    <w:rsid w:val="00CC0166"/>
    <w:rsid w:val="00CC0372"/>
    <w:rsid w:val="00CC1998"/>
    <w:rsid w:val="00CC2750"/>
    <w:rsid w:val="00CC2D85"/>
    <w:rsid w:val="00CC4926"/>
    <w:rsid w:val="00CC4946"/>
    <w:rsid w:val="00CC5A11"/>
    <w:rsid w:val="00CC63F0"/>
    <w:rsid w:val="00CC6472"/>
    <w:rsid w:val="00CC6EDF"/>
    <w:rsid w:val="00CC7405"/>
    <w:rsid w:val="00CD092D"/>
    <w:rsid w:val="00CD1D69"/>
    <w:rsid w:val="00CD4F7B"/>
    <w:rsid w:val="00CD54CF"/>
    <w:rsid w:val="00CD7FD5"/>
    <w:rsid w:val="00CE0056"/>
    <w:rsid w:val="00CE0393"/>
    <w:rsid w:val="00CE0B69"/>
    <w:rsid w:val="00CE3D2C"/>
    <w:rsid w:val="00CE482D"/>
    <w:rsid w:val="00CE491F"/>
    <w:rsid w:val="00CE5843"/>
    <w:rsid w:val="00CE70F7"/>
    <w:rsid w:val="00CF0452"/>
    <w:rsid w:val="00CF0574"/>
    <w:rsid w:val="00CF0CEC"/>
    <w:rsid w:val="00CF1686"/>
    <w:rsid w:val="00CF1D05"/>
    <w:rsid w:val="00CF2A9D"/>
    <w:rsid w:val="00CF3E9D"/>
    <w:rsid w:val="00CF403F"/>
    <w:rsid w:val="00CF6655"/>
    <w:rsid w:val="00CF7555"/>
    <w:rsid w:val="00D02062"/>
    <w:rsid w:val="00D0628F"/>
    <w:rsid w:val="00D07B9D"/>
    <w:rsid w:val="00D07FF0"/>
    <w:rsid w:val="00D103FD"/>
    <w:rsid w:val="00D11771"/>
    <w:rsid w:val="00D163DE"/>
    <w:rsid w:val="00D164E7"/>
    <w:rsid w:val="00D17DE8"/>
    <w:rsid w:val="00D23666"/>
    <w:rsid w:val="00D23F6E"/>
    <w:rsid w:val="00D250DE"/>
    <w:rsid w:val="00D25A17"/>
    <w:rsid w:val="00D265D4"/>
    <w:rsid w:val="00D270A4"/>
    <w:rsid w:val="00D27A11"/>
    <w:rsid w:val="00D31FE9"/>
    <w:rsid w:val="00D34E1B"/>
    <w:rsid w:val="00D35406"/>
    <w:rsid w:val="00D35EE7"/>
    <w:rsid w:val="00D376BA"/>
    <w:rsid w:val="00D37E1F"/>
    <w:rsid w:val="00D40266"/>
    <w:rsid w:val="00D42CB7"/>
    <w:rsid w:val="00D45432"/>
    <w:rsid w:val="00D45672"/>
    <w:rsid w:val="00D4784A"/>
    <w:rsid w:val="00D5114D"/>
    <w:rsid w:val="00D52CC1"/>
    <w:rsid w:val="00D53B65"/>
    <w:rsid w:val="00D5568A"/>
    <w:rsid w:val="00D55B11"/>
    <w:rsid w:val="00D60F8D"/>
    <w:rsid w:val="00D616A1"/>
    <w:rsid w:val="00D6235E"/>
    <w:rsid w:val="00D6248C"/>
    <w:rsid w:val="00D633AC"/>
    <w:rsid w:val="00D63B8F"/>
    <w:rsid w:val="00D63D73"/>
    <w:rsid w:val="00D6435C"/>
    <w:rsid w:val="00D64790"/>
    <w:rsid w:val="00D66898"/>
    <w:rsid w:val="00D66E1E"/>
    <w:rsid w:val="00D67E48"/>
    <w:rsid w:val="00D70129"/>
    <w:rsid w:val="00D703F5"/>
    <w:rsid w:val="00D716F3"/>
    <w:rsid w:val="00D73DAB"/>
    <w:rsid w:val="00D74099"/>
    <w:rsid w:val="00D74D48"/>
    <w:rsid w:val="00D75722"/>
    <w:rsid w:val="00D77492"/>
    <w:rsid w:val="00D77D8A"/>
    <w:rsid w:val="00D834AA"/>
    <w:rsid w:val="00D83BBC"/>
    <w:rsid w:val="00D847B9"/>
    <w:rsid w:val="00D84818"/>
    <w:rsid w:val="00D86CD8"/>
    <w:rsid w:val="00D872DB"/>
    <w:rsid w:val="00D90229"/>
    <w:rsid w:val="00D9125C"/>
    <w:rsid w:val="00D916D1"/>
    <w:rsid w:val="00D91D0D"/>
    <w:rsid w:val="00D92CF1"/>
    <w:rsid w:val="00D92EF3"/>
    <w:rsid w:val="00D93549"/>
    <w:rsid w:val="00D93B11"/>
    <w:rsid w:val="00D945BB"/>
    <w:rsid w:val="00D97A90"/>
    <w:rsid w:val="00DA0EC9"/>
    <w:rsid w:val="00DA1414"/>
    <w:rsid w:val="00DA1419"/>
    <w:rsid w:val="00DA2B01"/>
    <w:rsid w:val="00DA2B0E"/>
    <w:rsid w:val="00DA577D"/>
    <w:rsid w:val="00DA5BBA"/>
    <w:rsid w:val="00DA5F24"/>
    <w:rsid w:val="00DA61CF"/>
    <w:rsid w:val="00DA6C3E"/>
    <w:rsid w:val="00DB082C"/>
    <w:rsid w:val="00DB0854"/>
    <w:rsid w:val="00DB1D10"/>
    <w:rsid w:val="00DB2391"/>
    <w:rsid w:val="00DB2AC1"/>
    <w:rsid w:val="00DB2C34"/>
    <w:rsid w:val="00DB2D72"/>
    <w:rsid w:val="00DB353C"/>
    <w:rsid w:val="00DB47EE"/>
    <w:rsid w:val="00DB537A"/>
    <w:rsid w:val="00DB597F"/>
    <w:rsid w:val="00DB5DD0"/>
    <w:rsid w:val="00DB67C9"/>
    <w:rsid w:val="00DB72FC"/>
    <w:rsid w:val="00DC08EA"/>
    <w:rsid w:val="00DC0C95"/>
    <w:rsid w:val="00DC1578"/>
    <w:rsid w:val="00DC218C"/>
    <w:rsid w:val="00DC2CDE"/>
    <w:rsid w:val="00DC3F51"/>
    <w:rsid w:val="00DC6BB8"/>
    <w:rsid w:val="00DC74F5"/>
    <w:rsid w:val="00DD1ECE"/>
    <w:rsid w:val="00DD41F9"/>
    <w:rsid w:val="00DD5922"/>
    <w:rsid w:val="00DD5D27"/>
    <w:rsid w:val="00DD6580"/>
    <w:rsid w:val="00DD78A8"/>
    <w:rsid w:val="00DE148F"/>
    <w:rsid w:val="00DE1C56"/>
    <w:rsid w:val="00DE2536"/>
    <w:rsid w:val="00DE2BCF"/>
    <w:rsid w:val="00DE40DD"/>
    <w:rsid w:val="00DF0849"/>
    <w:rsid w:val="00DF08F4"/>
    <w:rsid w:val="00DF2A75"/>
    <w:rsid w:val="00E01A22"/>
    <w:rsid w:val="00E0248D"/>
    <w:rsid w:val="00E03669"/>
    <w:rsid w:val="00E04CAB"/>
    <w:rsid w:val="00E1052F"/>
    <w:rsid w:val="00E10D26"/>
    <w:rsid w:val="00E1122D"/>
    <w:rsid w:val="00E11CF3"/>
    <w:rsid w:val="00E15B0C"/>
    <w:rsid w:val="00E17C72"/>
    <w:rsid w:val="00E21AAD"/>
    <w:rsid w:val="00E21FC6"/>
    <w:rsid w:val="00E241FD"/>
    <w:rsid w:val="00E24BEA"/>
    <w:rsid w:val="00E2525C"/>
    <w:rsid w:val="00E31BC4"/>
    <w:rsid w:val="00E327E5"/>
    <w:rsid w:val="00E32CF0"/>
    <w:rsid w:val="00E338C6"/>
    <w:rsid w:val="00E33D36"/>
    <w:rsid w:val="00E33F51"/>
    <w:rsid w:val="00E341AA"/>
    <w:rsid w:val="00E35BA4"/>
    <w:rsid w:val="00E4058C"/>
    <w:rsid w:val="00E41D89"/>
    <w:rsid w:val="00E431A9"/>
    <w:rsid w:val="00E44ACC"/>
    <w:rsid w:val="00E45639"/>
    <w:rsid w:val="00E4748F"/>
    <w:rsid w:val="00E50B02"/>
    <w:rsid w:val="00E51DB5"/>
    <w:rsid w:val="00E52022"/>
    <w:rsid w:val="00E52077"/>
    <w:rsid w:val="00E52620"/>
    <w:rsid w:val="00E53F7D"/>
    <w:rsid w:val="00E54F7D"/>
    <w:rsid w:val="00E559DA"/>
    <w:rsid w:val="00E60A02"/>
    <w:rsid w:val="00E61DB9"/>
    <w:rsid w:val="00E61F67"/>
    <w:rsid w:val="00E669E2"/>
    <w:rsid w:val="00E70B22"/>
    <w:rsid w:val="00E72398"/>
    <w:rsid w:val="00E73C5A"/>
    <w:rsid w:val="00E753DA"/>
    <w:rsid w:val="00E76135"/>
    <w:rsid w:val="00E777C2"/>
    <w:rsid w:val="00E7796C"/>
    <w:rsid w:val="00E805EF"/>
    <w:rsid w:val="00E80D04"/>
    <w:rsid w:val="00E811D5"/>
    <w:rsid w:val="00E81441"/>
    <w:rsid w:val="00E84732"/>
    <w:rsid w:val="00E85F42"/>
    <w:rsid w:val="00E86164"/>
    <w:rsid w:val="00E91B05"/>
    <w:rsid w:val="00E91F58"/>
    <w:rsid w:val="00E9213F"/>
    <w:rsid w:val="00E92DFC"/>
    <w:rsid w:val="00E97E9D"/>
    <w:rsid w:val="00E97FBF"/>
    <w:rsid w:val="00EA08DC"/>
    <w:rsid w:val="00EA08F7"/>
    <w:rsid w:val="00EA0AF8"/>
    <w:rsid w:val="00EA1F22"/>
    <w:rsid w:val="00EA383E"/>
    <w:rsid w:val="00EA57C5"/>
    <w:rsid w:val="00EA777A"/>
    <w:rsid w:val="00EA79D8"/>
    <w:rsid w:val="00EB1D66"/>
    <w:rsid w:val="00EB2836"/>
    <w:rsid w:val="00EB3732"/>
    <w:rsid w:val="00EB3A9C"/>
    <w:rsid w:val="00EB3D25"/>
    <w:rsid w:val="00EB4314"/>
    <w:rsid w:val="00EB46E6"/>
    <w:rsid w:val="00EB4C6D"/>
    <w:rsid w:val="00EB5638"/>
    <w:rsid w:val="00EB5BE0"/>
    <w:rsid w:val="00EB6393"/>
    <w:rsid w:val="00EB69BE"/>
    <w:rsid w:val="00EC0A42"/>
    <w:rsid w:val="00EC1BCE"/>
    <w:rsid w:val="00EC2844"/>
    <w:rsid w:val="00ED034F"/>
    <w:rsid w:val="00ED0407"/>
    <w:rsid w:val="00ED2628"/>
    <w:rsid w:val="00ED3867"/>
    <w:rsid w:val="00ED3AF3"/>
    <w:rsid w:val="00ED42EA"/>
    <w:rsid w:val="00ED4B22"/>
    <w:rsid w:val="00ED5572"/>
    <w:rsid w:val="00ED5EC8"/>
    <w:rsid w:val="00ED68B3"/>
    <w:rsid w:val="00ED6CF0"/>
    <w:rsid w:val="00EE1A46"/>
    <w:rsid w:val="00EE57E5"/>
    <w:rsid w:val="00EE6712"/>
    <w:rsid w:val="00EE6DC7"/>
    <w:rsid w:val="00EE6EB5"/>
    <w:rsid w:val="00EF20BC"/>
    <w:rsid w:val="00EF267F"/>
    <w:rsid w:val="00EF51AA"/>
    <w:rsid w:val="00EF6C6C"/>
    <w:rsid w:val="00EF7755"/>
    <w:rsid w:val="00F00013"/>
    <w:rsid w:val="00F0060E"/>
    <w:rsid w:val="00F00FC5"/>
    <w:rsid w:val="00F0349D"/>
    <w:rsid w:val="00F049BA"/>
    <w:rsid w:val="00F056FC"/>
    <w:rsid w:val="00F0683D"/>
    <w:rsid w:val="00F068E4"/>
    <w:rsid w:val="00F0709F"/>
    <w:rsid w:val="00F07AC3"/>
    <w:rsid w:val="00F10476"/>
    <w:rsid w:val="00F10EDB"/>
    <w:rsid w:val="00F12A5B"/>
    <w:rsid w:val="00F12EC6"/>
    <w:rsid w:val="00F135D8"/>
    <w:rsid w:val="00F13E2B"/>
    <w:rsid w:val="00F14CA2"/>
    <w:rsid w:val="00F1628A"/>
    <w:rsid w:val="00F16843"/>
    <w:rsid w:val="00F16AD5"/>
    <w:rsid w:val="00F22940"/>
    <w:rsid w:val="00F2406D"/>
    <w:rsid w:val="00F24E22"/>
    <w:rsid w:val="00F24E9C"/>
    <w:rsid w:val="00F263F8"/>
    <w:rsid w:val="00F2673F"/>
    <w:rsid w:val="00F27062"/>
    <w:rsid w:val="00F2755B"/>
    <w:rsid w:val="00F31299"/>
    <w:rsid w:val="00F327BC"/>
    <w:rsid w:val="00F33978"/>
    <w:rsid w:val="00F3397B"/>
    <w:rsid w:val="00F33FCA"/>
    <w:rsid w:val="00F344C1"/>
    <w:rsid w:val="00F3534A"/>
    <w:rsid w:val="00F361C8"/>
    <w:rsid w:val="00F36E14"/>
    <w:rsid w:val="00F37A69"/>
    <w:rsid w:val="00F4020D"/>
    <w:rsid w:val="00F41C84"/>
    <w:rsid w:val="00F43157"/>
    <w:rsid w:val="00F44114"/>
    <w:rsid w:val="00F46BBD"/>
    <w:rsid w:val="00F46DF9"/>
    <w:rsid w:val="00F471B2"/>
    <w:rsid w:val="00F477D9"/>
    <w:rsid w:val="00F50A31"/>
    <w:rsid w:val="00F54192"/>
    <w:rsid w:val="00F562FA"/>
    <w:rsid w:val="00F60966"/>
    <w:rsid w:val="00F61139"/>
    <w:rsid w:val="00F6355A"/>
    <w:rsid w:val="00F63C92"/>
    <w:rsid w:val="00F6458C"/>
    <w:rsid w:val="00F64B86"/>
    <w:rsid w:val="00F67CD4"/>
    <w:rsid w:val="00F67D64"/>
    <w:rsid w:val="00F67E0F"/>
    <w:rsid w:val="00F70AE9"/>
    <w:rsid w:val="00F722BA"/>
    <w:rsid w:val="00F737DD"/>
    <w:rsid w:val="00F7599B"/>
    <w:rsid w:val="00F7627C"/>
    <w:rsid w:val="00F77343"/>
    <w:rsid w:val="00F77FAB"/>
    <w:rsid w:val="00F80D0F"/>
    <w:rsid w:val="00F81524"/>
    <w:rsid w:val="00F81539"/>
    <w:rsid w:val="00F83C42"/>
    <w:rsid w:val="00F85325"/>
    <w:rsid w:val="00F85B93"/>
    <w:rsid w:val="00F86EF4"/>
    <w:rsid w:val="00F90041"/>
    <w:rsid w:val="00F92B25"/>
    <w:rsid w:val="00F93872"/>
    <w:rsid w:val="00F93C3C"/>
    <w:rsid w:val="00F94585"/>
    <w:rsid w:val="00FA0757"/>
    <w:rsid w:val="00FA1716"/>
    <w:rsid w:val="00FA1876"/>
    <w:rsid w:val="00FA1A11"/>
    <w:rsid w:val="00FA1DF9"/>
    <w:rsid w:val="00FA2498"/>
    <w:rsid w:val="00FA30AC"/>
    <w:rsid w:val="00FA5F95"/>
    <w:rsid w:val="00FA7377"/>
    <w:rsid w:val="00FB1788"/>
    <w:rsid w:val="00FB1ABE"/>
    <w:rsid w:val="00FB43D9"/>
    <w:rsid w:val="00FB5F11"/>
    <w:rsid w:val="00FB7CE9"/>
    <w:rsid w:val="00FC0C97"/>
    <w:rsid w:val="00FC2BC9"/>
    <w:rsid w:val="00FC35BC"/>
    <w:rsid w:val="00FC3C30"/>
    <w:rsid w:val="00FC4A6B"/>
    <w:rsid w:val="00FC7158"/>
    <w:rsid w:val="00FC7536"/>
    <w:rsid w:val="00FC7D08"/>
    <w:rsid w:val="00FC7DFB"/>
    <w:rsid w:val="00FC7FAF"/>
    <w:rsid w:val="00FD0797"/>
    <w:rsid w:val="00FD22B1"/>
    <w:rsid w:val="00FD471B"/>
    <w:rsid w:val="00FE02C6"/>
    <w:rsid w:val="00FE1E35"/>
    <w:rsid w:val="00FE4AE7"/>
    <w:rsid w:val="00FE70B5"/>
    <w:rsid w:val="00FE761C"/>
    <w:rsid w:val="00FF323E"/>
    <w:rsid w:val="00FF3C30"/>
    <w:rsid w:val="00FF4D9E"/>
    <w:rsid w:val="00FF5551"/>
    <w:rsid w:val="00FF58B8"/>
    <w:rsid w:val="00FF6D5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3686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Emphasis" w:uiPriority="2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A5BBA"/>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link w:val="FooterChar"/>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39"/>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A17328"/>
    <w:pPr>
      <w:spacing w:before="120" w:after="0"/>
      <w:ind w:left="1304" w:hanging="1304"/>
    </w:p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rFonts w:ascii="Arial" w:hAnsi="Arial"/>
      <w:sz w:val="22"/>
    </w:rPr>
  </w:style>
  <w:style w:type="character" w:styleId="Emphasis">
    <w:name w:val="Emphasis"/>
    <w:basedOn w:val="DefaultParagraphFont"/>
    <w:uiPriority w:val="20"/>
    <w:qFormat/>
    <w:rsid w:val="00DA5BBA"/>
    <w:rPr>
      <w:i/>
      <w:iCs/>
    </w:rPr>
  </w:style>
  <w:style w:type="character" w:customStyle="1" w:styleId="BodyTextChar">
    <w:name w:val="Body Text Char"/>
    <w:link w:val="BodyText"/>
    <w:rsid w:val="000F36A9"/>
    <w:rPr>
      <w:sz w:val="26"/>
    </w:rPr>
  </w:style>
  <w:style w:type="character" w:customStyle="1" w:styleId="FootnoteTextChar">
    <w:name w:val="Footnote Text Char"/>
    <w:link w:val="FootnoteText"/>
    <w:rsid w:val="002F6F33"/>
    <w:rPr>
      <w:sz w:val="22"/>
    </w:rPr>
  </w:style>
  <w:style w:type="character" w:customStyle="1" w:styleId="QuoteChar">
    <w:name w:val="Quote Char"/>
    <w:link w:val="Quote"/>
    <w:rsid w:val="00B97069"/>
    <w:rPr>
      <w:sz w:val="24"/>
    </w:rPr>
  </w:style>
  <w:style w:type="character" w:customStyle="1" w:styleId="FooterChar">
    <w:name w:val="Footer Char"/>
    <w:link w:val="Footer"/>
    <w:semiHidden/>
    <w:rsid w:val="00040C48"/>
    <w:rPr>
      <w:caps/>
      <w:spacing w:val="-4"/>
      <w:sz w:val="16"/>
    </w:rPr>
  </w:style>
  <w:style w:type="character" w:customStyle="1" w:styleId="Heading3Char">
    <w:name w:val="Heading 3 Char"/>
    <w:basedOn w:val="DefaultParagraphFont"/>
    <w:link w:val="Heading3"/>
    <w:rsid w:val="00B703D5"/>
    <w:rPr>
      <w:rFonts w:ascii="Arial" w:hAnsi="Arial"/>
      <w:b/>
      <w:sz w:val="26"/>
    </w:rPr>
  </w:style>
  <w:style w:type="paragraph" w:styleId="ListParagraph">
    <w:name w:val="List Paragraph"/>
    <w:basedOn w:val="Normal"/>
    <w:uiPriority w:val="34"/>
    <w:rsid w:val="008D58C6"/>
    <w:pPr>
      <w:ind w:left="720"/>
      <w:contextualSpacing/>
    </w:pPr>
  </w:style>
  <w:style w:type="paragraph" w:styleId="CommentSubject">
    <w:name w:val="annotation subject"/>
    <w:basedOn w:val="CommentText"/>
    <w:next w:val="CommentText"/>
    <w:link w:val="CommentSubjectChar"/>
    <w:rsid w:val="00E31BC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31BC4"/>
    <w:rPr>
      <w:szCs w:val="24"/>
    </w:rPr>
  </w:style>
  <w:style w:type="character" w:customStyle="1" w:styleId="CommentSubjectChar">
    <w:name w:val="Comment Subject Char"/>
    <w:basedOn w:val="CommentTextChar"/>
    <w:link w:val="CommentSubject"/>
    <w:rsid w:val="00E31BC4"/>
    <w:rPr>
      <w:b/>
      <w:bCs/>
      <w:szCs w:val="24"/>
    </w:rPr>
  </w:style>
  <w:style w:type="paragraph" w:styleId="Revision">
    <w:name w:val="Revision"/>
    <w:hidden/>
    <w:uiPriority w:val="99"/>
    <w:semiHidden/>
    <w:rsid w:val="00E31BC4"/>
    <w:rPr>
      <w:sz w:val="26"/>
      <w:szCs w:val="24"/>
    </w:rPr>
  </w:style>
  <w:style w:type="character" w:styleId="Hyperlink">
    <w:name w:val="Hyperlink"/>
    <w:basedOn w:val="DefaultParagraphFont"/>
    <w:unhideWhenUsed/>
    <w:rsid w:val="005D01E7"/>
    <w:rPr>
      <w:rFonts w:ascii="Times New Roman" w:hAnsi="Times New Roman" w:cs="Times New Roman" w:hint="default"/>
      <w:color w:val="000000"/>
      <w:u w:val="single"/>
    </w:rPr>
  </w:style>
  <w:style w:type="paragraph" w:customStyle="1" w:styleId="Heading1NotTOC">
    <w:name w:val="Heading 1 Not TOC"/>
    <w:basedOn w:val="Heading1"/>
    <w:next w:val="BodyText"/>
    <w:rsid w:val="000B2235"/>
    <w:rPr>
      <w:kern w:val="28"/>
      <w:szCs w:val="26"/>
      <w:lang w:eastAsia="en-US"/>
    </w:rPr>
  </w:style>
  <w:style w:type="paragraph" w:customStyle="1" w:styleId="PCBoxHeading">
    <w:name w:val="PC Box Heading"/>
    <w:basedOn w:val="BodyText"/>
    <w:link w:val="PCBoxHeadingChar"/>
    <w:qFormat/>
    <w:rsid w:val="000B2235"/>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0B2235"/>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0B2235"/>
    <w:rPr>
      <w:b/>
      <w:i/>
      <w:sz w:val="24"/>
      <w:szCs w:val="24"/>
      <w:lang w:eastAsia="en-US"/>
    </w:rPr>
  </w:style>
  <w:style w:type="character" w:customStyle="1" w:styleId="PCBoxtextChar">
    <w:name w:val="PC Box text Char"/>
    <w:basedOn w:val="BodyTextChar"/>
    <w:link w:val="PCBoxtext"/>
    <w:rsid w:val="000B2235"/>
    <w:rPr>
      <w:sz w:val="24"/>
      <w:szCs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heading 2" w:qFormat="1"/>
    <w:lsdException w:name="heading 3" w:qFormat="1"/>
    <w:lsdException w:name="heading 4" w:qFormat="1"/>
    <w:lsdException w:name="heading 5" w:qFormat="1"/>
    <w:lsdException w:name="Body Text" w:qFormat="1"/>
    <w:lsdException w:name="Subtitle" w:qFormat="1"/>
    <w:lsdException w:name="Emphasis" w:uiPriority="20" w:qFormat="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lsdException w:name="Quote"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rsid w:val="00DA5BBA"/>
    <w:rPr>
      <w:sz w:val="26"/>
      <w:szCs w:val="24"/>
    </w:rPr>
  </w:style>
  <w:style w:type="paragraph" w:styleId="Heading1">
    <w:name w:val="heading 1"/>
    <w:basedOn w:val="BodyText"/>
    <w:next w:val="BodyText"/>
    <w:rsid w:val="00FD22B1"/>
    <w:pPr>
      <w:keepNext/>
      <w:spacing w:before="160" w:after="1360" w:line="600" w:lineRule="exact"/>
      <w:ind w:left="907" w:hanging="907"/>
      <w:jc w:val="left"/>
      <w:outlineLvl w:val="0"/>
    </w:pPr>
    <w:rPr>
      <w:sz w:val="52"/>
    </w:rPr>
  </w:style>
  <w:style w:type="paragraph" w:styleId="Heading2">
    <w:name w:val="heading 2"/>
    <w:basedOn w:val="Chapter"/>
    <w:next w:val="BodyText"/>
    <w:qFormat/>
    <w:rsid w:val="00A17328"/>
    <w:pPr>
      <w:spacing w:before="600" w:after="0" w:line="400" w:lineRule="exact"/>
      <w:ind w:left="907" w:hanging="907"/>
      <w:outlineLvl w:val="1"/>
    </w:pPr>
    <w:rPr>
      <w:rFonts w:ascii="Arial" w:hAnsi="Arial"/>
      <w:b/>
      <w:sz w:val="32"/>
    </w:rPr>
  </w:style>
  <w:style w:type="paragraph" w:styleId="Heading3">
    <w:name w:val="heading 3"/>
    <w:basedOn w:val="Heading2"/>
    <w:next w:val="BodyText"/>
    <w:link w:val="Heading3Char"/>
    <w:qFormat/>
    <w:rsid w:val="00A17328"/>
    <w:pPr>
      <w:spacing w:before="560" w:line="320" w:lineRule="exact"/>
      <w:ind w:left="0" w:firstLine="0"/>
      <w:outlineLvl w:val="2"/>
    </w:pPr>
    <w:rPr>
      <w:sz w:val="26"/>
    </w:rPr>
  </w:style>
  <w:style w:type="paragraph" w:styleId="Heading4">
    <w:name w:val="heading 4"/>
    <w:basedOn w:val="Heading3"/>
    <w:next w:val="BodyText"/>
    <w:qFormat/>
    <w:rsid w:val="00A17328"/>
    <w:pPr>
      <w:spacing w:before="480"/>
      <w:outlineLvl w:val="3"/>
    </w:pPr>
    <w:rPr>
      <w:b w:val="0"/>
      <w:i/>
      <w:sz w:val="24"/>
    </w:rPr>
  </w:style>
  <w:style w:type="paragraph" w:styleId="Heading5">
    <w:name w:val="heading 5"/>
    <w:basedOn w:val="Heading4"/>
    <w:next w:val="BodyText"/>
    <w:qFormat/>
    <w:rsid w:val="00A17328"/>
    <w:pPr>
      <w:outlineLvl w:val="4"/>
    </w:pPr>
    <w:rPr>
      <w:rFonts w:ascii="Times New Roman" w:hAnsi="Times New Roman"/>
      <w:sz w:val="26"/>
    </w:rPr>
  </w:style>
  <w:style w:type="paragraph" w:styleId="Heading6">
    <w:name w:val="heading 6"/>
    <w:basedOn w:val="BodyText"/>
    <w:next w:val="BodyText"/>
    <w:rsid w:val="00A17328"/>
    <w:pPr>
      <w:spacing w:after="60"/>
      <w:jc w:val="left"/>
      <w:outlineLvl w:val="5"/>
    </w:pPr>
    <w:rPr>
      <w:i/>
      <w:sz w:val="22"/>
    </w:rPr>
  </w:style>
  <w:style w:type="paragraph" w:styleId="Heading7">
    <w:name w:val="heading 7"/>
    <w:basedOn w:val="BodyText"/>
    <w:next w:val="BodyText"/>
    <w:rsid w:val="00A17328"/>
    <w:pPr>
      <w:spacing w:after="60" w:line="240" w:lineRule="auto"/>
      <w:jc w:val="left"/>
      <w:outlineLvl w:val="6"/>
    </w:pPr>
    <w:rPr>
      <w:rFonts w:ascii="Arial" w:hAnsi="Arial"/>
      <w:sz w:val="20"/>
    </w:rPr>
  </w:style>
  <w:style w:type="paragraph" w:styleId="Heading8">
    <w:name w:val="heading 8"/>
    <w:basedOn w:val="BodyText"/>
    <w:next w:val="BodyText"/>
    <w:rsid w:val="00A17328"/>
    <w:pPr>
      <w:spacing w:after="60" w:line="240" w:lineRule="auto"/>
      <w:jc w:val="left"/>
      <w:outlineLvl w:val="7"/>
    </w:pPr>
    <w:rPr>
      <w:rFonts w:ascii="Arial" w:hAnsi="Arial"/>
      <w:i/>
      <w:sz w:val="20"/>
    </w:rPr>
  </w:style>
  <w:style w:type="paragraph" w:styleId="Heading9">
    <w:name w:val="heading 9"/>
    <w:basedOn w:val="BodyText"/>
    <w:next w:val="BodyText"/>
    <w:rsid w:val="00A17328"/>
    <w:pPr>
      <w:spacing w:after="60" w:line="240" w:lineRule="auto"/>
      <w:jc w:val="left"/>
      <w:outlineLvl w:val="8"/>
    </w:pPr>
    <w:rPr>
      <w:rFonts w:ascii="Arial" w:hAnsi="Arial"/>
      <w:b/>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9345D9"/>
    <w:pPr>
      <w:spacing w:before="240" w:line="320" w:lineRule="atLeast"/>
      <w:jc w:val="both"/>
    </w:pPr>
    <w:rPr>
      <w:sz w:val="26"/>
    </w:rPr>
  </w:style>
  <w:style w:type="paragraph" w:styleId="Footer">
    <w:name w:val="footer"/>
    <w:basedOn w:val="BodyText"/>
    <w:link w:val="FooterChar"/>
    <w:semiHidden/>
    <w:rsid w:val="00A17328"/>
    <w:pPr>
      <w:spacing w:before="80" w:line="200" w:lineRule="exact"/>
      <w:ind w:right="6"/>
      <w:jc w:val="left"/>
    </w:pPr>
    <w:rPr>
      <w:caps/>
      <w:spacing w:val="-4"/>
      <w:sz w:val="16"/>
    </w:rPr>
  </w:style>
  <w:style w:type="paragraph" w:customStyle="1" w:styleId="FooterEnd">
    <w:name w:val="Footer End"/>
    <w:basedOn w:val="Footer"/>
    <w:rsid w:val="00A17328"/>
    <w:pPr>
      <w:spacing w:before="0" w:line="20" w:lineRule="exact"/>
    </w:pPr>
  </w:style>
  <w:style w:type="paragraph" w:styleId="Header">
    <w:name w:val="header"/>
    <w:basedOn w:val="BodyText"/>
    <w:rsid w:val="00A17328"/>
    <w:pPr>
      <w:tabs>
        <w:tab w:val="center" w:pos="4394"/>
        <w:tab w:val="right" w:pos="8789"/>
      </w:tabs>
      <w:spacing w:before="0" w:line="240" w:lineRule="atLeast"/>
      <w:jc w:val="left"/>
    </w:pPr>
    <w:rPr>
      <w:rFonts w:ascii="Arial" w:hAnsi="Arial"/>
      <w:caps/>
    </w:rPr>
  </w:style>
  <w:style w:type="paragraph" w:customStyle="1" w:styleId="HeaderEnd">
    <w:name w:val="Header End"/>
    <w:basedOn w:val="Header"/>
    <w:autoRedefine/>
    <w:rsid w:val="00914368"/>
    <w:pPr>
      <w:spacing w:line="20" w:lineRule="exact"/>
    </w:pPr>
    <w:rPr>
      <w:sz w:val="16"/>
    </w:rPr>
  </w:style>
  <w:style w:type="paragraph" w:customStyle="1" w:styleId="HeaderEven">
    <w:name w:val="Header Even"/>
    <w:basedOn w:val="Header"/>
    <w:semiHidden/>
    <w:rsid w:val="00C543F4"/>
  </w:style>
  <w:style w:type="paragraph" w:customStyle="1" w:styleId="HeaderOdd">
    <w:name w:val="Header Odd"/>
    <w:basedOn w:val="Header"/>
    <w:semiHidden/>
    <w:rsid w:val="00C543F4"/>
  </w:style>
  <w:style w:type="character" w:styleId="PageNumber">
    <w:name w:val="page number"/>
    <w:basedOn w:val="DefaultParagraphFont"/>
    <w:rsid w:val="00A17328"/>
    <w:rPr>
      <w:rFonts w:ascii="Arial" w:hAnsi="Arial"/>
      <w:b/>
      <w:sz w:val="16"/>
    </w:rPr>
  </w:style>
  <w:style w:type="paragraph" w:customStyle="1" w:styleId="Abbreviation">
    <w:name w:val="Abbreviation"/>
    <w:basedOn w:val="BodyText"/>
    <w:rsid w:val="00A17328"/>
    <w:pPr>
      <w:spacing w:before="120"/>
      <w:ind w:left="2381" w:hanging="2381"/>
      <w:jc w:val="left"/>
    </w:pPr>
  </w:style>
  <w:style w:type="paragraph" w:customStyle="1" w:styleId="Box">
    <w:name w:val="Box"/>
    <w:basedOn w:val="BodyText"/>
    <w:qFormat/>
    <w:rsid w:val="00A17328"/>
    <w:pPr>
      <w:keepNext/>
      <w:spacing w:before="120" w:line="280" w:lineRule="atLeast"/>
    </w:pPr>
    <w:rPr>
      <w:rFonts w:ascii="Arial" w:hAnsi="Arial"/>
      <w:sz w:val="22"/>
    </w:rPr>
  </w:style>
  <w:style w:type="paragraph" w:customStyle="1" w:styleId="BoxContinued">
    <w:name w:val="Box Continued"/>
    <w:basedOn w:val="BodyText"/>
    <w:next w:val="BodyText"/>
    <w:semiHidden/>
    <w:rsid w:val="00A17328"/>
    <w:pPr>
      <w:spacing w:before="180" w:line="220" w:lineRule="exact"/>
      <w:jc w:val="right"/>
    </w:pPr>
    <w:rPr>
      <w:rFonts w:ascii="Arial" w:hAnsi="Arial"/>
      <w:sz w:val="18"/>
    </w:rPr>
  </w:style>
  <w:style w:type="paragraph" w:customStyle="1" w:styleId="BoxHeading1">
    <w:name w:val="Box Heading 1"/>
    <w:basedOn w:val="BodyText"/>
    <w:next w:val="Box"/>
    <w:rsid w:val="00A17328"/>
    <w:pPr>
      <w:keepNext/>
      <w:spacing w:before="200" w:line="280" w:lineRule="atLeast"/>
    </w:pPr>
    <w:rPr>
      <w:rFonts w:ascii="Arial" w:hAnsi="Arial"/>
      <w:b/>
      <w:sz w:val="22"/>
    </w:rPr>
  </w:style>
  <w:style w:type="paragraph" w:customStyle="1" w:styleId="BoxHeading2">
    <w:name w:val="Box Heading 2"/>
    <w:basedOn w:val="BoxHeading1"/>
    <w:next w:val="Normal"/>
    <w:rsid w:val="00A17328"/>
    <w:rPr>
      <w:b w:val="0"/>
      <w:i/>
    </w:rPr>
  </w:style>
  <w:style w:type="paragraph" w:customStyle="1" w:styleId="BoxListBullet">
    <w:name w:val="Box List Bullet"/>
    <w:basedOn w:val="BodyText"/>
    <w:rsid w:val="00DB67C9"/>
    <w:pPr>
      <w:keepNext/>
      <w:numPr>
        <w:numId w:val="1"/>
      </w:numPr>
      <w:spacing w:before="120" w:line="280" w:lineRule="atLeast"/>
    </w:pPr>
    <w:rPr>
      <w:rFonts w:ascii="Arial" w:hAnsi="Arial"/>
      <w:sz w:val="22"/>
    </w:rPr>
  </w:style>
  <w:style w:type="paragraph" w:customStyle="1" w:styleId="BoxListBullet2">
    <w:name w:val="Box List Bullet 2"/>
    <w:basedOn w:val="BodyText"/>
    <w:rsid w:val="00DB67C9"/>
    <w:pPr>
      <w:keepNext/>
      <w:numPr>
        <w:numId w:val="2"/>
      </w:numPr>
      <w:tabs>
        <w:tab w:val="left" w:pos="284"/>
      </w:tabs>
      <w:spacing w:before="60" w:line="280" w:lineRule="atLeast"/>
    </w:pPr>
    <w:rPr>
      <w:rFonts w:ascii="Arial" w:hAnsi="Arial"/>
      <w:sz w:val="22"/>
    </w:rPr>
  </w:style>
  <w:style w:type="paragraph" w:customStyle="1" w:styleId="BoxListNumber">
    <w:name w:val="Box List Number"/>
    <w:basedOn w:val="BodyText"/>
    <w:rsid w:val="00864ADC"/>
    <w:pPr>
      <w:keepNext/>
      <w:numPr>
        <w:numId w:val="39"/>
      </w:numPr>
      <w:spacing w:before="120" w:line="280" w:lineRule="atLeast"/>
    </w:pPr>
    <w:rPr>
      <w:rFonts w:ascii="Arial" w:hAnsi="Arial"/>
      <w:sz w:val="22"/>
    </w:rPr>
  </w:style>
  <w:style w:type="paragraph" w:customStyle="1" w:styleId="BoxListNumber2">
    <w:name w:val="Box List Number 2"/>
    <w:basedOn w:val="BoxListNumber"/>
    <w:rsid w:val="00864ADC"/>
    <w:pPr>
      <w:numPr>
        <w:ilvl w:val="1"/>
      </w:numPr>
      <w:spacing w:before="60"/>
    </w:pPr>
  </w:style>
  <w:style w:type="paragraph" w:customStyle="1" w:styleId="BoxQuote">
    <w:name w:val="Box Quote"/>
    <w:basedOn w:val="BodyText"/>
    <w:next w:val="Box"/>
    <w:rsid w:val="00A17328"/>
    <w:pPr>
      <w:keepNext/>
      <w:spacing w:before="60" w:line="260" w:lineRule="exact"/>
      <w:ind w:left="284"/>
    </w:pPr>
    <w:rPr>
      <w:rFonts w:ascii="Arial" w:hAnsi="Arial"/>
      <w:sz w:val="20"/>
    </w:rPr>
  </w:style>
  <w:style w:type="paragraph" w:customStyle="1" w:styleId="Note">
    <w:name w:val="Note"/>
    <w:basedOn w:val="BodyText"/>
    <w:next w:val="Normal"/>
    <w:rsid w:val="00A17328"/>
    <w:pPr>
      <w:keepLines/>
      <w:spacing w:before="80" w:line="220" w:lineRule="exact"/>
    </w:pPr>
    <w:rPr>
      <w:rFonts w:ascii="Arial" w:hAnsi="Arial"/>
      <w:sz w:val="18"/>
    </w:rPr>
  </w:style>
  <w:style w:type="paragraph" w:customStyle="1" w:styleId="Source">
    <w:name w:val="Source"/>
    <w:basedOn w:val="Note"/>
    <w:next w:val="BodyText"/>
    <w:rsid w:val="00A17328"/>
    <w:pPr>
      <w:spacing w:after="120"/>
    </w:pPr>
  </w:style>
  <w:style w:type="paragraph" w:customStyle="1" w:styleId="BoxSource">
    <w:name w:val="Box Source"/>
    <w:basedOn w:val="Source"/>
    <w:next w:val="BodyText"/>
    <w:rsid w:val="00A17328"/>
    <w:pPr>
      <w:spacing w:before="180" w:after="0"/>
    </w:pPr>
  </w:style>
  <w:style w:type="paragraph" w:customStyle="1" w:styleId="BoxSpace">
    <w:name w:val="Box Space"/>
    <w:basedOn w:val="BodyText"/>
    <w:rsid w:val="00A17328"/>
    <w:pPr>
      <w:keepNext/>
      <w:spacing w:before="360" w:line="80" w:lineRule="exact"/>
      <w:jc w:val="left"/>
    </w:pPr>
  </w:style>
  <w:style w:type="paragraph" w:styleId="Caption">
    <w:name w:val="caption"/>
    <w:basedOn w:val="Normal"/>
    <w:next w:val="BodyText"/>
    <w:rsid w:val="00A17328"/>
    <w:pPr>
      <w:keepNext/>
      <w:keepLines/>
      <w:spacing w:before="360" w:after="80" w:line="280" w:lineRule="exact"/>
      <w:ind w:left="1474" w:hanging="1474"/>
    </w:pPr>
    <w:rPr>
      <w:rFonts w:ascii="Arial" w:hAnsi="Arial"/>
      <w:b/>
    </w:rPr>
  </w:style>
  <w:style w:type="paragraph" w:customStyle="1" w:styleId="BoxTitle">
    <w:name w:val="Box Title"/>
    <w:basedOn w:val="Caption"/>
    <w:next w:val="Normal"/>
    <w:rsid w:val="00A17328"/>
    <w:pPr>
      <w:spacing w:before="120" w:after="0"/>
      <w:ind w:left="1304" w:hanging="1304"/>
    </w:pPr>
  </w:style>
  <w:style w:type="paragraph" w:customStyle="1" w:styleId="BoxSubtitle">
    <w:name w:val="Box Subtitle"/>
    <w:basedOn w:val="BoxTitle"/>
    <w:next w:val="Normal"/>
    <w:rsid w:val="00A17328"/>
    <w:pPr>
      <w:spacing w:after="80" w:line="200" w:lineRule="exact"/>
      <w:ind w:firstLine="0"/>
    </w:pPr>
    <w:rPr>
      <w:b w:val="0"/>
      <w:sz w:val="20"/>
    </w:rPr>
  </w:style>
  <w:style w:type="paragraph" w:customStyle="1" w:styleId="Chapter">
    <w:name w:val="Chapter"/>
    <w:basedOn w:val="Heading1"/>
    <w:next w:val="BodyText"/>
    <w:semiHidden/>
    <w:rsid w:val="00A17328"/>
    <w:pPr>
      <w:ind w:left="0" w:firstLine="0"/>
      <w:outlineLvl w:val="9"/>
    </w:pPr>
  </w:style>
  <w:style w:type="paragraph" w:customStyle="1" w:styleId="ChapterSummary">
    <w:name w:val="Chapter Summary"/>
    <w:basedOn w:val="BodyText"/>
    <w:semiHidden/>
    <w:rsid w:val="00A17328"/>
    <w:pPr>
      <w:ind w:left="907"/>
    </w:pPr>
    <w:rPr>
      <w:rFonts w:ascii="Arial" w:hAnsi="Arial"/>
      <w:b/>
      <w:sz w:val="22"/>
    </w:rPr>
  </w:style>
  <w:style w:type="character" w:styleId="CommentReference">
    <w:name w:val="annotation reference"/>
    <w:basedOn w:val="DefaultParagraphFont"/>
    <w:semiHidden/>
    <w:rsid w:val="00A17328"/>
    <w:rPr>
      <w:b/>
      <w:vanish/>
      <w:color w:val="FF00FF"/>
      <w:sz w:val="20"/>
    </w:rPr>
  </w:style>
  <w:style w:type="paragraph" w:styleId="CommentText">
    <w:name w:val="annotation text"/>
    <w:basedOn w:val="Normal"/>
    <w:link w:val="CommentTextChar"/>
    <w:semiHidden/>
    <w:rsid w:val="00A17328"/>
    <w:pPr>
      <w:spacing w:before="120" w:line="240" w:lineRule="atLeast"/>
      <w:ind w:left="567" w:hanging="567"/>
    </w:pPr>
    <w:rPr>
      <w:sz w:val="20"/>
    </w:rPr>
  </w:style>
  <w:style w:type="paragraph" w:customStyle="1" w:styleId="Continued">
    <w:name w:val="Continued"/>
    <w:basedOn w:val="BoxContinued"/>
    <w:next w:val="BodyText"/>
    <w:rsid w:val="00A17328"/>
  </w:style>
  <w:style w:type="character" w:customStyle="1" w:styleId="DocumentInfo">
    <w:name w:val="Document Info"/>
    <w:basedOn w:val="DefaultParagraphFont"/>
    <w:semiHidden/>
    <w:rsid w:val="00A17328"/>
    <w:rPr>
      <w:rFonts w:ascii="Arial" w:hAnsi="Arial"/>
      <w:sz w:val="14"/>
    </w:rPr>
  </w:style>
  <w:style w:type="character" w:customStyle="1" w:styleId="DraftingNote">
    <w:name w:val="Drafting Note"/>
    <w:basedOn w:val="DefaultParagraphFont"/>
    <w:rsid w:val="00A17328"/>
    <w:rPr>
      <w:b/>
      <w:color w:val="FF0000"/>
      <w:sz w:val="24"/>
      <w:u w:val="dotted"/>
    </w:rPr>
  </w:style>
  <w:style w:type="paragraph" w:customStyle="1" w:styleId="Figure">
    <w:name w:val="Figure"/>
    <w:basedOn w:val="BodyText"/>
    <w:rsid w:val="00A17328"/>
    <w:pPr>
      <w:keepNext/>
      <w:spacing w:before="120" w:after="120" w:line="240" w:lineRule="atLeast"/>
      <w:jc w:val="center"/>
    </w:pPr>
  </w:style>
  <w:style w:type="paragraph" w:customStyle="1" w:styleId="FigureTitle">
    <w:name w:val="Figure Title"/>
    <w:basedOn w:val="Caption"/>
    <w:next w:val="Subtitle"/>
    <w:rsid w:val="00A17328"/>
  </w:style>
  <w:style w:type="paragraph" w:styleId="Subtitle">
    <w:name w:val="Subtitle"/>
    <w:basedOn w:val="Caption"/>
    <w:link w:val="SubtitleChar"/>
    <w:qFormat/>
    <w:rsid w:val="00A17328"/>
    <w:pPr>
      <w:spacing w:before="0" w:line="200" w:lineRule="exact"/>
      <w:ind w:firstLine="0"/>
    </w:pPr>
    <w:rPr>
      <w:b w:val="0"/>
      <w:sz w:val="20"/>
    </w:rPr>
  </w:style>
  <w:style w:type="paragraph" w:customStyle="1" w:styleId="Finding">
    <w:name w:val="Finding"/>
    <w:basedOn w:val="BodyText"/>
    <w:rsid w:val="001363AA"/>
    <w:pPr>
      <w:keepLines/>
      <w:spacing w:before="180"/>
    </w:pPr>
    <w:rPr>
      <w:i/>
    </w:rPr>
  </w:style>
  <w:style w:type="paragraph" w:customStyle="1" w:styleId="FindingBullet">
    <w:name w:val="Finding Bullet"/>
    <w:basedOn w:val="Finding"/>
    <w:rsid w:val="00AB0681"/>
    <w:pPr>
      <w:numPr>
        <w:numId w:val="3"/>
      </w:numPr>
      <w:spacing w:before="80"/>
    </w:pPr>
  </w:style>
  <w:style w:type="paragraph" w:customStyle="1" w:styleId="FindingNoTitle">
    <w:name w:val="Finding NoTitle"/>
    <w:basedOn w:val="Finding"/>
    <w:rsid w:val="00AB0681"/>
    <w:pPr>
      <w:spacing w:before="240"/>
    </w:pPr>
  </w:style>
  <w:style w:type="paragraph" w:customStyle="1" w:styleId="RecTitle">
    <w:name w:val="Rec Title"/>
    <w:basedOn w:val="BodyText"/>
    <w:next w:val="Normal"/>
    <w:rsid w:val="00A17328"/>
    <w:pPr>
      <w:keepNext/>
      <w:framePr w:hSpace="181" w:wrap="notBeside" w:vAnchor="text" w:hAnchor="text" w:xAlign="outside" w:y="1"/>
    </w:pPr>
    <w:rPr>
      <w:caps/>
      <w:sz w:val="16"/>
    </w:rPr>
  </w:style>
  <w:style w:type="paragraph" w:customStyle="1" w:styleId="FindingTitle">
    <w:name w:val="Finding Title"/>
    <w:basedOn w:val="RecTitle"/>
    <w:next w:val="Finding"/>
    <w:rsid w:val="00A17328"/>
    <w:pPr>
      <w:framePr w:wrap="notBeside"/>
    </w:pPr>
  </w:style>
  <w:style w:type="character" w:styleId="FootnoteReference">
    <w:name w:val="footnote reference"/>
    <w:basedOn w:val="DefaultParagraphFont"/>
    <w:semiHidden/>
    <w:rsid w:val="00A17328"/>
    <w:rPr>
      <w:rFonts w:ascii="Times New Roman" w:hAnsi="Times New Roman"/>
      <w:position w:val="6"/>
      <w:sz w:val="22"/>
      <w:vertAlign w:val="baseline"/>
    </w:rPr>
  </w:style>
  <w:style w:type="paragraph" w:styleId="FootnoteText">
    <w:name w:val="footnote text"/>
    <w:basedOn w:val="BodyText"/>
    <w:link w:val="FootnoteTextChar"/>
    <w:rsid w:val="00DC0C95"/>
    <w:pPr>
      <w:tabs>
        <w:tab w:val="left" w:pos="284"/>
      </w:tabs>
      <w:spacing w:before="80" w:line="260" w:lineRule="exact"/>
      <w:ind w:left="284" w:hanging="284"/>
    </w:pPr>
    <w:rPr>
      <w:sz w:val="22"/>
    </w:rPr>
  </w:style>
  <w:style w:type="paragraph" w:customStyle="1" w:styleId="InformationRequest">
    <w:name w:val="Information Request"/>
    <w:basedOn w:val="Finding"/>
    <w:next w:val="BodyText"/>
    <w:rsid w:val="00A17328"/>
    <w:pPr>
      <w:spacing w:before="360" w:after="120"/>
    </w:pPr>
    <w:rPr>
      <w:rFonts w:ascii="Arial" w:hAnsi="Arial"/>
      <w:sz w:val="24"/>
    </w:rPr>
  </w:style>
  <w:style w:type="paragraph" w:customStyle="1" w:styleId="Jurisdictioncommentsbodytext">
    <w:name w:val="Jurisdiction comments body text"/>
    <w:rsid w:val="00A17328"/>
    <w:pPr>
      <w:spacing w:after="140"/>
      <w:jc w:val="both"/>
    </w:pPr>
    <w:rPr>
      <w:rFonts w:ascii="Arial" w:hAnsi="Arial"/>
      <w:sz w:val="24"/>
      <w:lang w:eastAsia="en-US"/>
    </w:rPr>
  </w:style>
  <w:style w:type="paragraph" w:customStyle="1" w:styleId="Jurisdictioncommentsheading">
    <w:name w:val="Jurisdiction comments heading"/>
    <w:rsid w:val="00A17328"/>
    <w:pPr>
      <w:spacing w:after="140" w:line="320" w:lineRule="atLeast"/>
      <w:jc w:val="both"/>
    </w:pPr>
    <w:rPr>
      <w:rFonts w:ascii="Arial" w:hAnsi="Arial"/>
      <w:b/>
      <w:sz w:val="24"/>
      <w:lang w:eastAsia="en-US"/>
    </w:rPr>
  </w:style>
  <w:style w:type="paragraph" w:customStyle="1" w:styleId="Jurisdictioncommentslistbullet">
    <w:name w:val="Jurisdiction comments list bullet"/>
    <w:rsid w:val="00A17328"/>
    <w:pPr>
      <w:numPr>
        <w:numId w:val="4"/>
      </w:numPr>
      <w:spacing w:after="140"/>
      <w:jc w:val="both"/>
    </w:pPr>
    <w:rPr>
      <w:rFonts w:ascii="Arial" w:hAnsi="Arial"/>
      <w:sz w:val="24"/>
      <w:lang w:eastAsia="en-US"/>
    </w:rPr>
  </w:style>
  <w:style w:type="paragraph" w:styleId="ListBullet">
    <w:name w:val="List Bullet"/>
    <w:basedOn w:val="BodyText"/>
    <w:rsid w:val="00DB67C9"/>
    <w:pPr>
      <w:numPr>
        <w:numId w:val="6"/>
      </w:numPr>
      <w:spacing w:before="120"/>
    </w:pPr>
  </w:style>
  <w:style w:type="paragraph" w:styleId="ListBullet2">
    <w:name w:val="List Bullet 2"/>
    <w:basedOn w:val="BodyText"/>
    <w:rsid w:val="00DB67C9"/>
    <w:pPr>
      <w:numPr>
        <w:numId w:val="8"/>
      </w:numPr>
      <w:spacing w:before="120"/>
    </w:pPr>
  </w:style>
  <w:style w:type="paragraph" w:styleId="ListBullet3">
    <w:name w:val="List Bullet 3"/>
    <w:basedOn w:val="BodyText"/>
    <w:rsid w:val="00DB67C9"/>
    <w:pPr>
      <w:numPr>
        <w:numId w:val="10"/>
      </w:numPr>
      <w:spacing w:before="120"/>
    </w:pPr>
  </w:style>
  <w:style w:type="paragraph" w:styleId="ListNumber">
    <w:name w:val="List Number"/>
    <w:basedOn w:val="BodyText"/>
    <w:rsid w:val="00864ADC"/>
    <w:pPr>
      <w:numPr>
        <w:numId w:val="32"/>
      </w:numPr>
      <w:spacing w:before="120"/>
    </w:pPr>
  </w:style>
  <w:style w:type="paragraph" w:styleId="ListNumber2">
    <w:name w:val="List Number 2"/>
    <w:basedOn w:val="ListNumber"/>
    <w:rsid w:val="00864ADC"/>
    <w:pPr>
      <w:numPr>
        <w:ilvl w:val="1"/>
      </w:numPr>
    </w:pPr>
  </w:style>
  <w:style w:type="paragraph" w:styleId="ListNumber3">
    <w:name w:val="List Number 3"/>
    <w:basedOn w:val="ListNumber2"/>
    <w:rsid w:val="00864ADC"/>
    <w:pPr>
      <w:numPr>
        <w:ilvl w:val="2"/>
      </w:numPr>
    </w:pPr>
  </w:style>
  <w:style w:type="character" w:customStyle="1" w:styleId="NoteLabel">
    <w:name w:val="Note Label"/>
    <w:basedOn w:val="DefaultParagraphFont"/>
    <w:rsid w:val="00A17328"/>
    <w:rPr>
      <w:rFonts w:ascii="Arial" w:hAnsi="Arial"/>
      <w:b/>
      <w:position w:val="6"/>
      <w:sz w:val="18"/>
    </w:rPr>
  </w:style>
  <w:style w:type="paragraph" w:customStyle="1" w:styleId="PartDivider">
    <w:name w:val="Part Divider"/>
    <w:basedOn w:val="BodyText"/>
    <w:next w:val="BodyText"/>
    <w:semiHidden/>
    <w:rsid w:val="00A17328"/>
    <w:pPr>
      <w:spacing w:before="0" w:line="40" w:lineRule="exact"/>
      <w:jc w:val="right"/>
    </w:pPr>
    <w:rPr>
      <w:smallCaps/>
      <w:sz w:val="16"/>
    </w:rPr>
  </w:style>
  <w:style w:type="paragraph" w:customStyle="1" w:styleId="PartNumber">
    <w:name w:val="Part Number"/>
    <w:basedOn w:val="BodyText"/>
    <w:next w:val="BodyText"/>
    <w:semiHidden/>
    <w:rsid w:val="00A17328"/>
    <w:pPr>
      <w:spacing w:before="4000" w:line="320" w:lineRule="exact"/>
      <w:ind w:left="6634"/>
      <w:jc w:val="right"/>
    </w:pPr>
    <w:rPr>
      <w:smallCaps/>
      <w:spacing w:val="60"/>
      <w:sz w:val="32"/>
    </w:rPr>
  </w:style>
  <w:style w:type="paragraph" w:customStyle="1" w:styleId="PartTitle">
    <w:name w:val="Part Title"/>
    <w:basedOn w:val="BodyText"/>
    <w:semiHidden/>
    <w:rsid w:val="00A17328"/>
    <w:pPr>
      <w:spacing w:before="160" w:after="1360" w:line="520" w:lineRule="exact"/>
      <w:ind w:right="2381"/>
      <w:jc w:val="right"/>
    </w:pPr>
    <w:rPr>
      <w:smallCaps/>
      <w:sz w:val="52"/>
    </w:rPr>
  </w:style>
  <w:style w:type="paragraph" w:styleId="Quote">
    <w:name w:val="Quote"/>
    <w:basedOn w:val="BodyText"/>
    <w:next w:val="BodyText"/>
    <w:link w:val="QuoteChar"/>
    <w:qFormat/>
    <w:rsid w:val="00A17328"/>
    <w:pPr>
      <w:spacing w:before="120" w:line="280" w:lineRule="exact"/>
      <w:ind w:left="340"/>
    </w:pPr>
    <w:rPr>
      <w:sz w:val="24"/>
    </w:rPr>
  </w:style>
  <w:style w:type="paragraph" w:customStyle="1" w:styleId="QuoteBullet">
    <w:name w:val="Quote Bullet"/>
    <w:basedOn w:val="Quote"/>
    <w:rsid w:val="00323E09"/>
    <w:pPr>
      <w:numPr>
        <w:numId w:val="14"/>
      </w:numPr>
    </w:pPr>
  </w:style>
  <w:style w:type="paragraph" w:customStyle="1" w:styleId="Rec">
    <w:name w:val="Rec"/>
    <w:basedOn w:val="BodyText"/>
    <w:rsid w:val="001363AA"/>
    <w:pPr>
      <w:keepLines/>
      <w:spacing w:before="180"/>
    </w:pPr>
    <w:rPr>
      <w:b/>
      <w:i/>
    </w:rPr>
  </w:style>
  <w:style w:type="paragraph" w:customStyle="1" w:styleId="RecBullet">
    <w:name w:val="Rec Bullet"/>
    <w:basedOn w:val="Rec"/>
    <w:rsid w:val="00323E09"/>
    <w:pPr>
      <w:numPr>
        <w:numId w:val="15"/>
      </w:numPr>
      <w:spacing w:before="80"/>
    </w:pPr>
  </w:style>
  <w:style w:type="paragraph" w:customStyle="1" w:styleId="RecB">
    <w:name w:val="RecB"/>
    <w:basedOn w:val="Normal"/>
    <w:rsid w:val="00F85325"/>
    <w:pPr>
      <w:keepLines/>
      <w:pBdr>
        <w:left w:val="single" w:sz="24" w:space="12" w:color="C0C0C0"/>
      </w:pBdr>
      <w:spacing w:before="180" w:line="320" w:lineRule="atLeast"/>
      <w:jc w:val="both"/>
    </w:pPr>
    <w:rPr>
      <w:b/>
      <w:i/>
      <w:szCs w:val="20"/>
    </w:rPr>
  </w:style>
  <w:style w:type="paragraph" w:customStyle="1" w:styleId="RecBBullet">
    <w:name w:val="RecB Bullet"/>
    <w:basedOn w:val="RecB"/>
    <w:rsid w:val="00F85325"/>
    <w:pPr>
      <w:numPr>
        <w:numId w:val="40"/>
      </w:numPr>
      <w:spacing w:before="80"/>
    </w:pPr>
  </w:style>
  <w:style w:type="paragraph" w:customStyle="1" w:styleId="RecBNoTitle">
    <w:name w:val="RecB NoTitle"/>
    <w:basedOn w:val="RecB"/>
    <w:rsid w:val="00F85325"/>
    <w:pPr>
      <w:spacing w:before="240"/>
    </w:pPr>
  </w:style>
  <w:style w:type="paragraph" w:customStyle="1" w:styleId="Reference">
    <w:name w:val="Reference"/>
    <w:basedOn w:val="BodyText"/>
    <w:rsid w:val="00A17328"/>
    <w:pPr>
      <w:spacing w:before="120"/>
      <w:ind w:left="340" w:hanging="340"/>
    </w:pPr>
  </w:style>
  <w:style w:type="paragraph" w:customStyle="1" w:styleId="SequenceInfo">
    <w:name w:val="Sequence Info"/>
    <w:basedOn w:val="BodyText"/>
    <w:semiHidden/>
    <w:rsid w:val="00A17328"/>
    <w:rPr>
      <w:vanish/>
      <w:sz w:val="16"/>
    </w:rPr>
  </w:style>
  <w:style w:type="paragraph" w:customStyle="1" w:styleId="SideNote">
    <w:name w:val="Side Note"/>
    <w:basedOn w:val="BodyText"/>
    <w:next w:val="BodyText"/>
    <w:semiHidden/>
    <w:rsid w:val="00A17328"/>
    <w:pPr>
      <w:keepNext/>
      <w:keepLines/>
      <w:framePr w:w="2155" w:hSpace="227" w:vSpace="181" w:wrap="around" w:vAnchor="text" w:hAnchor="page" w:xAlign="outside" w:y="1"/>
      <w:jc w:val="left"/>
    </w:pPr>
    <w:rPr>
      <w:i/>
      <w:sz w:val="24"/>
    </w:rPr>
  </w:style>
  <w:style w:type="paragraph" w:customStyle="1" w:styleId="SideNoteBullet">
    <w:name w:val="Side Note Bullet"/>
    <w:basedOn w:val="SideNote"/>
    <w:next w:val="BodyText"/>
    <w:semiHidden/>
    <w:rsid w:val="00A17328"/>
    <w:pPr>
      <w:framePr w:wrap="around"/>
      <w:numPr>
        <w:numId w:val="17"/>
      </w:numPr>
      <w:tabs>
        <w:tab w:val="left" w:pos="227"/>
      </w:tabs>
    </w:pPr>
  </w:style>
  <w:style w:type="paragraph" w:customStyle="1" w:styleId="SideNoteGraphic">
    <w:name w:val="Side Note Graphic"/>
    <w:basedOn w:val="SideNote"/>
    <w:next w:val="BodyText"/>
    <w:semiHidden/>
    <w:rsid w:val="00A17328"/>
    <w:pPr>
      <w:framePr w:wrap="around"/>
    </w:pPr>
  </w:style>
  <w:style w:type="paragraph" w:customStyle="1" w:styleId="TableBodyText">
    <w:name w:val="Table Body Text"/>
    <w:basedOn w:val="BodyText"/>
    <w:rsid w:val="00A17328"/>
    <w:pPr>
      <w:keepNext/>
      <w:keepLines/>
      <w:spacing w:before="0" w:after="40" w:line="220" w:lineRule="atLeast"/>
      <w:ind w:left="6" w:right="113"/>
      <w:jc w:val="right"/>
    </w:pPr>
    <w:rPr>
      <w:rFonts w:ascii="Arial" w:hAnsi="Arial"/>
      <w:sz w:val="20"/>
    </w:rPr>
  </w:style>
  <w:style w:type="paragraph" w:customStyle="1" w:styleId="TableBullet">
    <w:name w:val="Table Bullet"/>
    <w:basedOn w:val="TableBodyText"/>
    <w:rsid w:val="00323E09"/>
    <w:pPr>
      <w:numPr>
        <w:numId w:val="18"/>
      </w:numPr>
      <w:jc w:val="left"/>
    </w:pPr>
  </w:style>
  <w:style w:type="paragraph" w:customStyle="1" w:styleId="TableColumnHeading">
    <w:name w:val="Table Column Heading"/>
    <w:basedOn w:val="TableBodyText"/>
    <w:rsid w:val="00A17328"/>
    <w:pPr>
      <w:spacing w:before="80" w:after="80"/>
    </w:pPr>
    <w:rPr>
      <w:i/>
    </w:rPr>
  </w:style>
  <w:style w:type="paragraph" w:styleId="TOC2">
    <w:name w:val="toc 2"/>
    <w:basedOn w:val="BodyText"/>
    <w:semiHidden/>
    <w:rsid w:val="00A17328"/>
    <w:pPr>
      <w:tabs>
        <w:tab w:val="right" w:pos="8789"/>
      </w:tabs>
      <w:ind w:left="510" w:right="851" w:hanging="510"/>
      <w:jc w:val="left"/>
    </w:pPr>
    <w:rPr>
      <w:b/>
    </w:rPr>
  </w:style>
  <w:style w:type="paragraph" w:styleId="TOC3">
    <w:name w:val="toc 3"/>
    <w:basedOn w:val="TOC2"/>
    <w:semiHidden/>
    <w:rsid w:val="00A17328"/>
    <w:pPr>
      <w:spacing w:before="60"/>
      <w:ind w:left="1190" w:hanging="680"/>
    </w:pPr>
    <w:rPr>
      <w:b w:val="0"/>
    </w:rPr>
  </w:style>
  <w:style w:type="paragraph" w:styleId="TableofFigures">
    <w:name w:val="table of figures"/>
    <w:basedOn w:val="TOC3"/>
    <w:next w:val="BodyText"/>
    <w:semiHidden/>
    <w:rsid w:val="00A17328"/>
    <w:pPr>
      <w:ind w:left="737" w:hanging="737"/>
    </w:pPr>
  </w:style>
  <w:style w:type="paragraph" w:customStyle="1" w:styleId="TableTitle">
    <w:name w:val="Table Title"/>
    <w:basedOn w:val="Caption"/>
    <w:next w:val="Subtitle"/>
    <w:rsid w:val="00A17328"/>
  </w:style>
  <w:style w:type="paragraph" w:customStyle="1" w:styleId="TableUnitsRow">
    <w:name w:val="Table Units Row"/>
    <w:basedOn w:val="TableBodyText"/>
    <w:rsid w:val="00A17328"/>
    <w:pPr>
      <w:spacing w:before="80" w:after="80"/>
    </w:pPr>
  </w:style>
  <w:style w:type="paragraph" w:styleId="TOC1">
    <w:name w:val="toc 1"/>
    <w:basedOn w:val="Normal"/>
    <w:next w:val="TOC2"/>
    <w:rsid w:val="00A17328"/>
    <w:pPr>
      <w:tabs>
        <w:tab w:val="right" w:pos="8789"/>
      </w:tabs>
      <w:spacing w:before="480" w:after="60" w:line="320" w:lineRule="exact"/>
      <w:ind w:left="1191" w:right="851" w:hanging="1191"/>
    </w:pPr>
    <w:rPr>
      <w:b/>
      <w:caps/>
    </w:rPr>
  </w:style>
  <w:style w:type="paragraph" w:styleId="TOC4">
    <w:name w:val="toc 4"/>
    <w:basedOn w:val="TOC3"/>
    <w:semiHidden/>
    <w:rsid w:val="00A17328"/>
    <w:pPr>
      <w:ind w:left="1191" w:firstLine="0"/>
    </w:pPr>
  </w:style>
  <w:style w:type="paragraph" w:customStyle="1" w:styleId="RecBBullet2">
    <w:name w:val="RecB Bullet 2"/>
    <w:basedOn w:val="ListBullet2"/>
    <w:rsid w:val="006B2B3C"/>
    <w:pPr>
      <w:pBdr>
        <w:left w:val="single" w:sz="24" w:space="29" w:color="C0C0C0"/>
      </w:pBdr>
    </w:pPr>
    <w:rPr>
      <w:b/>
      <w:i/>
    </w:rPr>
  </w:style>
  <w:style w:type="paragraph" w:styleId="BalloonText">
    <w:name w:val="Balloon Text"/>
    <w:basedOn w:val="Normal"/>
    <w:link w:val="BalloonTextChar"/>
    <w:rsid w:val="006B2B3C"/>
    <w:rPr>
      <w:rFonts w:ascii="Tahoma" w:hAnsi="Tahoma" w:cs="Tahoma"/>
      <w:sz w:val="16"/>
      <w:szCs w:val="16"/>
    </w:rPr>
  </w:style>
  <w:style w:type="character" w:customStyle="1" w:styleId="BalloonTextChar">
    <w:name w:val="Balloon Text Char"/>
    <w:basedOn w:val="DefaultParagraphFont"/>
    <w:link w:val="BalloonText"/>
    <w:rsid w:val="006B2B3C"/>
    <w:rPr>
      <w:rFonts w:ascii="Tahoma" w:hAnsi="Tahoma" w:cs="Tahoma"/>
      <w:sz w:val="16"/>
      <w:szCs w:val="16"/>
    </w:rPr>
  </w:style>
  <w:style w:type="character" w:customStyle="1" w:styleId="SubtitleChar">
    <w:name w:val="Subtitle Char"/>
    <w:basedOn w:val="DefaultParagraphFont"/>
    <w:link w:val="Subtitle"/>
    <w:rsid w:val="00F10476"/>
    <w:rPr>
      <w:rFonts w:ascii="Arial" w:hAnsi="Arial"/>
      <w:szCs w:val="24"/>
    </w:rPr>
  </w:style>
  <w:style w:type="paragraph" w:customStyle="1" w:styleId="BoxListBullet3">
    <w:name w:val="Box List Bullet 3"/>
    <w:basedOn w:val="ListBullet3"/>
    <w:rsid w:val="003565D9"/>
    <w:pPr>
      <w:spacing w:before="60" w:line="280" w:lineRule="atLeast"/>
      <w:ind w:left="907" w:hanging="340"/>
    </w:pPr>
    <w:rPr>
      <w:rFonts w:ascii="Arial" w:hAnsi="Arial"/>
      <w:sz w:val="22"/>
    </w:rPr>
  </w:style>
  <w:style w:type="character" w:styleId="Emphasis">
    <w:name w:val="Emphasis"/>
    <w:basedOn w:val="DefaultParagraphFont"/>
    <w:uiPriority w:val="20"/>
    <w:qFormat/>
    <w:rsid w:val="00DA5BBA"/>
    <w:rPr>
      <w:i/>
      <w:iCs/>
    </w:rPr>
  </w:style>
  <w:style w:type="character" w:customStyle="1" w:styleId="BodyTextChar">
    <w:name w:val="Body Text Char"/>
    <w:link w:val="BodyText"/>
    <w:rsid w:val="000F36A9"/>
    <w:rPr>
      <w:sz w:val="26"/>
    </w:rPr>
  </w:style>
  <w:style w:type="character" w:customStyle="1" w:styleId="FootnoteTextChar">
    <w:name w:val="Footnote Text Char"/>
    <w:link w:val="FootnoteText"/>
    <w:rsid w:val="002F6F33"/>
    <w:rPr>
      <w:sz w:val="22"/>
    </w:rPr>
  </w:style>
  <w:style w:type="character" w:customStyle="1" w:styleId="QuoteChar">
    <w:name w:val="Quote Char"/>
    <w:link w:val="Quote"/>
    <w:rsid w:val="00B97069"/>
    <w:rPr>
      <w:sz w:val="24"/>
    </w:rPr>
  </w:style>
  <w:style w:type="character" w:customStyle="1" w:styleId="FooterChar">
    <w:name w:val="Footer Char"/>
    <w:link w:val="Footer"/>
    <w:semiHidden/>
    <w:rsid w:val="00040C48"/>
    <w:rPr>
      <w:caps/>
      <w:spacing w:val="-4"/>
      <w:sz w:val="16"/>
    </w:rPr>
  </w:style>
  <w:style w:type="character" w:customStyle="1" w:styleId="Heading3Char">
    <w:name w:val="Heading 3 Char"/>
    <w:basedOn w:val="DefaultParagraphFont"/>
    <w:link w:val="Heading3"/>
    <w:rsid w:val="00B703D5"/>
    <w:rPr>
      <w:rFonts w:ascii="Arial" w:hAnsi="Arial"/>
      <w:b/>
      <w:sz w:val="26"/>
    </w:rPr>
  </w:style>
  <w:style w:type="paragraph" w:styleId="ListParagraph">
    <w:name w:val="List Paragraph"/>
    <w:basedOn w:val="Normal"/>
    <w:uiPriority w:val="34"/>
    <w:rsid w:val="008D58C6"/>
    <w:pPr>
      <w:ind w:left="720"/>
      <w:contextualSpacing/>
    </w:pPr>
  </w:style>
  <w:style w:type="paragraph" w:styleId="CommentSubject">
    <w:name w:val="annotation subject"/>
    <w:basedOn w:val="CommentText"/>
    <w:next w:val="CommentText"/>
    <w:link w:val="CommentSubjectChar"/>
    <w:rsid w:val="00E31BC4"/>
    <w:pPr>
      <w:spacing w:before="0" w:line="240" w:lineRule="auto"/>
      <w:ind w:left="0" w:firstLine="0"/>
    </w:pPr>
    <w:rPr>
      <w:b/>
      <w:bCs/>
      <w:szCs w:val="20"/>
    </w:rPr>
  </w:style>
  <w:style w:type="character" w:customStyle="1" w:styleId="CommentTextChar">
    <w:name w:val="Comment Text Char"/>
    <w:basedOn w:val="DefaultParagraphFont"/>
    <w:link w:val="CommentText"/>
    <w:semiHidden/>
    <w:rsid w:val="00E31BC4"/>
    <w:rPr>
      <w:szCs w:val="24"/>
    </w:rPr>
  </w:style>
  <w:style w:type="character" w:customStyle="1" w:styleId="CommentSubjectChar">
    <w:name w:val="Comment Subject Char"/>
    <w:basedOn w:val="CommentTextChar"/>
    <w:link w:val="CommentSubject"/>
    <w:rsid w:val="00E31BC4"/>
    <w:rPr>
      <w:b/>
      <w:bCs/>
      <w:szCs w:val="24"/>
    </w:rPr>
  </w:style>
  <w:style w:type="paragraph" w:styleId="Revision">
    <w:name w:val="Revision"/>
    <w:hidden/>
    <w:uiPriority w:val="99"/>
    <w:semiHidden/>
    <w:rsid w:val="00E31BC4"/>
    <w:rPr>
      <w:sz w:val="26"/>
      <w:szCs w:val="24"/>
    </w:rPr>
  </w:style>
  <w:style w:type="character" w:styleId="Hyperlink">
    <w:name w:val="Hyperlink"/>
    <w:basedOn w:val="DefaultParagraphFont"/>
    <w:unhideWhenUsed/>
    <w:rsid w:val="005D01E7"/>
    <w:rPr>
      <w:rFonts w:ascii="Times New Roman" w:hAnsi="Times New Roman" w:cs="Times New Roman" w:hint="default"/>
      <w:color w:val="000000"/>
      <w:u w:val="single"/>
    </w:rPr>
  </w:style>
  <w:style w:type="paragraph" w:customStyle="1" w:styleId="Heading1NotTOC">
    <w:name w:val="Heading 1 Not TOC"/>
    <w:basedOn w:val="Heading1"/>
    <w:next w:val="BodyText"/>
    <w:rsid w:val="000B2235"/>
    <w:rPr>
      <w:kern w:val="28"/>
      <w:szCs w:val="26"/>
      <w:lang w:eastAsia="en-US"/>
    </w:rPr>
  </w:style>
  <w:style w:type="paragraph" w:customStyle="1" w:styleId="PCBoxHeading">
    <w:name w:val="PC Box Heading"/>
    <w:basedOn w:val="BodyText"/>
    <w:link w:val="PCBoxHeadingChar"/>
    <w:qFormat/>
    <w:rsid w:val="000B2235"/>
    <w:pPr>
      <w:pBdr>
        <w:top w:val="single" w:sz="4" w:space="5" w:color="auto"/>
        <w:left w:val="single" w:sz="4" w:space="8" w:color="auto"/>
        <w:bottom w:val="single" w:sz="4" w:space="14" w:color="auto"/>
        <w:right w:val="single" w:sz="4" w:space="8" w:color="auto"/>
      </w:pBdr>
      <w:spacing w:before="120" w:line="240" w:lineRule="auto"/>
      <w:ind w:left="284" w:right="284"/>
    </w:pPr>
    <w:rPr>
      <w:b/>
      <w:i/>
      <w:sz w:val="24"/>
      <w:szCs w:val="24"/>
      <w:lang w:eastAsia="en-US"/>
    </w:rPr>
  </w:style>
  <w:style w:type="paragraph" w:customStyle="1" w:styleId="PCBoxtext">
    <w:name w:val="PC Box text"/>
    <w:basedOn w:val="BodyText"/>
    <w:link w:val="PCBoxtextChar"/>
    <w:rsid w:val="000B2235"/>
    <w:pPr>
      <w:pBdr>
        <w:top w:val="single" w:sz="4" w:space="5" w:color="auto"/>
        <w:left w:val="single" w:sz="4" w:space="8" w:color="auto"/>
        <w:bottom w:val="single" w:sz="4" w:space="14" w:color="auto"/>
        <w:right w:val="single" w:sz="4" w:space="8" w:color="auto"/>
      </w:pBdr>
      <w:spacing w:before="160" w:line="240" w:lineRule="auto"/>
      <w:ind w:left="284" w:right="284"/>
    </w:pPr>
    <w:rPr>
      <w:sz w:val="24"/>
      <w:szCs w:val="24"/>
      <w:lang w:eastAsia="en-US"/>
    </w:rPr>
  </w:style>
  <w:style w:type="character" w:customStyle="1" w:styleId="PCBoxHeadingChar">
    <w:name w:val="PC Box Heading Char"/>
    <w:basedOn w:val="BodyTextChar"/>
    <w:link w:val="PCBoxHeading"/>
    <w:rsid w:val="000B2235"/>
    <w:rPr>
      <w:b/>
      <w:i/>
      <w:sz w:val="24"/>
      <w:szCs w:val="24"/>
      <w:lang w:eastAsia="en-US"/>
    </w:rPr>
  </w:style>
  <w:style w:type="character" w:customStyle="1" w:styleId="PCBoxtextChar">
    <w:name w:val="PC Box text Char"/>
    <w:basedOn w:val="BodyTextChar"/>
    <w:link w:val="PCBoxtext"/>
    <w:rsid w:val="000B2235"/>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1052435">
      <w:bodyDiv w:val="1"/>
      <w:marLeft w:val="0"/>
      <w:marRight w:val="0"/>
      <w:marTop w:val="0"/>
      <w:marBottom w:val="0"/>
      <w:divBdr>
        <w:top w:val="none" w:sz="0" w:space="0" w:color="auto"/>
        <w:left w:val="none" w:sz="0" w:space="0" w:color="auto"/>
        <w:bottom w:val="none" w:sz="0" w:space="0" w:color="auto"/>
        <w:right w:val="none" w:sz="0" w:space="0" w:color="auto"/>
      </w:divBdr>
    </w:div>
    <w:div w:id="1606769561">
      <w:bodyDiv w:val="1"/>
      <w:marLeft w:val="0"/>
      <w:marRight w:val="0"/>
      <w:marTop w:val="0"/>
      <w:marBottom w:val="0"/>
      <w:divBdr>
        <w:top w:val="none" w:sz="0" w:space="0" w:color="auto"/>
        <w:left w:val="none" w:sz="0" w:space="0" w:color="auto"/>
        <w:bottom w:val="none" w:sz="0" w:space="0" w:color="auto"/>
        <w:right w:val="none" w:sz="0" w:space="0" w:color="auto"/>
      </w:divBdr>
    </w:div>
    <w:div w:id="19017493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G:\office\template2010\chapte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8365D07-44FA-4125-B27B-00BE13AC2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chapter.dotm</Template>
  <TotalTime>0</TotalTime>
  <Pages>25</Pages>
  <Words>8569</Words>
  <Characters>50221</Characters>
  <Application>Microsoft Office Word</Application>
  <DocSecurity>0</DocSecurity>
  <Lines>418</Lines>
  <Paragraphs>117</Paragraphs>
  <ScaleCrop>false</ScaleCrop>
  <HeadingPairs>
    <vt:vector size="2" baseType="variant">
      <vt:variant>
        <vt:lpstr>Title</vt:lpstr>
      </vt:variant>
      <vt:variant>
        <vt:i4>1</vt:i4>
      </vt:variant>
    </vt:vector>
  </HeadingPairs>
  <TitlesOfParts>
    <vt:vector size="1" baseType="lpstr">
      <vt:lpstr>On Sustainability: an economic approach</vt:lpstr>
    </vt:vector>
  </TitlesOfParts>
  <Company>Productivity Commission</Company>
  <LinksUpToDate>false</LinksUpToDate>
  <CharactersWithSpaces>58673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 Sustainability: an economic approach</dc:title>
  <dc:creator>Productivity Commission</dc:creator>
  <dc:description>1.</dc:description>
  <cp:lastModifiedBy>Productivity Commission</cp:lastModifiedBy>
  <cp:revision>2</cp:revision>
  <cp:lastPrinted>2013-05-06T00:42:00Z</cp:lastPrinted>
  <dcterms:created xsi:type="dcterms:W3CDTF">2013-05-08T22:43:00Z</dcterms:created>
  <dcterms:modified xsi:type="dcterms:W3CDTF">2013-05-08T22:43:00Z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713754375</vt:i4>
  </property>
  <property fmtid="{D5CDD505-2E9C-101B-9397-08002B2CF9AE}" pid="3" name="_NewReviewCycle">
    <vt:lpwstr/>
  </property>
  <property fmtid="{D5CDD505-2E9C-101B-9397-08002B2CF9AE}" pid="4" name="_EmailSubject">
    <vt:lpwstr>web files - Sustainability SRN</vt:lpwstr>
  </property>
  <property fmtid="{D5CDD505-2E9C-101B-9397-08002B2CF9AE}" pid="5" name="_AuthorEmail">
    <vt:lpwstr>Louise.Jordan@pc.gov.au</vt:lpwstr>
  </property>
  <property fmtid="{D5CDD505-2E9C-101B-9397-08002B2CF9AE}" pid="6" name="_AuthorEmailDisplayName">
    <vt:lpwstr>Jordan, Louise</vt:lpwstr>
  </property>
  <property fmtid="{D5CDD505-2E9C-101B-9397-08002B2CF9AE}" pid="7" name="_ReviewingToolsShownOnce">
    <vt:lpwstr/>
  </property>
</Properties>
</file>