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5A5403" w:rsidP="005A5403">
      <w:pPr>
        <w:pStyle w:val="Heading1"/>
        <w:spacing w:before="0"/>
      </w:pPr>
      <w:bookmarkStart w:id="0" w:name="ChapterNumber"/>
      <w:bookmarkStart w:id="1" w:name="_GoBack"/>
      <w:bookmarkEnd w:id="1"/>
      <w:r>
        <w:t>1</w:t>
      </w:r>
      <w:bookmarkEnd w:id="0"/>
      <w:r>
        <w:tab/>
      </w:r>
      <w:bookmarkStart w:id="2" w:name="ChapterTitle"/>
      <w:r>
        <w:t>Introduction</w:t>
      </w:r>
      <w:bookmarkEnd w:id="2"/>
    </w:p>
    <w:p w:rsidR="006A3FDE" w:rsidRDefault="006A3FDE" w:rsidP="006A3FDE">
      <w:pPr>
        <w:pStyle w:val="BodyText"/>
      </w:pPr>
      <w:bookmarkStart w:id="3" w:name="begin"/>
      <w:bookmarkEnd w:id="3"/>
      <w:r>
        <w:t xml:space="preserve">The Australian labour market is adjusting constantly to </w:t>
      </w:r>
      <w:r w:rsidR="00365C59">
        <w:t>changes in</w:t>
      </w:r>
      <w:r>
        <w:t xml:space="preserve"> labour demand and supply</w:t>
      </w:r>
      <w:r w:rsidR="007E0BC4">
        <w:t xml:space="preserve">. The </w:t>
      </w:r>
      <w:r w:rsidR="00365C59">
        <w:t xml:space="preserve">incentives </w:t>
      </w:r>
      <w:r w:rsidR="00EC58DF">
        <w:t>to participate in the labour force</w:t>
      </w:r>
      <w:r w:rsidR="008219A2">
        <w:t>,</w:t>
      </w:r>
      <w:r w:rsidR="00EC58DF">
        <w:t xml:space="preserve"> </w:t>
      </w:r>
      <w:r w:rsidR="00E91872">
        <w:t>and to study</w:t>
      </w:r>
      <w:r w:rsidR="008219A2">
        <w:t>,</w:t>
      </w:r>
      <w:r w:rsidR="007E0BC4">
        <w:t xml:space="preserve"> change with varying economic </w:t>
      </w:r>
      <w:r w:rsidR="00C75D76">
        <w:t>circumstances</w:t>
      </w:r>
      <w:r w:rsidR="00CF4A5A">
        <w:t xml:space="preserve"> </w:t>
      </w:r>
      <w:r w:rsidR="007E0BC4">
        <w:t xml:space="preserve">and life cycle factors. </w:t>
      </w:r>
      <w:r w:rsidR="008219A2">
        <w:t>As circumstances change, s</w:t>
      </w:r>
      <w:r>
        <w:t>ome</w:t>
      </w:r>
      <w:r w:rsidR="000921E9">
        <w:t xml:space="preserve"> workers</w:t>
      </w:r>
      <w:r>
        <w:t xml:space="preserve"> expand </w:t>
      </w:r>
      <w:r w:rsidR="008219A2">
        <w:t>(</w:t>
      </w:r>
      <w:r>
        <w:t>or contract</w:t>
      </w:r>
      <w:r w:rsidR="008219A2">
        <w:t>)</w:t>
      </w:r>
      <w:r>
        <w:t xml:space="preserve"> </w:t>
      </w:r>
      <w:r w:rsidR="008219A2">
        <w:t xml:space="preserve">their </w:t>
      </w:r>
      <w:r>
        <w:t xml:space="preserve">hours </w:t>
      </w:r>
      <w:r w:rsidR="000921E9">
        <w:t>of work</w:t>
      </w:r>
      <w:r w:rsidR="008219A2">
        <w:t>,</w:t>
      </w:r>
      <w:r w:rsidR="000921E9">
        <w:t xml:space="preserve"> </w:t>
      </w:r>
      <w:r>
        <w:t>other</w:t>
      </w:r>
      <w:r w:rsidR="008219A2">
        <w:t xml:space="preserve"> worker</w:t>
      </w:r>
      <w:r>
        <w:t xml:space="preserve">s change jobs, while others </w:t>
      </w:r>
      <w:r w:rsidR="008219A2">
        <w:t>cease work</w:t>
      </w:r>
      <w:r>
        <w:t xml:space="preserve"> for various lengths of time. </w:t>
      </w:r>
      <w:r w:rsidR="00365C59">
        <w:t>Some</w:t>
      </w:r>
      <w:r>
        <w:t xml:space="preserve"> search for </w:t>
      </w:r>
      <w:r w:rsidR="00365C59">
        <w:t xml:space="preserve">a </w:t>
      </w:r>
      <w:r>
        <w:t>job</w:t>
      </w:r>
      <w:r w:rsidR="00365C59">
        <w:t xml:space="preserve">, others </w:t>
      </w:r>
      <w:r>
        <w:t xml:space="preserve">leave the labour force. To improve their prospects, some individuals remain in, or return to, education. Others exhibit stable employment with no change in </w:t>
      </w:r>
      <w:r w:rsidR="00EC58DF">
        <w:t xml:space="preserve">their </w:t>
      </w:r>
      <w:r>
        <w:t>labour market status</w:t>
      </w:r>
      <w:r w:rsidR="0001044F">
        <w:t xml:space="preserve"> over long periods of time</w:t>
      </w:r>
      <w:r>
        <w:t>.</w:t>
      </w:r>
    </w:p>
    <w:p w:rsidR="001B1BD5" w:rsidRDefault="00646410" w:rsidP="001B1BD5">
      <w:pPr>
        <w:pStyle w:val="BodyText"/>
      </w:pPr>
      <w:r>
        <w:t>Understanding the nature</w:t>
      </w:r>
      <w:r w:rsidR="00BB761C">
        <w:t>,</w:t>
      </w:r>
      <w:r>
        <w:t xml:space="preserve"> prevalence and consequences of t</w:t>
      </w:r>
      <w:r w:rsidR="001B1BD5">
        <w:t>he</w:t>
      </w:r>
      <w:r>
        <w:t xml:space="preserve">se </w:t>
      </w:r>
      <w:r w:rsidR="000921E9">
        <w:t xml:space="preserve">labour market and educational </w:t>
      </w:r>
      <w:r w:rsidR="001B1BD5">
        <w:t xml:space="preserve">transitions </w:t>
      </w:r>
      <w:r>
        <w:t>relate</w:t>
      </w:r>
      <w:r w:rsidR="00BB761C">
        <w:t>s</w:t>
      </w:r>
      <w:r w:rsidR="001B1BD5">
        <w:t xml:space="preserve"> to at least </w:t>
      </w:r>
      <w:r w:rsidR="00BB761C">
        <w:t>four</w:t>
      </w:r>
      <w:r w:rsidR="001B1BD5">
        <w:t xml:space="preserve"> key areas of policy interest. </w:t>
      </w:r>
    </w:p>
    <w:p w:rsidR="001B1BD5" w:rsidRDefault="001B1BD5" w:rsidP="001B1BD5">
      <w:pPr>
        <w:pStyle w:val="BodyText"/>
      </w:pPr>
      <w:r>
        <w:t xml:space="preserve">First, certain types of transitions can </w:t>
      </w:r>
      <w:r w:rsidR="00365C59">
        <w:t xml:space="preserve">be linked to </w:t>
      </w:r>
      <w:r w:rsidR="000921E9">
        <w:t>the</w:t>
      </w:r>
      <w:r>
        <w:t xml:space="preserve"> reallocation of workers during structural adjustment in response to major events</w:t>
      </w:r>
      <w:r w:rsidR="000921E9">
        <w:t>,</w:t>
      </w:r>
      <w:r>
        <w:t xml:space="preserve"> such as the global financial crisis or </w:t>
      </w:r>
      <w:r w:rsidR="00EC58DF">
        <w:t>sustained changes in the terms of trade</w:t>
      </w:r>
      <w:r>
        <w:t>.</w:t>
      </w:r>
    </w:p>
    <w:p w:rsidR="001B1BD5" w:rsidRDefault="001B1BD5" w:rsidP="001B1BD5">
      <w:pPr>
        <w:pStyle w:val="BodyText"/>
      </w:pPr>
      <w:r>
        <w:t xml:space="preserve">Second, </w:t>
      </w:r>
      <w:r w:rsidR="00D56CE2">
        <w:t xml:space="preserve">the </w:t>
      </w:r>
      <w:r>
        <w:t>C</w:t>
      </w:r>
      <w:r w:rsidR="00D56CE2">
        <w:t xml:space="preserve">ouncil of </w:t>
      </w:r>
      <w:r>
        <w:t>A</w:t>
      </w:r>
      <w:r w:rsidR="00D56CE2">
        <w:t xml:space="preserve">ustralian </w:t>
      </w:r>
      <w:r>
        <w:t>G</w:t>
      </w:r>
      <w:r w:rsidR="00D56CE2">
        <w:t>overnments</w:t>
      </w:r>
      <w:r>
        <w:t xml:space="preserve">’ </w:t>
      </w:r>
      <w:r>
        <w:rPr>
          <w:i/>
        </w:rPr>
        <w:t>National P</w:t>
      </w:r>
      <w:r w:rsidRPr="00572A38">
        <w:rPr>
          <w:i/>
        </w:rPr>
        <w:t>a</w:t>
      </w:r>
      <w:r>
        <w:rPr>
          <w:i/>
        </w:rPr>
        <w:t>r</w:t>
      </w:r>
      <w:r w:rsidRPr="00572A38">
        <w:rPr>
          <w:i/>
        </w:rPr>
        <w:t>tnership Agreement on Youth Attainment and Transitions</w:t>
      </w:r>
      <w:r w:rsidRPr="009054F2">
        <w:t xml:space="preserve"> </w:t>
      </w:r>
      <w:r>
        <w:t>is directed at supporting successful transitions from school to work in order to reduce youth unemployment and promot</w:t>
      </w:r>
      <w:r w:rsidR="000921E9">
        <w:t>ing</w:t>
      </w:r>
      <w:r>
        <w:t xml:space="preserve"> engagement with the labour market.</w:t>
      </w:r>
      <w:r w:rsidR="002954BE">
        <w:t xml:space="preserve"> According to Youth Connections National Network (2013):</w:t>
      </w:r>
    </w:p>
    <w:p w:rsidR="00F001D6" w:rsidRDefault="00F001D6" w:rsidP="002954BE">
      <w:pPr>
        <w:pStyle w:val="Quote"/>
      </w:pPr>
      <w:r>
        <w:t>In the current environment of an ag</w:t>
      </w:r>
      <w:r w:rsidR="00365C59">
        <w:t>[e]</w:t>
      </w:r>
      <w:r>
        <w:t xml:space="preserve">ing population and an increasing focus on productivity and skills development; the need for all young Australians to successfully transition to the workforce and make the most of their abilities is critical. </w:t>
      </w:r>
      <w:r w:rsidR="006048F8">
        <w:t>(p. 5</w:t>
      </w:r>
      <w:r w:rsidR="002954BE">
        <w:t>)</w:t>
      </w:r>
    </w:p>
    <w:p w:rsidR="00164612" w:rsidRDefault="00164612" w:rsidP="00164612">
      <w:pPr>
        <w:pStyle w:val="BodyText"/>
      </w:pPr>
      <w:r>
        <w:t>Th</w:t>
      </w:r>
      <w:r w:rsidR="000921E9">
        <w:t>e</w:t>
      </w:r>
      <w:r>
        <w:t xml:space="preserve"> focus on youth transitions has both short- and long-term consequences, as:</w:t>
      </w:r>
    </w:p>
    <w:p w:rsidR="00164612" w:rsidRDefault="00164612" w:rsidP="00164612">
      <w:pPr>
        <w:pStyle w:val="Quote"/>
      </w:pPr>
      <w:r>
        <w:t>[The transition phase] … is a period in which the basis is laid for many of the personal and vocational skills that will determine individuals’ labour market trajectories for decades to come, in which education and training qualifications are obtained that are valued in the labour market and that make a profound difference to life chances, and in which the basis is laid for economic returns over the life span. (Dandolopartners</w:t>
      </w:r>
      <w:r w:rsidR="0028647B">
        <w:t xml:space="preserve"> </w:t>
      </w:r>
      <w:r>
        <w:t>2012,</w:t>
      </w:r>
      <w:r w:rsidR="0028647B">
        <w:t xml:space="preserve"> </w:t>
      </w:r>
      <w:r>
        <w:t>p. 25)</w:t>
      </w:r>
    </w:p>
    <w:p w:rsidR="001B1BD5" w:rsidRDefault="001B1BD5" w:rsidP="001B1BD5">
      <w:pPr>
        <w:pStyle w:val="BodyText"/>
      </w:pPr>
      <w:r>
        <w:t xml:space="preserve">Third, </w:t>
      </w:r>
      <w:r w:rsidR="000921E9">
        <w:t xml:space="preserve">an </w:t>
      </w:r>
      <w:r>
        <w:t xml:space="preserve">analysis </w:t>
      </w:r>
      <w:r w:rsidR="000921E9">
        <w:t xml:space="preserve">of transitions </w:t>
      </w:r>
      <w:r>
        <w:t>c</w:t>
      </w:r>
      <w:r w:rsidR="000921E9">
        <w:t>an</w:t>
      </w:r>
      <w:r>
        <w:t xml:space="preserve"> inform policies to</w:t>
      </w:r>
      <w:r w:rsidR="00547CFE">
        <w:t xml:space="preserve"> assist adults to improve </w:t>
      </w:r>
      <w:r>
        <w:t xml:space="preserve">their skills in their current career or to develop </w:t>
      </w:r>
      <w:r w:rsidR="00EC58DF">
        <w:t xml:space="preserve">the </w:t>
      </w:r>
      <w:r>
        <w:t xml:space="preserve">skills </w:t>
      </w:r>
      <w:r w:rsidR="002639D3">
        <w:t xml:space="preserve">they </w:t>
      </w:r>
      <w:r>
        <w:t xml:space="preserve">require to change careers </w:t>
      </w:r>
      <w:r w:rsidR="000921E9">
        <w:t xml:space="preserve">to growing </w:t>
      </w:r>
      <w:r w:rsidR="001202DD">
        <w:t>occupations</w:t>
      </w:r>
      <w:r>
        <w:t>.</w:t>
      </w:r>
    </w:p>
    <w:p w:rsidR="001B1BD5" w:rsidRDefault="00BB761C" w:rsidP="001B1BD5">
      <w:pPr>
        <w:pStyle w:val="BodyText"/>
      </w:pPr>
      <w:r w:rsidRPr="003F3F94">
        <w:lastRenderedPageBreak/>
        <w:t>Finally</w:t>
      </w:r>
      <w:r w:rsidR="001B1BD5" w:rsidRPr="003F3F94">
        <w:t xml:space="preserve">, </w:t>
      </w:r>
      <w:r w:rsidR="001B1BD5">
        <w:t>population ageing will increas</w:t>
      </w:r>
      <w:r w:rsidR="002639D3">
        <w:t>e the number</w:t>
      </w:r>
      <w:r w:rsidR="001B1BD5">
        <w:t xml:space="preserve"> of older Australians</w:t>
      </w:r>
      <w:r w:rsidR="002639D3">
        <w:t>,</w:t>
      </w:r>
      <w:r w:rsidR="001B1BD5">
        <w:t xml:space="preserve"> some of whom might want to work beyond the traditional retirement age. </w:t>
      </w:r>
      <w:r w:rsidR="002639D3">
        <w:t xml:space="preserve">Understanding this </w:t>
      </w:r>
      <w:r w:rsidR="000921E9">
        <w:t xml:space="preserve">type of </w:t>
      </w:r>
      <w:r w:rsidR="002639D3">
        <w:t xml:space="preserve">transition </w:t>
      </w:r>
      <w:r w:rsidR="000921E9">
        <w:t>will</w:t>
      </w:r>
      <w:r w:rsidR="002639D3">
        <w:t xml:space="preserve"> help </w:t>
      </w:r>
      <w:r w:rsidR="000921E9">
        <w:t xml:space="preserve">in the </w:t>
      </w:r>
      <w:r w:rsidR="002639D3">
        <w:t xml:space="preserve">design </w:t>
      </w:r>
      <w:r w:rsidR="000921E9">
        <w:t xml:space="preserve">of </w:t>
      </w:r>
      <w:r w:rsidR="002639D3">
        <w:t>policies that affect individuals around retirement</w:t>
      </w:r>
      <w:r w:rsidR="000921E9">
        <w:t xml:space="preserve"> age</w:t>
      </w:r>
      <w:r w:rsidR="002639D3">
        <w:t>.</w:t>
      </w:r>
    </w:p>
    <w:p w:rsidR="005A5403" w:rsidRDefault="00232E00" w:rsidP="00232E00">
      <w:pPr>
        <w:pStyle w:val="Heading2"/>
      </w:pPr>
      <w:r>
        <w:t>1.</w:t>
      </w:r>
      <w:r w:rsidR="00FA0E61">
        <w:rPr>
          <w:noProof/>
        </w:rPr>
        <w:t>1</w:t>
      </w:r>
      <w:r>
        <w:tab/>
      </w:r>
      <w:r w:rsidR="00D37DF7">
        <w:t>T</w:t>
      </w:r>
      <w:r w:rsidR="006048F8">
        <w:t xml:space="preserve">ransitions and </w:t>
      </w:r>
      <w:r w:rsidR="00912C8F">
        <w:t xml:space="preserve">outcomes in Australia </w:t>
      </w:r>
      <w:r w:rsidR="005A5403">
        <w:t>— what</w:t>
      </w:r>
      <w:r w:rsidR="00D37DF7">
        <w:t xml:space="preserve"> has been studied</w:t>
      </w:r>
      <w:r w:rsidR="005A5403">
        <w:t>?</w:t>
      </w:r>
    </w:p>
    <w:p w:rsidR="006A3FDE" w:rsidRDefault="006A3FDE" w:rsidP="006A3FDE">
      <w:pPr>
        <w:pStyle w:val="BodyText"/>
      </w:pPr>
      <w:r>
        <w:t xml:space="preserve">The usual statistics associated with the labour market </w:t>
      </w:r>
      <w:r w:rsidR="002639D3">
        <w:t xml:space="preserve">relate to </w:t>
      </w:r>
      <w:r w:rsidR="0028647B">
        <w:t>a point in time,</w:t>
      </w:r>
      <w:r>
        <w:t xml:space="preserve"> measuring participation, employment and une</w:t>
      </w:r>
      <w:r w:rsidR="008420D8">
        <w:t>mployment rates for the working-</w:t>
      </w:r>
      <w:r>
        <w:t>age population</w:t>
      </w:r>
      <w:r w:rsidR="0070598A">
        <w:t xml:space="preserve"> or for particular subgroups</w:t>
      </w:r>
      <w:r>
        <w:t xml:space="preserve">. </w:t>
      </w:r>
      <w:r w:rsidR="000921E9">
        <w:t>There are also d</w:t>
      </w:r>
      <w:r w:rsidR="00B34D54">
        <w:t xml:space="preserve">ata </w:t>
      </w:r>
      <w:r w:rsidR="008B0C41">
        <w:t xml:space="preserve">on </w:t>
      </w:r>
      <w:r w:rsidR="0048483D">
        <w:t>engagement in study — particularly for individuals not in employment.</w:t>
      </w:r>
      <w:r w:rsidR="0048483D">
        <w:rPr>
          <w:rStyle w:val="FootnoteReference"/>
        </w:rPr>
        <w:footnoteReference w:id="1"/>
      </w:r>
      <w:r w:rsidR="0048483D">
        <w:t xml:space="preserve"> </w:t>
      </w:r>
      <w:r w:rsidR="00B34D54">
        <w:t>However,</w:t>
      </w:r>
      <w:r>
        <w:t xml:space="preserve"> such </w:t>
      </w:r>
      <w:r w:rsidR="000921E9">
        <w:t>data reveal little</w:t>
      </w:r>
      <w:r>
        <w:t xml:space="preserve"> about </w:t>
      </w:r>
      <w:r w:rsidR="0070598A">
        <w:t>transitions</w:t>
      </w:r>
      <w:r w:rsidR="002639D3">
        <w:t xml:space="preserve"> between different </w:t>
      </w:r>
      <w:r w:rsidR="001202DD">
        <w:t>activities</w:t>
      </w:r>
      <w:r>
        <w:t xml:space="preserve">. </w:t>
      </w:r>
      <w:r w:rsidR="000921E9">
        <w:t>For example, t</w:t>
      </w:r>
      <w:r>
        <w:t xml:space="preserve">hey do not </w:t>
      </w:r>
      <w:r w:rsidR="002639D3">
        <w:t xml:space="preserve">account for </w:t>
      </w:r>
      <w:r>
        <w:t xml:space="preserve">changes in engagement with the labour market </w:t>
      </w:r>
      <w:r w:rsidR="0048483D">
        <w:t xml:space="preserve">and with the education system </w:t>
      </w:r>
      <w:r>
        <w:t xml:space="preserve">over </w:t>
      </w:r>
      <w:r w:rsidR="0070598A">
        <w:t>time</w:t>
      </w:r>
      <w:r>
        <w:t>.</w:t>
      </w:r>
    </w:p>
    <w:p w:rsidR="00D37DF7" w:rsidRDefault="0070598A" w:rsidP="00232E00">
      <w:pPr>
        <w:pStyle w:val="BodyText"/>
      </w:pPr>
      <w:r>
        <w:t>Longitudinal data are required to analyse transitions between — and persistence in — various education/labour market activities.</w:t>
      </w:r>
    </w:p>
    <w:p w:rsidR="0048483D" w:rsidRDefault="0048483D" w:rsidP="0048483D">
      <w:pPr>
        <w:pStyle w:val="BodyText"/>
      </w:pPr>
      <w:r>
        <w:t>There has been much analysis of school</w:t>
      </w:r>
      <w:r w:rsidR="00772473">
        <w:noBreakHyphen/>
      </w:r>
      <w:r>
        <w:t>to</w:t>
      </w:r>
      <w:r w:rsidR="00772473">
        <w:noBreakHyphen/>
      </w:r>
      <w:r>
        <w:t>work transitions for youth</w:t>
      </w:r>
      <w:r w:rsidR="00FB5FE6">
        <w:t>s</w:t>
      </w:r>
      <w:r>
        <w:t xml:space="preserve"> (usually aged under 25 years) in Australia. For example, researchers have defined pathways for young individuals who left school and did not obtain a tertiary qualification (Lamb and McKenzie 2001) and for those who enrol</w:t>
      </w:r>
      <w:r w:rsidR="009D3970">
        <w:t>led</w:t>
      </w:r>
      <w:r>
        <w:t xml:space="preserve"> in tertiary study (Lamb 2001), based on their main activity each week over a </w:t>
      </w:r>
      <w:r w:rsidR="002B66B9">
        <w:t>seven</w:t>
      </w:r>
      <w:r w:rsidR="00772473">
        <w:noBreakHyphen/>
      </w:r>
      <w:r>
        <w:t>year period in the late 1980s and early 1990s. Fitzpatrick et al. (2011) estimated the average length of time taken to find employment after leaving edu</w:t>
      </w:r>
      <w:r w:rsidR="00BB761C">
        <w:t>cation in the late 1990s.</w:t>
      </w:r>
      <w:r w:rsidR="009B415C">
        <w:t xml:space="preserve"> Buddelmeyer and Marks (2010) </w:t>
      </w:r>
      <w:r w:rsidR="00F137D6">
        <w:t xml:space="preserve">estimated the effects of post-school qualifications on </w:t>
      </w:r>
      <w:r w:rsidR="009B415C">
        <w:t>annual transitions of youth</w:t>
      </w:r>
      <w:r w:rsidR="00FB5FE6">
        <w:t>s</w:t>
      </w:r>
      <w:r w:rsidR="009B415C">
        <w:t xml:space="preserve"> between labour market states.</w:t>
      </w:r>
    </w:p>
    <w:p w:rsidR="0048483D" w:rsidRDefault="00D97B12" w:rsidP="0048483D">
      <w:pPr>
        <w:pStyle w:val="BodyText"/>
      </w:pPr>
      <w:r>
        <w:t>S</w:t>
      </w:r>
      <w:r w:rsidR="0048483D">
        <w:t xml:space="preserve">tudies of labour market transitions beyond age 25 tend to focus on particular groups in the population. For example, </w:t>
      </w:r>
      <w:r w:rsidR="009D3970">
        <w:t xml:space="preserve">Lattimore (2007) </w:t>
      </w:r>
      <w:r w:rsidR="0048483D">
        <w:t xml:space="preserve">explored the </w:t>
      </w:r>
      <w:r>
        <w:t xml:space="preserve">likelihood and </w:t>
      </w:r>
      <w:r w:rsidR="0048483D">
        <w:t>reasons why Australian men</w:t>
      </w:r>
      <w:r w:rsidR="001C4058">
        <w:t xml:space="preserve"> leave the workforce</w:t>
      </w:r>
      <w:r w:rsidR="0048483D">
        <w:t xml:space="preserve">. Cai </w:t>
      </w:r>
      <w:r w:rsidR="00F45563">
        <w:t>(</w:t>
      </w:r>
      <w:r w:rsidR="0048483D">
        <w:t xml:space="preserve">2010) investigated the effects of persistence in labour market status and changes in circumstances, </w:t>
      </w:r>
      <w:r w:rsidR="002B66B9">
        <w:t xml:space="preserve">such as </w:t>
      </w:r>
      <w:r w:rsidR="0048483D">
        <w:t xml:space="preserve">having children, on </w:t>
      </w:r>
      <w:r w:rsidR="009D3970">
        <w:t xml:space="preserve">the </w:t>
      </w:r>
      <w:r w:rsidR="0048483D">
        <w:t xml:space="preserve">work choices of women who were married or in de facto relationships. </w:t>
      </w:r>
      <w:r w:rsidR="00D22925">
        <w:t xml:space="preserve">Transitions into and out of employment by lone and couple mothers with dependent children aged less than 15 years were studied in Baxter and Renda (2011). </w:t>
      </w:r>
      <w:r w:rsidR="0048483D">
        <w:t xml:space="preserve">Different patterns of full-time and part-time employment in transitions to retirement for men and women were identified in Gilfillan and Andrews </w:t>
      </w:r>
      <w:r w:rsidR="00F45563">
        <w:t>(</w:t>
      </w:r>
      <w:r w:rsidR="0048483D">
        <w:t>2010)</w:t>
      </w:r>
      <w:r w:rsidR="003B33CF">
        <w:t xml:space="preserve"> and </w:t>
      </w:r>
      <w:r w:rsidR="003B33CF">
        <w:lastRenderedPageBreak/>
        <w:t>transitions from part</w:t>
      </w:r>
      <w:r w:rsidR="00772473">
        <w:noBreakHyphen/>
      </w:r>
      <w:r w:rsidR="003B33CF">
        <w:t>time work to either full</w:t>
      </w:r>
      <w:r w:rsidR="00772473">
        <w:noBreakHyphen/>
      </w:r>
      <w:r w:rsidR="003B33CF">
        <w:t>time work or retirement (men only) in Sane (2011)</w:t>
      </w:r>
      <w:r w:rsidR="0048483D">
        <w:t>.</w:t>
      </w:r>
    </w:p>
    <w:p w:rsidR="00A32742" w:rsidRDefault="00D462D3" w:rsidP="00232E00">
      <w:pPr>
        <w:pStyle w:val="BodyText"/>
      </w:pPr>
      <w:r>
        <w:t xml:space="preserve">Borland and Johnston (2010) </w:t>
      </w:r>
      <w:r w:rsidR="007F7148">
        <w:t>focused on the employed, exploring</w:t>
      </w:r>
      <w:r>
        <w:t xml:space="preserve"> the effects of labour market history on the duration of employment</w:t>
      </w:r>
      <w:r w:rsidR="007F7148">
        <w:t xml:space="preserve"> (although that study was limited to exits from employment rather than transitions between all labour market states).</w:t>
      </w:r>
      <w:r w:rsidR="00CB7655">
        <w:t xml:space="preserve"> </w:t>
      </w:r>
      <w:r w:rsidR="007F7148">
        <w:t>Early school leavers and their re</w:t>
      </w:r>
      <w:r w:rsidR="00772473">
        <w:noBreakHyphen/>
      </w:r>
      <w:r w:rsidR="007F7148">
        <w:t xml:space="preserve">engagement in education was the focus in </w:t>
      </w:r>
      <w:r w:rsidR="00ED0FFD">
        <w:t>Black, Polidano and Tseng (2011)</w:t>
      </w:r>
      <w:r w:rsidR="007F7148">
        <w:t>.</w:t>
      </w:r>
      <w:r w:rsidR="00CB7655">
        <w:t xml:space="preserve"> </w:t>
      </w:r>
      <w:r w:rsidR="00A32742">
        <w:t xml:space="preserve">Polidano and Mavromaras (2010) </w:t>
      </w:r>
      <w:r w:rsidR="00027FDF">
        <w:t xml:space="preserve">focused on </w:t>
      </w:r>
      <w:r w:rsidR="002B66B9">
        <w:t xml:space="preserve">the </w:t>
      </w:r>
      <w:r w:rsidR="00027FDF">
        <w:t xml:space="preserve">labour market outcomes of people with disabilities to determine the effect of </w:t>
      </w:r>
      <w:r w:rsidR="003B33CF">
        <w:t xml:space="preserve">completing a </w:t>
      </w:r>
      <w:r w:rsidR="00E15ED2">
        <w:t>vocational</w:t>
      </w:r>
      <w:r w:rsidR="003B33CF">
        <w:t xml:space="preserve"> qualification.</w:t>
      </w:r>
    </w:p>
    <w:p w:rsidR="009D3970" w:rsidRDefault="003328BE" w:rsidP="00232E00">
      <w:pPr>
        <w:pStyle w:val="BodyText"/>
      </w:pPr>
      <w:r>
        <w:t>Much of the</w:t>
      </w:r>
      <w:r w:rsidR="001D5B26">
        <w:t xml:space="preserve"> </w:t>
      </w:r>
      <w:r>
        <w:t>literature</w:t>
      </w:r>
      <w:r w:rsidR="001D5B26">
        <w:t xml:space="preserve"> considers transitions </w:t>
      </w:r>
      <w:r w:rsidR="009D3970">
        <w:t>as</w:t>
      </w:r>
      <w:r w:rsidR="001D5B26">
        <w:t xml:space="preserve"> one</w:t>
      </w:r>
      <w:r w:rsidR="00772473">
        <w:noBreakHyphen/>
      </w:r>
      <w:r w:rsidR="001D5B26">
        <w:t>off change</w:t>
      </w:r>
      <w:r w:rsidR="009D3970">
        <w:t>s</w:t>
      </w:r>
      <w:r w:rsidR="001D5B26">
        <w:t xml:space="preserve"> from one activity to another </w:t>
      </w:r>
      <w:r w:rsidR="004532D7">
        <w:t xml:space="preserve">(such as study to employment, or employment to retirement). </w:t>
      </w:r>
    </w:p>
    <w:p w:rsidR="00F45563" w:rsidRPr="00232E00" w:rsidRDefault="009D3970" w:rsidP="00232E00">
      <w:pPr>
        <w:pStyle w:val="BodyText"/>
      </w:pPr>
      <w:r>
        <w:t>By</w:t>
      </w:r>
      <w:r w:rsidR="004532D7">
        <w:t xml:space="preserve"> examining activities over an extended period of time, </w:t>
      </w:r>
      <w:r w:rsidR="00D22925">
        <w:t xml:space="preserve">the analysis </w:t>
      </w:r>
      <w:r>
        <w:t>in this p</w:t>
      </w:r>
      <w:r w:rsidR="00D56CE2">
        <w:t>aper</w:t>
      </w:r>
      <w:r>
        <w:t xml:space="preserve"> accounts for</w:t>
      </w:r>
      <w:r w:rsidR="00E81F43">
        <w:t xml:space="preserve"> multiple changes in activities (such as reversals or </w:t>
      </w:r>
      <w:r w:rsidR="003D1A57">
        <w:t>repeat</w:t>
      </w:r>
      <w:r w:rsidR="002B66B9">
        <w:t>ed activitie</w:t>
      </w:r>
      <w:r w:rsidR="003D1A57">
        <w:t xml:space="preserve">s, </w:t>
      </w:r>
      <w:r w:rsidR="00E81F43">
        <w:t xml:space="preserve">like those associated with </w:t>
      </w:r>
      <w:r w:rsidR="00FC0950" w:rsidRPr="0001044F">
        <w:t xml:space="preserve">returning </w:t>
      </w:r>
      <w:r w:rsidR="00FC0950">
        <w:t xml:space="preserve">to the labour force or </w:t>
      </w:r>
      <w:r w:rsidR="00E81F43">
        <w:t xml:space="preserve">churning in and out of employment) and </w:t>
      </w:r>
      <w:r w:rsidR="00D56CE2">
        <w:t>identifies</w:t>
      </w:r>
      <w:r w:rsidR="004532D7">
        <w:t xml:space="preserve"> broader patterns </w:t>
      </w:r>
      <w:r w:rsidR="00E81F43">
        <w:t xml:space="preserve">— or pathways — that might be associated with different life stages. </w:t>
      </w:r>
    </w:p>
    <w:p w:rsidR="005A5403" w:rsidRDefault="00232E00" w:rsidP="00232E00">
      <w:pPr>
        <w:pStyle w:val="Heading2"/>
      </w:pPr>
      <w:r>
        <w:t>1.</w:t>
      </w:r>
      <w:r w:rsidR="00FA0E61">
        <w:rPr>
          <w:noProof/>
        </w:rPr>
        <w:t>2</w:t>
      </w:r>
      <w:r>
        <w:tab/>
      </w:r>
      <w:r w:rsidR="004B2F1C">
        <w:t>Why</w:t>
      </w:r>
      <w:r w:rsidR="00A235DB">
        <w:t xml:space="preserve"> </w:t>
      </w:r>
      <w:r w:rsidR="002B66B9">
        <w:t xml:space="preserve">pathways </w:t>
      </w:r>
      <w:r w:rsidR="00B34D54">
        <w:t>are important</w:t>
      </w:r>
    </w:p>
    <w:p w:rsidR="00443A29" w:rsidRDefault="006A3FDE" w:rsidP="000A3D80">
      <w:pPr>
        <w:pStyle w:val="BodyText"/>
      </w:pPr>
      <w:r>
        <w:t xml:space="preserve">Over an extended period, </w:t>
      </w:r>
      <w:r w:rsidR="001D5B26">
        <w:t>longitudinal</w:t>
      </w:r>
      <w:r>
        <w:t xml:space="preserve"> data show sequences of activities.</w:t>
      </w:r>
      <w:r w:rsidR="000D0825">
        <w:t xml:space="preserve"> </w:t>
      </w:r>
      <w:r w:rsidR="00443A29">
        <w:t xml:space="preserve">Rather than focussing on a single transition, analysis of a sequence </w:t>
      </w:r>
      <w:r w:rsidR="000A3D80">
        <w:t>‘emphasi</w:t>
      </w:r>
      <w:r w:rsidR="002B66B9">
        <w:t>s</w:t>
      </w:r>
      <w:r w:rsidR="000A3D80">
        <w:t xml:space="preserve">es that single events should not be isolated from each other but have to be understood in their continuity’ </w:t>
      </w:r>
      <w:r w:rsidR="000A3D80" w:rsidRPr="000A3D80">
        <w:t>(Aisenbrey and Fasang 2010, p. 421).</w:t>
      </w:r>
    </w:p>
    <w:p w:rsidR="000A3D80" w:rsidRPr="000A3D80" w:rsidRDefault="000A3D80" w:rsidP="000A3D80">
      <w:pPr>
        <w:pStyle w:val="BodyText"/>
      </w:pPr>
      <w:r w:rsidRPr="000A3D80">
        <w:t xml:space="preserve">According to Pollock, Antcliff and Ralphs (2002): </w:t>
      </w:r>
    </w:p>
    <w:p w:rsidR="000A3D80" w:rsidRDefault="000A3D80" w:rsidP="000A3D80">
      <w:pPr>
        <w:pStyle w:val="Quote"/>
      </w:pPr>
      <w:r>
        <w:t xml:space="preserve">The fact that a person occupies a number of different statuses over a period of time is a fundamental aspect of life. These changes in status exist everywhere, as we accumulate qualifications, move through different family structures, and occupy a variety of labour market and occupational statuses. Focusing on </w:t>
      </w:r>
      <w:r w:rsidR="00E15ED2">
        <w:t>employment, …</w:t>
      </w:r>
      <w:r>
        <w:t xml:space="preserve"> it is possible to identify distinct career trajectories </w:t>
      </w:r>
      <w:r w:rsidR="00690BC4">
        <w:t>…</w:t>
      </w:r>
      <w:r>
        <w:t xml:space="preserve"> This form of analysis has permitted an understanding of how people from different backgrounds progress through their employment careers. (pp. 91–2)</w:t>
      </w:r>
    </w:p>
    <w:p w:rsidR="00603FD5" w:rsidRDefault="00603FD5" w:rsidP="006A3FDE">
      <w:pPr>
        <w:pStyle w:val="BodyText"/>
      </w:pPr>
      <w:r>
        <w:t xml:space="preserve">Not everyone follows the same sequence of activities. There are variations in what they do, when they start, how long they continue and what they did before and do next. </w:t>
      </w:r>
      <w:r w:rsidR="001202DD">
        <w:t xml:space="preserve">However, </w:t>
      </w:r>
      <w:r>
        <w:t xml:space="preserve">patterns </w:t>
      </w:r>
      <w:r w:rsidR="001202DD">
        <w:t>also have similarities</w:t>
      </w:r>
      <w:r>
        <w:t xml:space="preserve">. As a result, </w:t>
      </w:r>
      <w:r w:rsidR="001202DD">
        <w:t>i</w:t>
      </w:r>
      <w:r>
        <w:t xml:space="preserve">n analysing the patterns in sequences, it is helpful to </w:t>
      </w:r>
      <w:r w:rsidR="00895AAF">
        <w:t>group together</w:t>
      </w:r>
      <w:r>
        <w:t xml:space="preserve"> people with </w:t>
      </w:r>
      <w:r w:rsidR="00895AAF">
        <w:t xml:space="preserve">the same (or a similar) </w:t>
      </w:r>
      <w:r>
        <w:t>pattern</w:t>
      </w:r>
      <w:r w:rsidR="00895AAF">
        <w:t>.</w:t>
      </w:r>
      <w:r w:rsidR="00CD1F8E">
        <w:t xml:space="preserve"> </w:t>
      </w:r>
      <w:r w:rsidR="00950F11">
        <w:t xml:space="preserve">That pattern then characterises a ‘pathway’ for the group. </w:t>
      </w:r>
      <w:r w:rsidR="00CD1F8E">
        <w:t xml:space="preserve">Optimal matching </w:t>
      </w:r>
      <w:r w:rsidR="00CD1F8E">
        <w:lastRenderedPageBreak/>
        <w:t>and cluster analysis are two techniques that — when combined — are ideally suited to identifying such groups.</w:t>
      </w:r>
    </w:p>
    <w:p w:rsidR="006A3FDE" w:rsidRDefault="000D0825" w:rsidP="006A3FDE">
      <w:pPr>
        <w:pStyle w:val="BodyText"/>
      </w:pPr>
      <w:r>
        <w:t>Grouping similar sequences into pathways can show how individuals move into and through the labour market (Yu et al. 2012)</w:t>
      </w:r>
      <w:r w:rsidR="00950F11">
        <w:t>,</w:t>
      </w:r>
      <w:r>
        <w:t xml:space="preserve"> </w:t>
      </w:r>
      <w:r w:rsidR="00946B93">
        <w:t>while accommodating breaks, divergences and reversals (Corrales</w:t>
      </w:r>
      <w:r w:rsidR="00772473">
        <w:noBreakHyphen/>
      </w:r>
      <w:r w:rsidR="00946B93">
        <w:t>Herrero and Rodríguez</w:t>
      </w:r>
      <w:r w:rsidR="00772473">
        <w:noBreakHyphen/>
      </w:r>
      <w:r w:rsidR="00946B93">
        <w:t>Prado 2012)</w:t>
      </w:r>
      <w:r w:rsidR="0001044F">
        <w:t>. They also</w:t>
      </w:r>
      <w:r w:rsidR="00946B93">
        <w:t xml:space="preserve"> </w:t>
      </w:r>
      <w:r>
        <w:t>show patterns of mobility that can affect later labour market outcomes (Fuller</w:t>
      </w:r>
      <w:r w:rsidR="00772473">
        <w:t> </w:t>
      </w:r>
      <w:r>
        <w:t>2011)</w:t>
      </w:r>
      <w:r w:rsidR="000A3D80">
        <w:t>.</w:t>
      </w:r>
    </w:p>
    <w:p w:rsidR="00946B93" w:rsidRDefault="003D1A57" w:rsidP="00946B93">
      <w:pPr>
        <w:pStyle w:val="BodyText"/>
      </w:pPr>
      <w:r>
        <w:t>The</w:t>
      </w:r>
      <w:r w:rsidR="0018325D" w:rsidRPr="00D803F3">
        <w:t xml:space="preserve"> analysis </w:t>
      </w:r>
      <w:r>
        <w:t xml:space="preserve">of pathways </w:t>
      </w:r>
      <w:r w:rsidR="0018325D" w:rsidRPr="00D803F3">
        <w:t>can show</w:t>
      </w:r>
      <w:r w:rsidR="006E4B38">
        <w:t xml:space="preserve">, for example, </w:t>
      </w:r>
      <w:r w:rsidR="00B34D54">
        <w:t>which</w:t>
      </w:r>
      <w:r w:rsidR="00B34D54" w:rsidRPr="00D803F3">
        <w:t xml:space="preserve"> </w:t>
      </w:r>
      <w:r w:rsidR="00946B93" w:rsidRPr="00D803F3">
        <w:t xml:space="preserve">pathways </w:t>
      </w:r>
      <w:r w:rsidR="00B34D54">
        <w:t xml:space="preserve">are more likely to </w:t>
      </w:r>
      <w:r w:rsidR="00946B93" w:rsidRPr="00D803F3">
        <w:t xml:space="preserve">lead to jobs and which pathways </w:t>
      </w:r>
      <w:r w:rsidR="002B66B9">
        <w:t>are associated with</w:t>
      </w:r>
      <w:r w:rsidR="00946B93" w:rsidRPr="00D803F3">
        <w:t xml:space="preserve"> individuals </w:t>
      </w:r>
      <w:r w:rsidR="002B66B9">
        <w:t xml:space="preserve">being disconnected </w:t>
      </w:r>
      <w:r w:rsidR="00D56CE2">
        <w:t>from</w:t>
      </w:r>
      <w:r w:rsidR="00946B93" w:rsidRPr="00D803F3">
        <w:t xml:space="preserve"> the labour market </w:t>
      </w:r>
      <w:r w:rsidR="0018325D" w:rsidRPr="00D803F3">
        <w:t>(</w:t>
      </w:r>
      <w:r w:rsidR="00946B93" w:rsidRPr="00D803F3">
        <w:t>Corral</w:t>
      </w:r>
      <w:r w:rsidR="0018325D" w:rsidRPr="00D803F3">
        <w:t>es</w:t>
      </w:r>
      <w:r w:rsidR="00B22501">
        <w:noBreakHyphen/>
      </w:r>
      <w:r w:rsidR="0018325D" w:rsidRPr="00D803F3">
        <w:t>Herrero and Rodríguez</w:t>
      </w:r>
      <w:r w:rsidR="00B22501">
        <w:noBreakHyphen/>
      </w:r>
      <w:r w:rsidR="0018325D" w:rsidRPr="00D803F3">
        <w:t xml:space="preserve">Prado </w:t>
      </w:r>
      <w:r w:rsidR="00946B93" w:rsidRPr="00D803F3">
        <w:t>2012)</w:t>
      </w:r>
      <w:r w:rsidR="0018325D" w:rsidRPr="00D803F3">
        <w:t>.</w:t>
      </w:r>
      <w:r w:rsidR="00D803F3" w:rsidRPr="00D803F3">
        <w:t xml:space="preserve"> </w:t>
      </w:r>
      <w:r>
        <w:t>I</w:t>
      </w:r>
      <w:r w:rsidR="0018325D" w:rsidRPr="00D803F3">
        <w:t>dentifying ‘less successful’ pathways</w:t>
      </w:r>
      <w:r w:rsidR="00D803F3" w:rsidRPr="00D803F3">
        <w:t xml:space="preserve"> and the characteristics associated with individuals in those pathways, can </w:t>
      </w:r>
      <w:r>
        <w:t xml:space="preserve">assist in </w:t>
      </w:r>
      <w:r w:rsidRPr="00D803F3">
        <w:t>target</w:t>
      </w:r>
      <w:r>
        <w:t>ing</w:t>
      </w:r>
      <w:r w:rsidR="00D803F3" w:rsidRPr="00D803F3">
        <w:t xml:space="preserve"> intervention.</w:t>
      </w:r>
    </w:p>
    <w:p w:rsidR="00AE3049" w:rsidRDefault="00AE3049" w:rsidP="00AE3049">
      <w:pPr>
        <w:pStyle w:val="BodyText"/>
      </w:pPr>
      <w:r>
        <w:t>T</w:t>
      </w:r>
      <w:r w:rsidRPr="00E57273">
        <w:t xml:space="preserve">he </w:t>
      </w:r>
      <w:r w:rsidRPr="00E57273">
        <w:rPr>
          <w:i/>
        </w:rPr>
        <w:t>Household, Income and Labour Dynamics in Australia</w:t>
      </w:r>
      <w:r w:rsidR="00950F11">
        <w:t xml:space="preserve"> (HILDA) S</w:t>
      </w:r>
      <w:r w:rsidRPr="00E57273">
        <w:t>urvey</w:t>
      </w:r>
      <w:r>
        <w:t xml:space="preserve"> contains a rich source of information in its </w:t>
      </w:r>
      <w:r w:rsidRPr="00E57273">
        <w:t xml:space="preserve">education and labour market </w:t>
      </w:r>
      <w:r w:rsidRPr="00AE3049">
        <w:t>calendar. T</w:t>
      </w:r>
      <w:r w:rsidR="002B66B9">
        <w:t>o date, t</w:t>
      </w:r>
      <w:r w:rsidRPr="00AE3049">
        <w:t xml:space="preserve">hese data are underutilised </w:t>
      </w:r>
      <w:r w:rsidR="002B66B9">
        <w:t>even though they are</w:t>
      </w:r>
      <w:r w:rsidRPr="00AE3049">
        <w:t xml:space="preserve"> extremely valuable</w:t>
      </w:r>
      <w:r>
        <w:t xml:space="preserve"> for understanding the dynamic processes associated with, for example:</w:t>
      </w:r>
    </w:p>
    <w:p w:rsidR="00AE3049" w:rsidRDefault="00AE3049" w:rsidP="00AE3049">
      <w:pPr>
        <w:pStyle w:val="ListBullet"/>
      </w:pPr>
      <w:r>
        <w:t>how youth</w:t>
      </w:r>
      <w:r w:rsidR="00FB5FE6">
        <w:t>s</w:t>
      </w:r>
      <w:r>
        <w:t xml:space="preserve"> transition to employment</w:t>
      </w:r>
    </w:p>
    <w:p w:rsidR="00AE3049" w:rsidRDefault="00AE3049" w:rsidP="00AE3049">
      <w:pPr>
        <w:pStyle w:val="ListBullet"/>
      </w:pPr>
      <w:r>
        <w:t>how and when w</w:t>
      </w:r>
      <w:r w:rsidR="00950F11">
        <w:t>orkers transition to retirement</w:t>
      </w:r>
    </w:p>
    <w:p w:rsidR="00AE3049" w:rsidRDefault="00AE3049" w:rsidP="00AE3049">
      <w:pPr>
        <w:pStyle w:val="ListBullet"/>
      </w:pPr>
      <w:r>
        <w:t>how jobseekers become discouraged.</w:t>
      </w:r>
    </w:p>
    <w:p w:rsidR="00443A29" w:rsidRPr="00D803F3" w:rsidRDefault="00443A29" w:rsidP="00946B93">
      <w:pPr>
        <w:pStyle w:val="BodyText"/>
      </w:pPr>
      <w:r w:rsidRPr="00AE3049">
        <w:t xml:space="preserve">This </w:t>
      </w:r>
      <w:r w:rsidR="00AE3049">
        <w:t>paper</w:t>
      </w:r>
      <w:r w:rsidRPr="00AE3049">
        <w:t xml:space="preserve"> highlight</w:t>
      </w:r>
      <w:r w:rsidR="00AE3049">
        <w:t>s the</w:t>
      </w:r>
      <w:r w:rsidRPr="00AE3049">
        <w:t xml:space="preserve"> value</w:t>
      </w:r>
      <w:r w:rsidR="00AE3049">
        <w:t xml:space="preserve"> of these data</w:t>
      </w:r>
      <w:r w:rsidRPr="00AE3049">
        <w:t>.</w:t>
      </w:r>
    </w:p>
    <w:p w:rsidR="00587D8B" w:rsidRDefault="00587D8B" w:rsidP="00587D8B">
      <w:pPr>
        <w:pStyle w:val="Heading2"/>
      </w:pPr>
      <w:r>
        <w:t>1.</w:t>
      </w:r>
      <w:r w:rsidR="00FA0E61">
        <w:rPr>
          <w:noProof/>
        </w:rPr>
        <w:t>3</w:t>
      </w:r>
      <w:r>
        <w:tab/>
        <w:t>Roadmap</w:t>
      </w:r>
    </w:p>
    <w:p w:rsidR="006A3FDE" w:rsidRDefault="006E4B38" w:rsidP="006A3FDE">
      <w:pPr>
        <w:pStyle w:val="BodyText"/>
      </w:pPr>
      <w:r w:rsidRPr="001C4058">
        <w:t xml:space="preserve">The purpose of this paper is to </w:t>
      </w:r>
      <w:r w:rsidR="001C4058" w:rsidRPr="001C4058">
        <w:t>extend</w:t>
      </w:r>
      <w:r w:rsidR="006A3FDE" w:rsidRPr="001C4058">
        <w:t xml:space="preserve"> </w:t>
      </w:r>
      <w:r w:rsidR="008D6DBC">
        <w:t xml:space="preserve">and enhance </w:t>
      </w:r>
      <w:r w:rsidR="006A3FDE" w:rsidRPr="001C4058">
        <w:t xml:space="preserve">the existing analysis of transitions in </w:t>
      </w:r>
      <w:r w:rsidR="006A3FDE">
        <w:t>Australia</w:t>
      </w:r>
      <w:r w:rsidR="008D6DBC">
        <w:t xml:space="preserve">. </w:t>
      </w:r>
      <w:r w:rsidR="004B2F1C">
        <w:t>This is achieved</w:t>
      </w:r>
      <w:r w:rsidR="006A3FDE">
        <w:t xml:space="preserve"> by describing </w:t>
      </w:r>
      <w:r w:rsidR="008D6DBC">
        <w:t xml:space="preserve">the </w:t>
      </w:r>
      <w:r w:rsidR="00F2658D">
        <w:t xml:space="preserve">broad </w:t>
      </w:r>
      <w:r w:rsidR="006A3FDE">
        <w:t xml:space="preserve">patterns </w:t>
      </w:r>
      <w:r w:rsidR="00F2658D">
        <w:t xml:space="preserve">— or pathways — </w:t>
      </w:r>
      <w:r w:rsidR="006A3FDE">
        <w:t>and persistence in education and labour market activities during an extended period.</w:t>
      </w:r>
      <w:r w:rsidR="00BB4EE4">
        <w:t xml:space="preserve"> In doing so, </w:t>
      </w:r>
      <w:r w:rsidR="00A235DB">
        <w:t>this paper</w:t>
      </w:r>
      <w:r w:rsidR="00BB4EE4">
        <w:t xml:space="preserve"> also highlight</w:t>
      </w:r>
      <w:r w:rsidR="00A235DB">
        <w:t>s</w:t>
      </w:r>
      <w:r w:rsidR="00BB4EE4">
        <w:t xml:space="preserve"> the considerable value of a systematic analysis of the HILDA calendar information.</w:t>
      </w:r>
    </w:p>
    <w:p w:rsidR="00587D8B" w:rsidRDefault="006E4B38" w:rsidP="00587D8B">
      <w:pPr>
        <w:pStyle w:val="BodyText"/>
      </w:pPr>
      <w:r>
        <w:t xml:space="preserve">Chapter 2 </w:t>
      </w:r>
      <w:r w:rsidR="00587D8B">
        <w:t xml:space="preserve">summarises the </w:t>
      </w:r>
      <w:r w:rsidR="004B2F1C">
        <w:t xml:space="preserve">relevant </w:t>
      </w:r>
      <w:r w:rsidR="00587D8B">
        <w:t xml:space="preserve">international literature on sequence analysis of labour market transitions and highlights the gap that this paper </w:t>
      </w:r>
      <w:r w:rsidR="00BB4EE4">
        <w:t xml:space="preserve">seeks to </w:t>
      </w:r>
      <w:r w:rsidR="00587D8B">
        <w:t>fill.</w:t>
      </w:r>
    </w:p>
    <w:p w:rsidR="00F2658D" w:rsidRDefault="006E4B38" w:rsidP="00F2658D">
      <w:pPr>
        <w:pStyle w:val="BodyText"/>
      </w:pPr>
      <w:r>
        <w:t>Chap</w:t>
      </w:r>
      <w:r w:rsidR="00E73781">
        <w:t>ter</w:t>
      </w:r>
      <w:r>
        <w:t xml:space="preserve"> 3 </w:t>
      </w:r>
      <w:r w:rsidR="00F2658D">
        <w:t>begins</w:t>
      </w:r>
      <w:r w:rsidR="009D3E53">
        <w:t xml:space="preserve"> with a brief outline of the </w:t>
      </w:r>
      <w:r w:rsidR="00AE3049">
        <w:t xml:space="preserve">HILDA calendar </w:t>
      </w:r>
      <w:r w:rsidR="009D3E53">
        <w:t xml:space="preserve">data and </w:t>
      </w:r>
      <w:r w:rsidR="00AE3049">
        <w:t xml:space="preserve">the </w:t>
      </w:r>
      <w:r w:rsidR="009D3E53">
        <w:t>methodology used</w:t>
      </w:r>
      <w:r w:rsidR="00F2658D">
        <w:t xml:space="preserve"> to identify the </w:t>
      </w:r>
      <w:r w:rsidR="00BB4EE4" w:rsidRPr="00E57273">
        <w:t xml:space="preserve">various </w:t>
      </w:r>
      <w:r w:rsidR="00F2658D">
        <w:t xml:space="preserve">pathways </w:t>
      </w:r>
      <w:r w:rsidR="00BB4EE4">
        <w:t xml:space="preserve">followed by </w:t>
      </w:r>
      <w:r w:rsidR="00F2658D" w:rsidRPr="00E57273">
        <w:t xml:space="preserve">individuals over </w:t>
      </w:r>
      <w:r w:rsidR="00F2658D">
        <w:t xml:space="preserve">a </w:t>
      </w:r>
      <w:r w:rsidR="00BB4EE4">
        <w:t>ten</w:t>
      </w:r>
      <w:r w:rsidR="0097720D">
        <w:noBreakHyphen/>
      </w:r>
      <w:r w:rsidR="00F2658D">
        <w:t xml:space="preserve">year period. A </w:t>
      </w:r>
      <w:r w:rsidR="00F2658D" w:rsidRPr="00E57273">
        <w:t xml:space="preserve">novel technique for </w:t>
      </w:r>
      <w:r w:rsidR="00F2658D">
        <w:t>comparing</w:t>
      </w:r>
      <w:r w:rsidR="00F2658D" w:rsidRPr="00E57273">
        <w:t xml:space="preserve"> sequences —</w:t>
      </w:r>
      <w:r w:rsidR="003721E4">
        <w:t xml:space="preserve"> </w:t>
      </w:r>
      <w:r w:rsidR="00FB5FE6">
        <w:t>o</w:t>
      </w:r>
      <w:r w:rsidR="00F2658D" w:rsidRPr="00E57273">
        <w:t xml:space="preserve">ptimal </w:t>
      </w:r>
      <w:r w:rsidR="00FB5FE6">
        <w:t>m</w:t>
      </w:r>
      <w:r w:rsidR="00F2658D" w:rsidRPr="00E57273">
        <w:t xml:space="preserve">atching — </w:t>
      </w:r>
      <w:r w:rsidR="00F2658D">
        <w:t xml:space="preserve">is used to </w:t>
      </w:r>
      <w:r w:rsidR="00F2658D" w:rsidRPr="00E57273">
        <w:t xml:space="preserve">calculate a measure of the similarity of each pattern to all other patterns in the data. Cluster analysis </w:t>
      </w:r>
      <w:r w:rsidR="00F2658D">
        <w:t xml:space="preserve">is </w:t>
      </w:r>
      <w:r w:rsidR="00F2658D" w:rsidRPr="00E57273">
        <w:t>then used to</w:t>
      </w:r>
      <w:r w:rsidR="00F2658D">
        <w:t xml:space="preserve"> assign</w:t>
      </w:r>
      <w:r w:rsidR="00F2658D" w:rsidRPr="00E57273">
        <w:t xml:space="preserve"> individuals to groups </w:t>
      </w:r>
      <w:r w:rsidR="00F2658D" w:rsidRPr="00E57273">
        <w:lastRenderedPageBreak/>
        <w:t xml:space="preserve">according to </w:t>
      </w:r>
      <w:r w:rsidR="00F2658D">
        <w:t xml:space="preserve">the </w:t>
      </w:r>
      <w:r w:rsidR="00F2658D" w:rsidRPr="00E57273">
        <w:t>similarities in their activity patterns</w:t>
      </w:r>
      <w:r w:rsidR="00BB4EE4">
        <w:t>. E</w:t>
      </w:r>
      <w:r w:rsidR="00F2658D" w:rsidRPr="00E57273">
        <w:t>ach group represent</w:t>
      </w:r>
      <w:r w:rsidR="00F2658D">
        <w:t>s</w:t>
      </w:r>
      <w:r w:rsidR="00F2658D" w:rsidRPr="00E57273">
        <w:t xml:space="preserve"> a particular transition pathway. </w:t>
      </w:r>
      <w:r w:rsidR="00F2658D">
        <w:t>Additional details are provided in appendices A (data) and B (methodology).</w:t>
      </w:r>
    </w:p>
    <w:p w:rsidR="00F2658D" w:rsidRDefault="00F2658D" w:rsidP="00F2658D">
      <w:pPr>
        <w:pStyle w:val="BodyText"/>
      </w:pPr>
      <w:r w:rsidRPr="00E57273">
        <w:t xml:space="preserve">Since activity patterns (and their </w:t>
      </w:r>
      <w:r w:rsidR="00BB4EE4">
        <w:t xml:space="preserve">possible </w:t>
      </w:r>
      <w:r w:rsidRPr="00E57273">
        <w:t xml:space="preserve">implications for policy) </w:t>
      </w:r>
      <w:r>
        <w:t xml:space="preserve">are likely to </w:t>
      </w:r>
      <w:r w:rsidRPr="00E57273">
        <w:t xml:space="preserve">vary over the life cycle, </w:t>
      </w:r>
      <w:r>
        <w:t>the analysis is conducted separately for</w:t>
      </w:r>
      <w:r w:rsidRPr="00E57273">
        <w:t xml:space="preserve"> youth</w:t>
      </w:r>
      <w:r>
        <w:t>s</w:t>
      </w:r>
      <w:r w:rsidR="00547CFE">
        <w:t xml:space="preserve"> (aged 15–24)</w:t>
      </w:r>
      <w:r w:rsidRPr="00E57273">
        <w:t>, young adults</w:t>
      </w:r>
      <w:r w:rsidR="00547CFE">
        <w:t xml:space="preserve"> (aged 25–39)</w:t>
      </w:r>
      <w:r w:rsidRPr="00E57273">
        <w:t xml:space="preserve">, mature adults </w:t>
      </w:r>
      <w:r w:rsidR="00547CFE">
        <w:t xml:space="preserve">(aged 40–54) </w:t>
      </w:r>
      <w:r w:rsidRPr="00E57273">
        <w:t>and seniors</w:t>
      </w:r>
      <w:r w:rsidR="00547CFE">
        <w:t xml:space="preserve"> (aged 55–64)</w:t>
      </w:r>
      <w:r>
        <w:t>.</w:t>
      </w:r>
    </w:p>
    <w:p w:rsidR="00587D8B" w:rsidRDefault="00F2658D" w:rsidP="00587D8B">
      <w:pPr>
        <w:pStyle w:val="BodyText"/>
      </w:pPr>
      <w:r>
        <w:t xml:space="preserve">After summarising the pathways identified and their </w:t>
      </w:r>
      <w:r w:rsidR="009D3E53">
        <w:t>prevalence</w:t>
      </w:r>
      <w:r>
        <w:t>, t</w:t>
      </w:r>
      <w:r w:rsidR="009D3E53">
        <w:t>he c</w:t>
      </w:r>
      <w:r w:rsidR="00E73781">
        <w:t xml:space="preserve">hapter </w:t>
      </w:r>
      <w:r w:rsidR="00A60DFE">
        <w:t xml:space="preserve">describes six </w:t>
      </w:r>
      <w:r w:rsidR="00BB4EE4">
        <w:t xml:space="preserve">key </w:t>
      </w:r>
      <w:r w:rsidR="00FB568D" w:rsidRPr="00E57273">
        <w:t>pathways</w:t>
      </w:r>
      <w:r w:rsidR="00A60DFE">
        <w:t xml:space="preserve"> using </w:t>
      </w:r>
      <w:r w:rsidR="00FB568D">
        <w:t xml:space="preserve">characteristics of the activity sequences </w:t>
      </w:r>
      <w:r w:rsidR="00AD08E1">
        <w:t xml:space="preserve">and of </w:t>
      </w:r>
      <w:r w:rsidR="00FB568D">
        <w:t>the individuals</w:t>
      </w:r>
      <w:r w:rsidR="00AD08E1">
        <w:t xml:space="preserve"> in those pathways</w:t>
      </w:r>
      <w:r w:rsidR="00FB568D">
        <w:t>.</w:t>
      </w:r>
      <w:r w:rsidR="00AD08E1">
        <w:t xml:space="preserve"> </w:t>
      </w:r>
      <w:r w:rsidR="00BB4EE4">
        <w:t>(</w:t>
      </w:r>
      <w:r w:rsidR="00E73781">
        <w:t>Appendix</w:t>
      </w:r>
      <w:r w:rsidR="0097720D">
        <w:t> </w:t>
      </w:r>
      <w:r w:rsidR="00E73781">
        <w:t xml:space="preserve">C provides results for </w:t>
      </w:r>
      <w:r w:rsidR="00590498">
        <w:t xml:space="preserve">the </w:t>
      </w:r>
      <w:r w:rsidR="00AD08E1">
        <w:t>remaining</w:t>
      </w:r>
      <w:r w:rsidR="00590498">
        <w:t xml:space="preserve"> pathways</w:t>
      </w:r>
      <w:r w:rsidR="00E73781">
        <w:t>.</w:t>
      </w:r>
      <w:r w:rsidR="00BB4EE4">
        <w:t>)</w:t>
      </w:r>
    </w:p>
    <w:p w:rsidR="00587D8B" w:rsidRPr="00E57273" w:rsidRDefault="00E73781" w:rsidP="00587D8B">
      <w:pPr>
        <w:pStyle w:val="BodyText"/>
      </w:pPr>
      <w:r>
        <w:t>C</w:t>
      </w:r>
      <w:r w:rsidR="00587D8B">
        <w:t xml:space="preserve">hapter </w:t>
      </w:r>
      <w:r w:rsidR="00590498">
        <w:t>4</w:t>
      </w:r>
      <w:r>
        <w:t xml:space="preserve"> </w:t>
      </w:r>
      <w:r w:rsidR="00587D8B">
        <w:t>indicates areas for future research.</w:t>
      </w:r>
    </w:p>
    <w:sectPr w:rsidR="00587D8B" w:rsidRPr="00E57273" w:rsidSect="0089285E">
      <w:headerReference w:type="even" r:id="rId9"/>
      <w:headerReference w:type="default" r:id="rId10"/>
      <w:footerReference w:type="even" r:id="rId11"/>
      <w:footerReference w:type="default" r:id="rId12"/>
      <w:pgSz w:w="11907" w:h="16840" w:code="9"/>
      <w:pgMar w:top="1985" w:right="1304" w:bottom="1418" w:left="1814" w:header="1701" w:footer="567" w:gutter="0"/>
      <w:pgNumType w:start="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501" w:rsidRDefault="00B22501">
      <w:r>
        <w:separator/>
      </w:r>
    </w:p>
  </w:endnote>
  <w:endnote w:type="continuationSeparator" w:id="0">
    <w:p w:rsidR="00B22501" w:rsidRDefault="00B2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B22501">
      <w:trPr>
        <w:trHeight w:hRule="exact" w:val="740"/>
      </w:trPr>
      <w:tc>
        <w:tcPr>
          <w:tcW w:w="510" w:type="dxa"/>
          <w:tcBorders>
            <w:top w:val="single" w:sz="6" w:space="0" w:color="auto"/>
          </w:tcBorders>
        </w:tcPr>
        <w:p w:rsidR="00B22501" w:rsidRDefault="00B22501"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811410">
            <w:rPr>
              <w:rStyle w:val="PageNumber"/>
              <w:noProof/>
            </w:rPr>
            <w:t>4</w:t>
          </w:r>
          <w:r>
            <w:rPr>
              <w:rStyle w:val="PageNumber"/>
            </w:rPr>
            <w:fldChar w:fldCharType="end"/>
          </w:r>
        </w:p>
      </w:tc>
      <w:tc>
        <w:tcPr>
          <w:tcW w:w="1644" w:type="dxa"/>
          <w:tcBorders>
            <w:top w:val="single" w:sz="6" w:space="0" w:color="auto"/>
          </w:tcBorders>
        </w:tcPr>
        <w:p w:rsidR="00B22501" w:rsidRDefault="00FD577D" w:rsidP="0019293B">
          <w:pPr>
            <w:pStyle w:val="Footer"/>
          </w:pPr>
          <w:fldSimple w:instr=" SUBJECT  \* MERGEFORMAT ">
            <w:r w:rsidR="00B22501">
              <w:t>Prevalence of transition pathways</w:t>
            </w:r>
          </w:fldSimple>
        </w:p>
      </w:tc>
      <w:tc>
        <w:tcPr>
          <w:tcW w:w="6634" w:type="dxa"/>
        </w:tcPr>
        <w:p w:rsidR="00B22501" w:rsidRDefault="00B22501" w:rsidP="0019293B">
          <w:pPr>
            <w:pStyle w:val="Footer"/>
          </w:pPr>
        </w:p>
      </w:tc>
    </w:tr>
  </w:tbl>
  <w:p w:rsidR="00B22501" w:rsidRDefault="00B22501"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B22501">
      <w:trPr>
        <w:trHeight w:hRule="exact" w:val="740"/>
      </w:trPr>
      <w:tc>
        <w:tcPr>
          <w:tcW w:w="6634" w:type="dxa"/>
        </w:tcPr>
        <w:p w:rsidR="00B22501" w:rsidRDefault="00B22501">
          <w:pPr>
            <w:pStyle w:val="Footer"/>
            <w:ind w:right="360" w:firstLine="360"/>
          </w:pPr>
        </w:p>
      </w:tc>
      <w:tc>
        <w:tcPr>
          <w:tcW w:w="1644" w:type="dxa"/>
          <w:tcBorders>
            <w:top w:val="single" w:sz="6" w:space="0" w:color="auto"/>
          </w:tcBorders>
        </w:tcPr>
        <w:p w:rsidR="00B22501" w:rsidRDefault="00FD577D">
          <w:pPr>
            <w:pStyle w:val="Footer"/>
          </w:pPr>
          <w:fldSimple w:instr=" TITLE  \* MERGEFORMAT ">
            <w:r w:rsidR="00B22501">
              <w:t>Introduction</w:t>
            </w:r>
          </w:fldSimple>
        </w:p>
      </w:tc>
      <w:tc>
        <w:tcPr>
          <w:tcW w:w="510" w:type="dxa"/>
          <w:tcBorders>
            <w:top w:val="single" w:sz="6" w:space="0" w:color="auto"/>
          </w:tcBorders>
        </w:tcPr>
        <w:p w:rsidR="00B22501" w:rsidRDefault="00B22501">
          <w:pPr>
            <w:pStyle w:val="Footer"/>
            <w:jc w:val="right"/>
          </w:pPr>
          <w:r>
            <w:rPr>
              <w:rStyle w:val="PageNumber"/>
            </w:rPr>
            <w:fldChar w:fldCharType="begin"/>
          </w:r>
          <w:r>
            <w:rPr>
              <w:rStyle w:val="PageNumber"/>
            </w:rPr>
            <w:instrText xml:space="preserve">PAGE  </w:instrText>
          </w:r>
          <w:r>
            <w:rPr>
              <w:rStyle w:val="PageNumber"/>
            </w:rPr>
            <w:fldChar w:fldCharType="separate"/>
          </w:r>
          <w:r w:rsidR="00811410">
            <w:rPr>
              <w:rStyle w:val="PageNumber"/>
              <w:noProof/>
            </w:rPr>
            <w:t>1</w:t>
          </w:r>
          <w:r>
            <w:rPr>
              <w:rStyle w:val="PageNumber"/>
            </w:rPr>
            <w:fldChar w:fldCharType="end"/>
          </w:r>
        </w:p>
      </w:tc>
    </w:tr>
  </w:tbl>
  <w:p w:rsidR="00B22501" w:rsidRDefault="00B22501">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501" w:rsidRDefault="00B22501">
      <w:r>
        <w:separator/>
      </w:r>
    </w:p>
  </w:footnote>
  <w:footnote w:type="continuationSeparator" w:id="0">
    <w:p w:rsidR="00B22501" w:rsidRDefault="00B22501">
      <w:r>
        <w:continuationSeparator/>
      </w:r>
    </w:p>
  </w:footnote>
  <w:footnote w:id="1">
    <w:p w:rsidR="00B22501" w:rsidRDefault="00B22501">
      <w:pPr>
        <w:pStyle w:val="FootnoteText"/>
      </w:pPr>
      <w:r>
        <w:rPr>
          <w:rStyle w:val="FootnoteReference"/>
        </w:rPr>
        <w:footnoteRef/>
      </w:r>
      <w:r>
        <w:t xml:space="preserve"> </w:t>
      </w:r>
      <w:r>
        <w:tab/>
        <w:t>In the youth transitions literature, it is becoming common to focus on individuals ‘not in employment, education or training’ (</w:t>
      </w:r>
      <w:r w:rsidR="0028647B">
        <w:t>NEET</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B22501">
      <w:tc>
        <w:tcPr>
          <w:tcW w:w="2155" w:type="dxa"/>
          <w:tcBorders>
            <w:top w:val="single" w:sz="24" w:space="0" w:color="auto"/>
          </w:tcBorders>
        </w:tcPr>
        <w:p w:rsidR="00B22501" w:rsidRDefault="00B22501" w:rsidP="0019293B">
          <w:pPr>
            <w:pStyle w:val="HeaderEven"/>
          </w:pPr>
        </w:p>
      </w:tc>
      <w:tc>
        <w:tcPr>
          <w:tcW w:w="6634" w:type="dxa"/>
          <w:tcBorders>
            <w:top w:val="single" w:sz="6" w:space="0" w:color="auto"/>
          </w:tcBorders>
        </w:tcPr>
        <w:p w:rsidR="00B22501" w:rsidRDefault="00B22501" w:rsidP="0019293B">
          <w:pPr>
            <w:pStyle w:val="HeaderEven"/>
          </w:pPr>
        </w:p>
      </w:tc>
    </w:tr>
  </w:tbl>
  <w:p w:rsidR="00B22501" w:rsidRDefault="00B22501"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B22501">
      <w:tc>
        <w:tcPr>
          <w:tcW w:w="6634" w:type="dxa"/>
          <w:tcBorders>
            <w:top w:val="single" w:sz="6" w:space="0" w:color="auto"/>
          </w:tcBorders>
        </w:tcPr>
        <w:p w:rsidR="00B22501" w:rsidRDefault="00B22501" w:rsidP="00E669E2">
          <w:pPr>
            <w:pStyle w:val="HeaderOdd"/>
          </w:pPr>
        </w:p>
      </w:tc>
      <w:tc>
        <w:tcPr>
          <w:tcW w:w="2155" w:type="dxa"/>
          <w:tcBorders>
            <w:top w:val="single" w:sz="24" w:space="0" w:color="auto"/>
          </w:tcBorders>
        </w:tcPr>
        <w:p w:rsidR="00B22501" w:rsidRDefault="00B22501" w:rsidP="00E669E2">
          <w:pPr>
            <w:pStyle w:val="HeaderOdd"/>
          </w:pPr>
        </w:p>
      </w:tc>
    </w:tr>
  </w:tbl>
  <w:p w:rsidR="00B22501" w:rsidRDefault="00B22501"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docVars>
    <w:docVar w:name="FindingOptions" w:val="1"/>
    <w:docVar w:name="RecOptions" w:val="111"/>
    <w:docVar w:name="ShortChapterTitle" w:val="Introduction"/>
    <w:docVar w:name="ShortReportTitle" w:val="Prevalence of transition pathways"/>
  </w:docVars>
  <w:rsids>
    <w:rsidRoot w:val="005A5403"/>
    <w:rsid w:val="0001044F"/>
    <w:rsid w:val="000227D5"/>
    <w:rsid w:val="000245AA"/>
    <w:rsid w:val="00027FDF"/>
    <w:rsid w:val="0003664B"/>
    <w:rsid w:val="0004111F"/>
    <w:rsid w:val="000565B3"/>
    <w:rsid w:val="0007150B"/>
    <w:rsid w:val="000921E9"/>
    <w:rsid w:val="000938F5"/>
    <w:rsid w:val="00096E55"/>
    <w:rsid w:val="0009714B"/>
    <w:rsid w:val="000A3D80"/>
    <w:rsid w:val="000B601B"/>
    <w:rsid w:val="000C207E"/>
    <w:rsid w:val="000D0825"/>
    <w:rsid w:val="000F0035"/>
    <w:rsid w:val="000F420B"/>
    <w:rsid w:val="00110116"/>
    <w:rsid w:val="0011666C"/>
    <w:rsid w:val="00120072"/>
    <w:rsid w:val="001202DD"/>
    <w:rsid w:val="00126EB8"/>
    <w:rsid w:val="001274D4"/>
    <w:rsid w:val="001363AA"/>
    <w:rsid w:val="00164612"/>
    <w:rsid w:val="0018325D"/>
    <w:rsid w:val="00183E82"/>
    <w:rsid w:val="001878BB"/>
    <w:rsid w:val="00191AE0"/>
    <w:rsid w:val="0019293B"/>
    <w:rsid w:val="001A7F85"/>
    <w:rsid w:val="001B1BD5"/>
    <w:rsid w:val="001C0865"/>
    <w:rsid w:val="001C3ABA"/>
    <w:rsid w:val="001C4058"/>
    <w:rsid w:val="001D5B26"/>
    <w:rsid w:val="001E7BE8"/>
    <w:rsid w:val="001F0248"/>
    <w:rsid w:val="001F3EB3"/>
    <w:rsid w:val="001F4F86"/>
    <w:rsid w:val="00202C2C"/>
    <w:rsid w:val="002135AB"/>
    <w:rsid w:val="002144BE"/>
    <w:rsid w:val="00232E00"/>
    <w:rsid w:val="00242279"/>
    <w:rsid w:val="00245C82"/>
    <w:rsid w:val="002639D3"/>
    <w:rsid w:val="0028647B"/>
    <w:rsid w:val="00291B40"/>
    <w:rsid w:val="002954BE"/>
    <w:rsid w:val="002B4008"/>
    <w:rsid w:val="002B66B9"/>
    <w:rsid w:val="002D0E8E"/>
    <w:rsid w:val="00301189"/>
    <w:rsid w:val="00323E09"/>
    <w:rsid w:val="003328BE"/>
    <w:rsid w:val="00333932"/>
    <w:rsid w:val="003518AA"/>
    <w:rsid w:val="00352165"/>
    <w:rsid w:val="00353182"/>
    <w:rsid w:val="003565D9"/>
    <w:rsid w:val="003602E1"/>
    <w:rsid w:val="00365C59"/>
    <w:rsid w:val="0037026F"/>
    <w:rsid w:val="00371240"/>
    <w:rsid w:val="003721E4"/>
    <w:rsid w:val="00374731"/>
    <w:rsid w:val="00376E59"/>
    <w:rsid w:val="003861CB"/>
    <w:rsid w:val="0038640E"/>
    <w:rsid w:val="00390F2F"/>
    <w:rsid w:val="003919F9"/>
    <w:rsid w:val="003B33CF"/>
    <w:rsid w:val="003C38B5"/>
    <w:rsid w:val="003C5D99"/>
    <w:rsid w:val="003D1A57"/>
    <w:rsid w:val="003E2F59"/>
    <w:rsid w:val="003F0789"/>
    <w:rsid w:val="003F7FCB"/>
    <w:rsid w:val="00401882"/>
    <w:rsid w:val="004100C8"/>
    <w:rsid w:val="00411DBD"/>
    <w:rsid w:val="00412ACE"/>
    <w:rsid w:val="00431249"/>
    <w:rsid w:val="00434C19"/>
    <w:rsid w:val="00443A29"/>
    <w:rsid w:val="00450810"/>
    <w:rsid w:val="004532D7"/>
    <w:rsid w:val="00477144"/>
    <w:rsid w:val="0048483D"/>
    <w:rsid w:val="00491380"/>
    <w:rsid w:val="0049459F"/>
    <w:rsid w:val="004A38DD"/>
    <w:rsid w:val="004A4915"/>
    <w:rsid w:val="004B2F1C"/>
    <w:rsid w:val="004B43AE"/>
    <w:rsid w:val="004C30ED"/>
    <w:rsid w:val="004D5675"/>
    <w:rsid w:val="00523639"/>
    <w:rsid w:val="00531FE5"/>
    <w:rsid w:val="005360CC"/>
    <w:rsid w:val="005402FA"/>
    <w:rsid w:val="00547CFE"/>
    <w:rsid w:val="00583C39"/>
    <w:rsid w:val="00587D8B"/>
    <w:rsid w:val="00587F28"/>
    <w:rsid w:val="00590498"/>
    <w:rsid w:val="005909CF"/>
    <w:rsid w:val="00591E71"/>
    <w:rsid w:val="005A0D41"/>
    <w:rsid w:val="005A5403"/>
    <w:rsid w:val="005E6B8B"/>
    <w:rsid w:val="00603FD5"/>
    <w:rsid w:val="006048F8"/>
    <w:rsid w:val="00607BF1"/>
    <w:rsid w:val="00630D4D"/>
    <w:rsid w:val="00632A74"/>
    <w:rsid w:val="00646410"/>
    <w:rsid w:val="00682DE2"/>
    <w:rsid w:val="00690BC4"/>
    <w:rsid w:val="006A3FDE"/>
    <w:rsid w:val="006A4655"/>
    <w:rsid w:val="006B2B3C"/>
    <w:rsid w:val="006C1D81"/>
    <w:rsid w:val="006C7038"/>
    <w:rsid w:val="006E4B38"/>
    <w:rsid w:val="006E73EF"/>
    <w:rsid w:val="0070598A"/>
    <w:rsid w:val="00714D4D"/>
    <w:rsid w:val="007604BB"/>
    <w:rsid w:val="007676C1"/>
    <w:rsid w:val="00772473"/>
    <w:rsid w:val="007744DC"/>
    <w:rsid w:val="00785232"/>
    <w:rsid w:val="007A21EB"/>
    <w:rsid w:val="007B1A93"/>
    <w:rsid w:val="007C36C9"/>
    <w:rsid w:val="007D6401"/>
    <w:rsid w:val="007E01E4"/>
    <w:rsid w:val="007E0BC4"/>
    <w:rsid w:val="007F7107"/>
    <w:rsid w:val="007F7148"/>
    <w:rsid w:val="00800D4C"/>
    <w:rsid w:val="0081030F"/>
    <w:rsid w:val="00811410"/>
    <w:rsid w:val="0082087D"/>
    <w:rsid w:val="008219A2"/>
    <w:rsid w:val="00835771"/>
    <w:rsid w:val="008420D8"/>
    <w:rsid w:val="00842933"/>
    <w:rsid w:val="0086082C"/>
    <w:rsid w:val="00864ADC"/>
    <w:rsid w:val="00880153"/>
    <w:rsid w:val="00880F97"/>
    <w:rsid w:val="0088133A"/>
    <w:rsid w:val="0089285E"/>
    <w:rsid w:val="0089436C"/>
    <w:rsid w:val="00895AAF"/>
    <w:rsid w:val="008B0C41"/>
    <w:rsid w:val="008D365C"/>
    <w:rsid w:val="008D6DBC"/>
    <w:rsid w:val="009030BF"/>
    <w:rsid w:val="0091032F"/>
    <w:rsid w:val="00912C8F"/>
    <w:rsid w:val="00914368"/>
    <w:rsid w:val="009153AB"/>
    <w:rsid w:val="00931076"/>
    <w:rsid w:val="009345D9"/>
    <w:rsid w:val="00934B15"/>
    <w:rsid w:val="00940C87"/>
    <w:rsid w:val="00942B62"/>
    <w:rsid w:val="009433E7"/>
    <w:rsid w:val="00946B93"/>
    <w:rsid w:val="0095049F"/>
    <w:rsid w:val="00950F11"/>
    <w:rsid w:val="0095323B"/>
    <w:rsid w:val="00956A0C"/>
    <w:rsid w:val="00956BD9"/>
    <w:rsid w:val="00962489"/>
    <w:rsid w:val="0097720D"/>
    <w:rsid w:val="009808A6"/>
    <w:rsid w:val="00990C2C"/>
    <w:rsid w:val="009B415C"/>
    <w:rsid w:val="009D3970"/>
    <w:rsid w:val="009D3E53"/>
    <w:rsid w:val="009E1844"/>
    <w:rsid w:val="009E3481"/>
    <w:rsid w:val="009F0D1B"/>
    <w:rsid w:val="009F696D"/>
    <w:rsid w:val="009F6BC6"/>
    <w:rsid w:val="00A146FE"/>
    <w:rsid w:val="00A14890"/>
    <w:rsid w:val="00A17328"/>
    <w:rsid w:val="00A235DB"/>
    <w:rsid w:val="00A23A20"/>
    <w:rsid w:val="00A268B9"/>
    <w:rsid w:val="00A2703A"/>
    <w:rsid w:val="00A32742"/>
    <w:rsid w:val="00A33DFF"/>
    <w:rsid w:val="00A35115"/>
    <w:rsid w:val="00A36D9A"/>
    <w:rsid w:val="00A554AB"/>
    <w:rsid w:val="00A57062"/>
    <w:rsid w:val="00A60DFE"/>
    <w:rsid w:val="00A92B53"/>
    <w:rsid w:val="00A94FA6"/>
    <w:rsid w:val="00AA49A0"/>
    <w:rsid w:val="00AA6710"/>
    <w:rsid w:val="00AB0681"/>
    <w:rsid w:val="00AD08E1"/>
    <w:rsid w:val="00AD520B"/>
    <w:rsid w:val="00AE3049"/>
    <w:rsid w:val="00B22501"/>
    <w:rsid w:val="00B34D54"/>
    <w:rsid w:val="00B425C3"/>
    <w:rsid w:val="00B440AD"/>
    <w:rsid w:val="00B53E7E"/>
    <w:rsid w:val="00B6342E"/>
    <w:rsid w:val="00B7113F"/>
    <w:rsid w:val="00BA73B6"/>
    <w:rsid w:val="00BA7E27"/>
    <w:rsid w:val="00BB2603"/>
    <w:rsid w:val="00BB4EE4"/>
    <w:rsid w:val="00BB4FCD"/>
    <w:rsid w:val="00BB761C"/>
    <w:rsid w:val="00BC04E9"/>
    <w:rsid w:val="00BD13EA"/>
    <w:rsid w:val="00BE3808"/>
    <w:rsid w:val="00BF737D"/>
    <w:rsid w:val="00C062E9"/>
    <w:rsid w:val="00C07B64"/>
    <w:rsid w:val="00C13721"/>
    <w:rsid w:val="00C14FE4"/>
    <w:rsid w:val="00C3066D"/>
    <w:rsid w:val="00C52416"/>
    <w:rsid w:val="00C543F4"/>
    <w:rsid w:val="00C6291C"/>
    <w:rsid w:val="00C633CB"/>
    <w:rsid w:val="00C736B7"/>
    <w:rsid w:val="00C75D76"/>
    <w:rsid w:val="00C81D4A"/>
    <w:rsid w:val="00C8762C"/>
    <w:rsid w:val="00C945C8"/>
    <w:rsid w:val="00CA00F9"/>
    <w:rsid w:val="00CA2961"/>
    <w:rsid w:val="00CB50D7"/>
    <w:rsid w:val="00CB7177"/>
    <w:rsid w:val="00CB7655"/>
    <w:rsid w:val="00CC1998"/>
    <w:rsid w:val="00CC4946"/>
    <w:rsid w:val="00CD1F8E"/>
    <w:rsid w:val="00CF4A5A"/>
    <w:rsid w:val="00D22925"/>
    <w:rsid w:val="00D270A4"/>
    <w:rsid w:val="00D31FE9"/>
    <w:rsid w:val="00D34E1B"/>
    <w:rsid w:val="00D376BA"/>
    <w:rsid w:val="00D37DF7"/>
    <w:rsid w:val="00D45634"/>
    <w:rsid w:val="00D462D3"/>
    <w:rsid w:val="00D5568A"/>
    <w:rsid w:val="00D56CE2"/>
    <w:rsid w:val="00D63D73"/>
    <w:rsid w:val="00D64452"/>
    <w:rsid w:val="00D66E1E"/>
    <w:rsid w:val="00D75722"/>
    <w:rsid w:val="00D803F3"/>
    <w:rsid w:val="00D80CF5"/>
    <w:rsid w:val="00D97B12"/>
    <w:rsid w:val="00DA5BBA"/>
    <w:rsid w:val="00DB26D2"/>
    <w:rsid w:val="00DB67C9"/>
    <w:rsid w:val="00DC0C95"/>
    <w:rsid w:val="00DC325A"/>
    <w:rsid w:val="00DD6580"/>
    <w:rsid w:val="00E15ED2"/>
    <w:rsid w:val="00E17C72"/>
    <w:rsid w:val="00E21FC6"/>
    <w:rsid w:val="00E431A9"/>
    <w:rsid w:val="00E669E2"/>
    <w:rsid w:val="00E73781"/>
    <w:rsid w:val="00E76135"/>
    <w:rsid w:val="00E81F43"/>
    <w:rsid w:val="00E82F4F"/>
    <w:rsid w:val="00E91872"/>
    <w:rsid w:val="00EC2844"/>
    <w:rsid w:val="00EC5500"/>
    <w:rsid w:val="00EC58DF"/>
    <w:rsid w:val="00ED0FFD"/>
    <w:rsid w:val="00EF6C6C"/>
    <w:rsid w:val="00F001D6"/>
    <w:rsid w:val="00F056FC"/>
    <w:rsid w:val="00F10476"/>
    <w:rsid w:val="00F135D8"/>
    <w:rsid w:val="00F137D6"/>
    <w:rsid w:val="00F2658D"/>
    <w:rsid w:val="00F31299"/>
    <w:rsid w:val="00F3534A"/>
    <w:rsid w:val="00F45563"/>
    <w:rsid w:val="00F51609"/>
    <w:rsid w:val="00F53C29"/>
    <w:rsid w:val="00F705BF"/>
    <w:rsid w:val="00F81006"/>
    <w:rsid w:val="00F85325"/>
    <w:rsid w:val="00F957BA"/>
    <w:rsid w:val="00FA0E61"/>
    <w:rsid w:val="00FB568D"/>
    <w:rsid w:val="00FB5FE6"/>
    <w:rsid w:val="00FC0950"/>
    <w:rsid w:val="00FC1631"/>
    <w:rsid w:val="00FD22B1"/>
    <w:rsid w:val="00FD577D"/>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Heading2Char">
    <w:name w:val="Heading 2 Char"/>
    <w:basedOn w:val="DefaultParagraphFont"/>
    <w:link w:val="Heading2"/>
    <w:rsid w:val="00587D8B"/>
    <w:rPr>
      <w:rFonts w:ascii="Arial" w:hAnsi="Arial"/>
      <w:b/>
      <w:sz w:val="32"/>
    </w:rPr>
  </w:style>
  <w:style w:type="paragraph" w:styleId="CommentSubject">
    <w:name w:val="annotation subject"/>
    <w:basedOn w:val="CommentText"/>
    <w:next w:val="CommentText"/>
    <w:link w:val="CommentSubjectChar"/>
    <w:rsid w:val="00EC58DF"/>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EC58DF"/>
    <w:rPr>
      <w:szCs w:val="24"/>
    </w:rPr>
  </w:style>
  <w:style w:type="character" w:customStyle="1" w:styleId="CommentSubjectChar">
    <w:name w:val="Comment Subject Char"/>
    <w:basedOn w:val="CommentTextChar"/>
    <w:link w:val="CommentSubject"/>
    <w:rsid w:val="00EC58DF"/>
    <w:rPr>
      <w:b/>
      <w:bCs/>
      <w:szCs w:val="24"/>
    </w:rPr>
  </w:style>
  <w:style w:type="character" w:customStyle="1" w:styleId="BodyTextChar">
    <w:name w:val="Body Text Char"/>
    <w:link w:val="BodyText"/>
    <w:locked/>
    <w:rsid w:val="00AE3049"/>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link w:val="Heading2Char"/>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Heading2Char">
    <w:name w:val="Heading 2 Char"/>
    <w:basedOn w:val="DefaultParagraphFont"/>
    <w:link w:val="Heading2"/>
    <w:rsid w:val="00587D8B"/>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20484-F6F3-41B8-A710-49217401D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1144</TotalTime>
  <Pages>5</Pages>
  <Words>1540</Words>
  <Characters>8588</Characters>
  <Application>Microsoft Office Word</Application>
  <DocSecurity>0</DocSecurity>
  <Lines>143</Lines>
  <Paragraphs>37</Paragraphs>
  <ScaleCrop>false</ScaleCrop>
  <HeadingPairs>
    <vt:vector size="2" baseType="variant">
      <vt:variant>
        <vt:lpstr>Title</vt:lpstr>
      </vt:variant>
      <vt:variant>
        <vt:i4>1</vt:i4>
      </vt:variant>
    </vt:vector>
  </HeadingPairs>
  <TitlesOfParts>
    <vt:vector size="1" baseType="lpstr">
      <vt:lpstr>Introduction</vt:lpstr>
    </vt:vector>
  </TitlesOfParts>
  <Company>Productivity Commission</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Prevalence of transition pathways</dc:subject>
  <dc:creator>Productivity Commission</dc:creator>
  <dc:description>1.</dc:description>
  <cp:lastModifiedBy>Productivity Commission</cp:lastModifiedBy>
  <cp:revision>40</cp:revision>
  <cp:lastPrinted>2013-07-04T01:49:00Z</cp:lastPrinted>
  <dcterms:created xsi:type="dcterms:W3CDTF">2012-12-18T02:02:00Z</dcterms:created>
  <dcterms:modified xsi:type="dcterms:W3CDTF">2013-08-27T01:33:00Z</dcterms:modified>
</cp:coreProperties>
</file>