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02378E" w:rsidP="0002378E">
      <w:pPr>
        <w:pStyle w:val="Chapter"/>
        <w:ind w:left="907" w:hanging="907"/>
      </w:pPr>
      <w:bookmarkStart w:id="0" w:name="ChapterNumber"/>
      <w:bookmarkStart w:id="1" w:name="_GoBack"/>
      <w:bookmarkEnd w:id="1"/>
      <w:r>
        <w:t>2</w:t>
      </w:r>
      <w:bookmarkEnd w:id="0"/>
      <w:r>
        <w:tab/>
      </w:r>
      <w:bookmarkStart w:id="2" w:name="ChapterTitle"/>
      <w:r>
        <w:t>Transitions as sequences</w:t>
      </w:r>
      <w:bookmarkEnd w:id="2"/>
    </w:p>
    <w:p w:rsidR="00B62A8B" w:rsidRDefault="00B62A8B" w:rsidP="00903D69">
      <w:pPr>
        <w:pStyle w:val="BodyText"/>
      </w:pPr>
      <w:bookmarkStart w:id="3" w:name="begin"/>
      <w:bookmarkEnd w:id="3"/>
      <w:r>
        <w:t xml:space="preserve">This chapter </w:t>
      </w:r>
      <w:r w:rsidR="00221369">
        <w:t>outlines the various approaches that have been used to examine transitions</w:t>
      </w:r>
      <w:r w:rsidR="00075435">
        <w:t xml:space="preserve"> (section</w:t>
      </w:r>
      <w:r w:rsidR="002D3332">
        <w:t> </w:t>
      </w:r>
      <w:r w:rsidR="0002378E">
        <w:t>2.1</w:t>
      </w:r>
      <w:r w:rsidR="00075435">
        <w:t>)</w:t>
      </w:r>
      <w:r w:rsidR="00221369">
        <w:t>, some of the design characteristics of those studies that have adopted a sequence approach</w:t>
      </w:r>
      <w:r w:rsidR="00075435">
        <w:t xml:space="preserve"> (section</w:t>
      </w:r>
      <w:r w:rsidR="002D3332">
        <w:t> </w:t>
      </w:r>
      <w:r w:rsidR="0002378E">
        <w:t>2.2</w:t>
      </w:r>
      <w:r w:rsidR="00075435">
        <w:t>)</w:t>
      </w:r>
      <w:r w:rsidR="00221369">
        <w:t>, and the key findings from that literature</w:t>
      </w:r>
      <w:r w:rsidR="00075435">
        <w:t xml:space="preserve"> (section</w:t>
      </w:r>
      <w:r w:rsidR="002D3332">
        <w:t> </w:t>
      </w:r>
      <w:r w:rsidR="0002378E">
        <w:t>2.3</w:t>
      </w:r>
      <w:r w:rsidR="00075435">
        <w:t>)</w:t>
      </w:r>
      <w:r w:rsidR="00221369">
        <w:t>.</w:t>
      </w:r>
    </w:p>
    <w:p w:rsidR="00B62A8B" w:rsidRPr="008B3B22" w:rsidRDefault="0002378E" w:rsidP="008B3B22">
      <w:pPr>
        <w:pStyle w:val="Heading2"/>
      </w:pPr>
      <w:bookmarkStart w:id="4" w:name="OLE_LINK5"/>
      <w:r>
        <w:t>2.</w:t>
      </w:r>
      <w:r w:rsidR="00B060AF">
        <w:rPr>
          <w:noProof/>
        </w:rPr>
        <w:t>1</w:t>
      </w:r>
      <w:bookmarkEnd w:id="4"/>
      <w:r w:rsidR="00075435">
        <w:tab/>
      </w:r>
      <w:r w:rsidR="00C27D06">
        <w:t>Research</w:t>
      </w:r>
      <w:r w:rsidR="00C27D06" w:rsidRPr="008B3B22">
        <w:t xml:space="preserve"> </w:t>
      </w:r>
      <w:r w:rsidR="00B62A8B" w:rsidRPr="008B3B22">
        <w:t>approaches to transitions</w:t>
      </w:r>
    </w:p>
    <w:p w:rsidR="00405811" w:rsidRDefault="00221369" w:rsidP="00903D69">
      <w:pPr>
        <w:pStyle w:val="BodyText"/>
      </w:pPr>
      <w:r>
        <w:t xml:space="preserve">There are </w:t>
      </w:r>
      <w:r w:rsidR="00750ACD">
        <w:t>three</w:t>
      </w:r>
      <w:r>
        <w:t xml:space="preserve"> </w:t>
      </w:r>
      <w:r w:rsidR="00750ACD">
        <w:t xml:space="preserve">standard </w:t>
      </w:r>
      <w:r>
        <w:t>approaches to the study of transitions.</w:t>
      </w:r>
    </w:p>
    <w:p w:rsidR="00903D69" w:rsidRDefault="00750ACD" w:rsidP="00903D69">
      <w:pPr>
        <w:pStyle w:val="BodyText"/>
      </w:pPr>
      <w:r>
        <w:t>First, s</w:t>
      </w:r>
      <w:r w:rsidR="00903D69">
        <w:t xml:space="preserve">ome studies have </w:t>
      </w:r>
      <w:r w:rsidR="00221369">
        <w:t>focus</w:t>
      </w:r>
      <w:r w:rsidR="0007544A">
        <w:t xml:space="preserve">ed on </w:t>
      </w:r>
      <w:r w:rsidR="0061369F">
        <w:t xml:space="preserve">a </w:t>
      </w:r>
      <w:r w:rsidR="0007544A">
        <w:t xml:space="preserve">transition’s end point, analysing data on individual outcomes — such as labour market status or wages. </w:t>
      </w:r>
      <w:r w:rsidR="0061369F">
        <w:t>Many s</w:t>
      </w:r>
      <w:r w:rsidR="00EC55F5">
        <w:t xml:space="preserve">tudies of transitions from </w:t>
      </w:r>
      <w:r w:rsidR="00C27D06">
        <w:t>school</w:t>
      </w:r>
      <w:r w:rsidR="00AD72C0">
        <w:t xml:space="preserve"> </w:t>
      </w:r>
      <w:r w:rsidR="00C27D06">
        <w:t>to</w:t>
      </w:r>
      <w:r w:rsidR="00AD72C0">
        <w:t xml:space="preserve"> </w:t>
      </w:r>
      <w:r w:rsidR="00EC55F5">
        <w:t xml:space="preserve">work </w:t>
      </w:r>
      <w:r w:rsidR="00C27D06">
        <w:t>adopt</w:t>
      </w:r>
      <w:r w:rsidR="00EC55F5">
        <w:t xml:space="preserve"> </w:t>
      </w:r>
      <w:r w:rsidR="0061369F">
        <w:t>this approach</w:t>
      </w:r>
      <w:r w:rsidR="00EC55F5">
        <w:t>.</w:t>
      </w:r>
    </w:p>
    <w:p w:rsidR="0007544A" w:rsidRDefault="00750ACD" w:rsidP="00903D69">
      <w:pPr>
        <w:pStyle w:val="BodyText"/>
      </w:pPr>
      <w:r>
        <w:t xml:space="preserve">A second </w:t>
      </w:r>
      <w:r w:rsidR="00EC55F5">
        <w:t xml:space="preserve">approach is to consider </w:t>
      </w:r>
      <w:r w:rsidR="00C27D06">
        <w:t>duration or time spent in labour market states</w:t>
      </w:r>
      <w:r w:rsidR="00EC55F5">
        <w:t xml:space="preserve">. For example, </w:t>
      </w:r>
      <w:r w:rsidR="0061369F">
        <w:t>some</w:t>
      </w:r>
      <w:r w:rsidR="00037EE2">
        <w:t xml:space="preserve"> studies </w:t>
      </w:r>
      <w:r w:rsidR="0061369F">
        <w:t xml:space="preserve">analyse </w:t>
      </w:r>
      <w:r w:rsidR="00037EE2">
        <w:t xml:space="preserve">the </w:t>
      </w:r>
      <w:r w:rsidR="00EC55F5">
        <w:t xml:space="preserve">duration </w:t>
      </w:r>
      <w:r>
        <w:t>of unemployment spells.</w:t>
      </w:r>
    </w:p>
    <w:p w:rsidR="00903D69" w:rsidRDefault="00750ACD" w:rsidP="00903D69">
      <w:pPr>
        <w:pStyle w:val="BodyText"/>
      </w:pPr>
      <w:r>
        <w:t>A third</w:t>
      </w:r>
      <w:r w:rsidR="00456625">
        <w:t xml:space="preserve"> approach considers what happens </w:t>
      </w:r>
      <w:r w:rsidR="0061369F">
        <w:t>over a given period</w:t>
      </w:r>
      <w:r w:rsidR="00456625">
        <w:t>. T</w:t>
      </w:r>
      <w:r w:rsidR="00037EE2">
        <w:t xml:space="preserve">he number of </w:t>
      </w:r>
      <w:r w:rsidR="00295F1F">
        <w:t xml:space="preserve">times that individuals </w:t>
      </w:r>
      <w:r w:rsidR="0061369F">
        <w:t xml:space="preserve">experience </w:t>
      </w:r>
      <w:r w:rsidR="00295F1F">
        <w:t xml:space="preserve">a particular type of transition </w:t>
      </w:r>
      <w:r w:rsidR="00DF53FB">
        <w:t xml:space="preserve">(such as </w:t>
      </w:r>
      <w:r w:rsidR="00456625">
        <w:t xml:space="preserve">job loss) </w:t>
      </w:r>
      <w:r w:rsidR="0061369F">
        <w:t xml:space="preserve">over </w:t>
      </w:r>
      <w:r w:rsidR="00295F1F">
        <w:t xml:space="preserve">time </w:t>
      </w:r>
      <w:r w:rsidR="00456625">
        <w:t>can provide insights into</w:t>
      </w:r>
      <w:r w:rsidR="00295F1F">
        <w:t xml:space="preserve"> the likelihood of </w:t>
      </w:r>
      <w:r w:rsidR="004A4CFD">
        <w:t>repeat transitions (</w:t>
      </w:r>
      <w:r w:rsidR="00295F1F">
        <w:t>recurrence</w:t>
      </w:r>
      <w:r w:rsidR="004A4CFD">
        <w:t>)</w:t>
      </w:r>
      <w:r w:rsidR="00295F1F">
        <w:t xml:space="preserve">. This </w:t>
      </w:r>
      <w:r w:rsidR="00C27D06">
        <w:t>is</w:t>
      </w:r>
      <w:r w:rsidR="00295F1F">
        <w:t xml:space="preserve"> particularly useful for </w:t>
      </w:r>
      <w:r w:rsidR="0061369F">
        <w:t>characterising</w:t>
      </w:r>
      <w:r w:rsidR="00295F1F">
        <w:t xml:space="preserve"> labour market histories</w:t>
      </w:r>
      <w:r w:rsidR="00C27D06">
        <w:t xml:space="preserve"> or actual experiences</w:t>
      </w:r>
      <w:r w:rsidR="00295F1F">
        <w:t>.</w:t>
      </w:r>
      <w:r w:rsidR="00DF53FB">
        <w:t xml:space="preserve"> </w:t>
      </w:r>
      <w:r w:rsidR="00C27D06">
        <w:t>Moreover</w:t>
      </w:r>
      <w:r w:rsidR="0061369F">
        <w:t>,</w:t>
      </w:r>
      <w:r w:rsidR="00B6374C">
        <w:t xml:space="preserve"> t</w:t>
      </w:r>
      <w:r w:rsidR="00DF53FB">
        <w:t xml:space="preserve">he numbers of individuals that </w:t>
      </w:r>
      <w:r w:rsidR="0061369F">
        <w:t xml:space="preserve">experience </w:t>
      </w:r>
      <w:r w:rsidR="00DF53FB">
        <w:t xml:space="preserve">particular transitions can also indicate the likelihood that others </w:t>
      </w:r>
      <w:r w:rsidR="00C27D06">
        <w:t>may</w:t>
      </w:r>
      <w:r w:rsidR="00DF53FB">
        <w:t xml:space="preserve"> </w:t>
      </w:r>
      <w:r w:rsidR="0061369F">
        <w:t xml:space="preserve">experience </w:t>
      </w:r>
      <w:r w:rsidR="00C27D06">
        <w:t>similar</w:t>
      </w:r>
      <w:r w:rsidR="00DF53FB">
        <w:t xml:space="preserve"> transitions.</w:t>
      </w:r>
      <w:r w:rsidR="00DF53FB">
        <w:rPr>
          <w:rStyle w:val="FootnoteReference"/>
        </w:rPr>
        <w:footnoteReference w:id="1"/>
      </w:r>
    </w:p>
    <w:p w:rsidR="009148A8" w:rsidRDefault="00750ACD" w:rsidP="009148A8">
      <w:pPr>
        <w:pStyle w:val="BodyText"/>
      </w:pPr>
      <w:r>
        <w:t xml:space="preserve">A relatively new approach </w:t>
      </w:r>
      <w:r w:rsidR="009148A8">
        <w:t>studies</w:t>
      </w:r>
      <w:r>
        <w:t xml:space="preserve"> t</w:t>
      </w:r>
      <w:r w:rsidR="003969E9">
        <w:t xml:space="preserve">ransitions </w:t>
      </w:r>
      <w:r w:rsidR="009148A8">
        <w:t xml:space="preserve">over </w:t>
      </w:r>
      <w:r w:rsidR="003F7C09">
        <w:t xml:space="preserve">(part of) </w:t>
      </w:r>
      <w:r w:rsidR="009148A8">
        <w:t xml:space="preserve">a career or lifetime as a </w:t>
      </w:r>
      <w:r w:rsidR="003969E9">
        <w:t xml:space="preserve">sequence of activities. </w:t>
      </w:r>
      <w:r w:rsidR="009148A8">
        <w:t xml:space="preserve">This </w:t>
      </w:r>
      <w:r w:rsidR="003969E9">
        <w:t xml:space="preserve">approach </w:t>
      </w:r>
      <w:r w:rsidR="00AE79CD">
        <w:t xml:space="preserve">relies on data collected in the form of a </w:t>
      </w:r>
      <w:r w:rsidR="008B3B22">
        <w:t xml:space="preserve">diary or </w:t>
      </w:r>
      <w:r w:rsidR="009148A8">
        <w:t xml:space="preserve">a </w:t>
      </w:r>
      <w:r w:rsidR="00AE79CD">
        <w:t>calendar.</w:t>
      </w:r>
      <w:r w:rsidR="00847D0F">
        <w:t xml:space="preserve"> </w:t>
      </w:r>
      <w:r w:rsidR="00BE31DD">
        <w:t xml:space="preserve">Sequence analysis techniques — usually </w:t>
      </w:r>
      <w:r w:rsidR="002D3332">
        <w:t>o</w:t>
      </w:r>
      <w:r w:rsidR="00A211E0">
        <w:t xml:space="preserve">ptimal </w:t>
      </w:r>
      <w:r w:rsidR="002D3332">
        <w:t>m</w:t>
      </w:r>
      <w:r w:rsidR="00A211E0">
        <w:t xml:space="preserve">atching and </w:t>
      </w:r>
      <w:r w:rsidR="002D3332">
        <w:t>c</w:t>
      </w:r>
      <w:r w:rsidR="00A211E0">
        <w:t xml:space="preserve">luster </w:t>
      </w:r>
      <w:r w:rsidR="002D3332">
        <w:lastRenderedPageBreak/>
        <w:t>a</w:t>
      </w:r>
      <w:r w:rsidR="00A211E0">
        <w:t>nalysis (</w:t>
      </w:r>
      <w:r w:rsidR="00825BFD">
        <w:t xml:space="preserve">OMCA, see </w:t>
      </w:r>
      <w:r w:rsidR="00A211E0">
        <w:t>appendix</w:t>
      </w:r>
      <w:r w:rsidR="002D3332">
        <w:t> </w:t>
      </w:r>
      <w:r w:rsidR="00A211E0">
        <w:t xml:space="preserve">B) </w:t>
      </w:r>
      <w:r w:rsidR="00BE31DD">
        <w:t xml:space="preserve">— </w:t>
      </w:r>
      <w:r w:rsidR="00A211E0">
        <w:t xml:space="preserve">can then be used to identify individuals with similar </w:t>
      </w:r>
      <w:r w:rsidR="00643EC5">
        <w:t xml:space="preserve">activity </w:t>
      </w:r>
      <w:r w:rsidR="00A211E0">
        <w:t>patterns.</w:t>
      </w:r>
      <w:r w:rsidR="00F95CC7">
        <w:rPr>
          <w:rStyle w:val="FootnoteReference"/>
        </w:rPr>
        <w:footnoteReference w:id="2"/>
      </w:r>
    </w:p>
    <w:p w:rsidR="009148A8" w:rsidRDefault="009148A8" w:rsidP="009148A8">
      <w:pPr>
        <w:pStyle w:val="BodyText"/>
      </w:pPr>
      <w:r>
        <w:t>The sequence approach</w:t>
      </w:r>
      <w:r w:rsidR="00CF7821">
        <w:t xml:space="preserve"> has several advantages over the other</w:t>
      </w:r>
      <w:r w:rsidR="00643EC5">
        <w:t>s</w:t>
      </w:r>
      <w:r w:rsidR="00CF7821">
        <w:t xml:space="preserve"> </w:t>
      </w:r>
      <w:r w:rsidR="00775147">
        <w:t>(box </w:t>
      </w:r>
      <w:r w:rsidR="0002378E">
        <w:t>2.1</w:t>
      </w:r>
      <w:r w:rsidR="00775147">
        <w:t>)</w:t>
      </w:r>
      <w:r w:rsidR="00643EC5">
        <w:t>,</w:t>
      </w:r>
      <w:r w:rsidR="00CF7821">
        <w:t xml:space="preserve"> </w:t>
      </w:r>
      <w:r w:rsidR="00643EC5">
        <w:t>n</w:t>
      </w:r>
      <w:r w:rsidR="00FA11CD">
        <w:t xml:space="preserve">ot least of </w:t>
      </w:r>
      <w:r w:rsidR="00643EC5">
        <w:t xml:space="preserve">which </w:t>
      </w:r>
      <w:r w:rsidR="00FA11CD">
        <w:t xml:space="preserve">is the </w:t>
      </w:r>
      <w:r w:rsidR="00C27D06">
        <w:t xml:space="preserve">ability </w:t>
      </w:r>
      <w:r w:rsidR="00FA11CD">
        <w:t xml:space="preserve">to </w:t>
      </w:r>
      <w:r w:rsidR="00C27D06">
        <w:t xml:space="preserve">analyse </w:t>
      </w:r>
      <w:r w:rsidR="00302784">
        <w:t xml:space="preserve">the </w:t>
      </w:r>
      <w:r w:rsidR="00C27D06">
        <w:t xml:space="preserve">different </w:t>
      </w:r>
      <w:r w:rsidR="002504C5">
        <w:t xml:space="preserve">activities </w:t>
      </w:r>
      <w:r w:rsidR="00302784">
        <w:t xml:space="preserve">that individuals </w:t>
      </w:r>
      <w:r w:rsidR="00F317F2">
        <w:t>undertake</w:t>
      </w:r>
      <w:r w:rsidR="00302784">
        <w:t>.</w:t>
      </w:r>
    </w:p>
    <w:p w:rsidR="006724B3" w:rsidRDefault="006724B3">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6724B3">
        <w:tc>
          <w:tcPr>
            <w:tcW w:w="8771" w:type="dxa"/>
            <w:tcBorders>
              <w:top w:val="single" w:sz="6" w:space="0" w:color="auto"/>
              <w:bottom w:val="nil"/>
            </w:tcBorders>
          </w:tcPr>
          <w:p w:rsidR="006724B3" w:rsidRDefault="006724B3" w:rsidP="006724B3">
            <w:pPr>
              <w:pStyle w:val="BoxTitle"/>
            </w:pPr>
            <w:bookmarkStart w:id="5" w:name="OLE_LINK1"/>
            <w:r>
              <w:rPr>
                <w:b w:val="0"/>
              </w:rPr>
              <w:t xml:space="preserve">Box </w:t>
            </w:r>
            <w:bookmarkStart w:id="6" w:name="OLE_LINK2"/>
            <w:r w:rsidR="0002378E">
              <w:rPr>
                <w:b w:val="0"/>
              </w:rPr>
              <w:t>2.</w:t>
            </w:r>
            <w:r w:rsidR="00B060AF">
              <w:rPr>
                <w:b w:val="0"/>
                <w:noProof/>
              </w:rPr>
              <w:t>1</w:t>
            </w:r>
            <w:bookmarkEnd w:id="5"/>
            <w:bookmarkEnd w:id="6"/>
            <w:r>
              <w:tab/>
              <w:t>Advantages of sequence analysis</w:t>
            </w:r>
          </w:p>
        </w:tc>
      </w:tr>
      <w:tr w:rsidR="006724B3">
        <w:trPr>
          <w:cantSplit/>
        </w:trPr>
        <w:tc>
          <w:tcPr>
            <w:tcW w:w="8771" w:type="dxa"/>
            <w:tcBorders>
              <w:top w:val="nil"/>
              <w:left w:val="single" w:sz="6" w:space="0" w:color="auto"/>
              <w:bottom w:val="nil"/>
              <w:right w:val="single" w:sz="6" w:space="0" w:color="auto"/>
            </w:tcBorders>
          </w:tcPr>
          <w:p w:rsidR="006724B3" w:rsidRDefault="006724B3">
            <w:pPr>
              <w:pStyle w:val="Box"/>
            </w:pPr>
            <w:r>
              <w:t xml:space="preserve">Most proponents of sequence analysis </w:t>
            </w:r>
            <w:r w:rsidR="003F7C09">
              <w:t xml:space="preserve">argue </w:t>
            </w:r>
            <w:r>
              <w:t xml:space="preserve">that </w:t>
            </w:r>
            <w:r w:rsidR="003F7C09">
              <w:t>it</w:t>
            </w:r>
            <w:r>
              <w:t xml:space="preserve"> complements more conventional methods</w:t>
            </w:r>
            <w:r w:rsidR="006C6A12">
              <w:t xml:space="preserve"> </w:t>
            </w:r>
            <w:r w:rsidR="00140901">
              <w:t xml:space="preserve">by </w:t>
            </w:r>
            <w:r w:rsidR="006C6A12">
              <w:t>providing a more holistic perspective and context for results from other types of analysis</w:t>
            </w:r>
            <w:r>
              <w:t xml:space="preserve"> (</w:t>
            </w:r>
            <w:r w:rsidR="006C6A12">
              <w:t>Anyadike</w:t>
            </w:r>
            <w:r w:rsidR="002D3332">
              <w:noBreakHyphen/>
            </w:r>
            <w:r w:rsidR="006C6A12">
              <w:t>Danes and McVicar 2010</w:t>
            </w:r>
            <w:r w:rsidR="00620BBC">
              <w:t>;</w:t>
            </w:r>
            <w:r w:rsidR="006C6A12">
              <w:t xml:space="preserve"> </w:t>
            </w:r>
            <w:r>
              <w:t>Halpin 2010</w:t>
            </w:r>
            <w:r w:rsidR="00620BBC">
              <w:t>; King 2011;</w:t>
            </w:r>
            <w:r>
              <w:t xml:space="preserve"> Po</w:t>
            </w:r>
            <w:r w:rsidR="00620BBC">
              <w:t>llock, Antcliff and Ralphs 2002;</w:t>
            </w:r>
            <w:r>
              <w:t xml:space="preserve"> Yu et al</w:t>
            </w:r>
            <w:r w:rsidR="00620BBC">
              <w:t>.</w:t>
            </w:r>
            <w:r>
              <w:t xml:space="preserve"> 2012</w:t>
            </w:r>
            <w:r w:rsidR="006C6A12">
              <w:t xml:space="preserve">). </w:t>
            </w:r>
          </w:p>
          <w:p w:rsidR="00B844C7" w:rsidRDefault="00B844C7" w:rsidP="00FE2DC1">
            <w:pPr>
              <w:pStyle w:val="Box"/>
            </w:pPr>
            <w:r>
              <w:t xml:space="preserve">More specifically, </w:t>
            </w:r>
            <w:r w:rsidR="00B96158">
              <w:t xml:space="preserve">a sequence approach </w:t>
            </w:r>
            <w:r w:rsidR="00E20133">
              <w:t>can account</w:t>
            </w:r>
            <w:r w:rsidR="00B96158">
              <w:t xml:space="preserve"> for </w:t>
            </w:r>
            <w:r w:rsidR="00B96158" w:rsidRPr="00140901">
              <w:t>all transitio</w:t>
            </w:r>
            <w:r w:rsidR="00B96158">
              <w:t xml:space="preserve">ns in the data concurrently (Pollock, Antcliff and Ralphs </w:t>
            </w:r>
            <w:r w:rsidR="00B96158" w:rsidRPr="00140901">
              <w:t>2002)</w:t>
            </w:r>
            <w:r w:rsidR="00B96158">
              <w:t xml:space="preserve"> and </w:t>
            </w:r>
            <w:r w:rsidR="00E20133">
              <w:t>consider</w:t>
            </w:r>
            <w:r>
              <w:t xml:space="preserve"> the </w:t>
            </w:r>
            <w:r w:rsidRPr="006C6A12">
              <w:t xml:space="preserve">overall pattern, incidence, timing, duration and </w:t>
            </w:r>
            <w:r>
              <w:t xml:space="preserve">order of activities (Han and Moen </w:t>
            </w:r>
            <w:r w:rsidRPr="006C6A12">
              <w:t>1999)</w:t>
            </w:r>
            <w:r>
              <w:t xml:space="preserve">. With a better understanding of mobility (or persistence) patterns, </w:t>
            </w:r>
            <w:r w:rsidR="00B96158">
              <w:t>researchers</w:t>
            </w:r>
            <w:r>
              <w:t xml:space="preserve"> can answer a variety of questions about, </w:t>
            </w:r>
            <w:r w:rsidR="00EE2B25">
              <w:t>among other things</w:t>
            </w:r>
            <w:r>
              <w:t xml:space="preserve">, the </w:t>
            </w:r>
            <w:r w:rsidRPr="006C6A12">
              <w:t xml:space="preserve">ease of finding employment, </w:t>
            </w:r>
            <w:r>
              <w:t xml:space="preserve">the </w:t>
            </w:r>
            <w:r w:rsidRPr="006C6A12">
              <w:t xml:space="preserve">stability of </w:t>
            </w:r>
            <w:r>
              <w:t xml:space="preserve">that </w:t>
            </w:r>
            <w:r w:rsidRPr="006C6A12">
              <w:t xml:space="preserve">employment, </w:t>
            </w:r>
            <w:r>
              <w:t xml:space="preserve">and </w:t>
            </w:r>
            <w:r w:rsidRPr="006C6A12">
              <w:t>whether non</w:t>
            </w:r>
            <w:r w:rsidR="002D3332">
              <w:noBreakHyphen/>
            </w:r>
            <w:r w:rsidRPr="006C6A12">
              <w:t>employment is temporary or a trap</w:t>
            </w:r>
            <w:r>
              <w:t xml:space="preserve"> (Quintini and Manfredi </w:t>
            </w:r>
            <w:r w:rsidRPr="006C6A12">
              <w:t>2009)</w:t>
            </w:r>
            <w:r>
              <w:t>.</w:t>
            </w:r>
            <w:r w:rsidR="00FE2DC1">
              <w:t xml:space="preserve"> By considering particular experiences — such as periods spent not in employment, education or training (NEET) — in the context of an individual’s labour market history, researchers can also distinguish,</w:t>
            </w:r>
            <w:r w:rsidR="009C7092">
              <w:t xml:space="preserve"> ‘</w:t>
            </w:r>
            <w:r w:rsidR="00FE2DC1">
              <w:t>f</w:t>
            </w:r>
            <w:r w:rsidR="002754B9">
              <w:t>or example, between transitory “gap years”</w:t>
            </w:r>
            <w:r w:rsidR="00FE2DC1">
              <w:t xml:space="preserve"> and deep disconnect from the labour market’ (Dorsett and Lucchino 2012, p.</w:t>
            </w:r>
            <w:r w:rsidR="00825BFD">
              <w:t> </w:t>
            </w:r>
            <w:r w:rsidR="00FE2DC1">
              <w:t>102).</w:t>
            </w:r>
          </w:p>
          <w:p w:rsidR="00230E38" w:rsidRDefault="00E20133" w:rsidP="00FB71C6">
            <w:pPr>
              <w:pStyle w:val="Box"/>
            </w:pPr>
            <w:r>
              <w:t>Sequence analysis is not subject to some of the limitations of other methods of analysing transitions. L</w:t>
            </w:r>
            <w:r w:rsidR="00A13054" w:rsidRPr="00140901">
              <w:t>ong sequences</w:t>
            </w:r>
            <w:r w:rsidR="00A13054">
              <w:t xml:space="preserve"> with many activity</w:t>
            </w:r>
            <w:r w:rsidR="00A13054" w:rsidRPr="00140901">
              <w:t xml:space="preserve"> categories</w:t>
            </w:r>
            <w:r w:rsidR="00A13054">
              <w:t xml:space="preserve"> can </w:t>
            </w:r>
            <w:r w:rsidR="00A13054" w:rsidRPr="00140901">
              <w:t xml:space="preserve">make stochastic models </w:t>
            </w:r>
            <w:r w:rsidR="00A13054">
              <w:t xml:space="preserve">(such as Markov chains) </w:t>
            </w:r>
            <w:r w:rsidR="00A13054" w:rsidRPr="00140901">
              <w:t>difficult to identify</w:t>
            </w:r>
            <w:r w:rsidR="00A13054">
              <w:t xml:space="preserve"> (King </w:t>
            </w:r>
            <w:r w:rsidR="00A13054" w:rsidRPr="00140901">
              <w:t>2011)</w:t>
            </w:r>
            <w:r w:rsidR="00A13054">
              <w:t>. Moreover,</w:t>
            </w:r>
            <w:r w:rsidR="00FB71C6">
              <w:t xml:space="preserve"> ‘</w:t>
            </w:r>
            <w:r w:rsidR="00A13054">
              <w:t>it might be better to treat two sequences that differ only by a few steps as very close relatives rather than treating them as forever divided after that initial fork in the Markov path</w:t>
            </w:r>
            <w:r w:rsidR="00E54973">
              <w:t>’</w:t>
            </w:r>
            <w:r w:rsidR="00A13054">
              <w:t xml:space="preserve"> (</w:t>
            </w:r>
            <w:r w:rsidR="00A13054" w:rsidRPr="00140901">
              <w:t>Anyadike</w:t>
            </w:r>
            <w:r w:rsidR="002D3332">
              <w:noBreakHyphen/>
            </w:r>
            <w:r w:rsidR="00A13054" w:rsidRPr="00140901">
              <w:t>Danes and McVicar 2005</w:t>
            </w:r>
            <w:r w:rsidR="00A13054">
              <w:t>,</w:t>
            </w:r>
            <w:r w:rsidR="00A13054" w:rsidRPr="00140901">
              <w:t xml:space="preserve"> p.</w:t>
            </w:r>
            <w:r w:rsidR="002D3332">
              <w:t> </w:t>
            </w:r>
            <w:r w:rsidR="00A13054" w:rsidRPr="00140901">
              <w:t>516</w:t>
            </w:r>
            <w:r w:rsidR="00A13054">
              <w:t>).</w:t>
            </w:r>
          </w:p>
          <w:p w:rsidR="006724B3" w:rsidRDefault="008D4634" w:rsidP="00A13054">
            <w:pPr>
              <w:pStyle w:val="Box"/>
            </w:pPr>
            <w:r>
              <w:t>T</w:t>
            </w:r>
            <w:r w:rsidR="00A13054">
              <w:t xml:space="preserve">he approaches that </w:t>
            </w:r>
            <w:r w:rsidR="00A13054" w:rsidRPr="00140901">
              <w:t xml:space="preserve">focus on </w:t>
            </w:r>
            <w:r w:rsidR="00A13054">
              <w:t xml:space="preserve">a </w:t>
            </w:r>
            <w:r w:rsidR="00A13054" w:rsidRPr="00140901">
              <w:t>single transition or point</w:t>
            </w:r>
            <w:r w:rsidR="00A13054">
              <w:t xml:space="preserve"> </w:t>
            </w:r>
            <w:r w:rsidR="003403A4">
              <w:t xml:space="preserve">in </w:t>
            </w:r>
            <w:r w:rsidR="003403A4" w:rsidRPr="00140901">
              <w:t xml:space="preserve">time </w:t>
            </w:r>
            <w:r w:rsidR="00A13054">
              <w:t>can miss the turbulent nature of some sequences (</w:t>
            </w:r>
            <w:r w:rsidR="00A13054" w:rsidRPr="00140901">
              <w:t>Fuller 2011)</w:t>
            </w:r>
            <w:r w:rsidR="00A13054">
              <w:t>, disregard</w:t>
            </w:r>
            <w:r w:rsidR="00A13054" w:rsidRPr="00140901">
              <w:t xml:space="preserve"> the varying dynamics experienced by individuals</w:t>
            </w:r>
            <w:r w:rsidR="00A13054">
              <w:t xml:space="preserve"> (Quintini and Manfredi </w:t>
            </w:r>
            <w:r w:rsidR="00A13054" w:rsidRPr="00140901">
              <w:t>2009)</w:t>
            </w:r>
            <w:r w:rsidR="003E1225">
              <w:t>,</w:t>
            </w:r>
            <w:r w:rsidR="00A13054">
              <w:t xml:space="preserve"> and </w:t>
            </w:r>
            <w:r w:rsidR="00840D20">
              <w:t>ignore</w:t>
            </w:r>
            <w:r w:rsidR="00840D20" w:rsidRPr="00140901">
              <w:t xml:space="preserve"> valuable information prior to and after the </w:t>
            </w:r>
            <w:r w:rsidR="00840D20">
              <w:t>change</w:t>
            </w:r>
            <w:r w:rsidR="00840D20" w:rsidRPr="00140901">
              <w:t xml:space="preserve"> </w:t>
            </w:r>
            <w:r w:rsidR="00840D20">
              <w:t>(</w:t>
            </w:r>
            <w:r w:rsidR="00FC6FC7">
              <w:t>Brzinsky</w:t>
            </w:r>
            <w:r w:rsidR="002D3332">
              <w:noBreakHyphen/>
            </w:r>
            <w:r w:rsidR="00FC6FC7">
              <w:t xml:space="preserve">Fay </w:t>
            </w:r>
            <w:r w:rsidR="00FC6FC7" w:rsidRPr="00140901">
              <w:t>2007</w:t>
            </w:r>
            <w:r w:rsidR="00620BBC">
              <w:t>;</w:t>
            </w:r>
            <w:r w:rsidR="00FC6FC7">
              <w:t xml:space="preserve"> </w:t>
            </w:r>
            <w:r w:rsidR="00840D20">
              <w:t xml:space="preserve">Pollock, Antcliff and Ralphs </w:t>
            </w:r>
            <w:r w:rsidR="00840D20" w:rsidRPr="00140901">
              <w:t>2002)</w:t>
            </w:r>
            <w:r w:rsidR="00840D20">
              <w:t>.</w:t>
            </w:r>
          </w:p>
          <w:p w:rsidR="007847A0" w:rsidRDefault="007847A0" w:rsidP="00A13054">
            <w:pPr>
              <w:pStyle w:val="Box"/>
            </w:pPr>
            <w:r>
              <w:t>Appendix</w:t>
            </w:r>
            <w:r w:rsidR="002D3332">
              <w:t> </w:t>
            </w:r>
            <w:r>
              <w:t>B contains more information on the specific method of sequence analysis adopted in this paper.</w:t>
            </w:r>
          </w:p>
        </w:tc>
      </w:tr>
      <w:tr w:rsidR="006724B3">
        <w:trPr>
          <w:cantSplit/>
        </w:trPr>
        <w:tc>
          <w:tcPr>
            <w:tcW w:w="8771" w:type="dxa"/>
            <w:tcBorders>
              <w:top w:val="nil"/>
              <w:left w:val="single" w:sz="6" w:space="0" w:color="auto"/>
              <w:bottom w:val="single" w:sz="6" w:space="0" w:color="auto"/>
              <w:right w:val="single" w:sz="6" w:space="0" w:color="auto"/>
            </w:tcBorders>
          </w:tcPr>
          <w:p w:rsidR="006724B3" w:rsidRDefault="006724B3">
            <w:pPr>
              <w:pStyle w:val="Box"/>
              <w:spacing w:before="0" w:line="120" w:lineRule="exact"/>
            </w:pPr>
          </w:p>
        </w:tc>
      </w:tr>
      <w:tr w:rsidR="006724B3" w:rsidRPr="000863A5">
        <w:tc>
          <w:tcPr>
            <w:tcW w:w="8771" w:type="dxa"/>
            <w:tcBorders>
              <w:top w:val="nil"/>
              <w:left w:val="nil"/>
              <w:bottom w:val="nil"/>
              <w:right w:val="nil"/>
            </w:tcBorders>
          </w:tcPr>
          <w:p w:rsidR="006724B3" w:rsidRPr="00626D32" w:rsidRDefault="006724B3" w:rsidP="004270C2">
            <w:pPr>
              <w:pStyle w:val="BoxSpaceBelow"/>
            </w:pPr>
          </w:p>
        </w:tc>
      </w:tr>
    </w:tbl>
    <w:p w:rsidR="00CF7821" w:rsidRDefault="00CF7821" w:rsidP="009148A8">
      <w:pPr>
        <w:pStyle w:val="BodyText"/>
      </w:pPr>
      <w:r>
        <w:t xml:space="preserve">The next section summarises some of the design features of </w:t>
      </w:r>
      <w:r w:rsidR="00F317F2">
        <w:t xml:space="preserve">studies that use </w:t>
      </w:r>
      <w:r>
        <w:t xml:space="preserve">sequence </w:t>
      </w:r>
      <w:r w:rsidR="00F317F2">
        <w:t>analysi</w:t>
      </w:r>
      <w:r w:rsidR="00643EC5">
        <w:t xml:space="preserve">s </w:t>
      </w:r>
      <w:r w:rsidR="00F317F2">
        <w:t>in the context of labour market transitions</w:t>
      </w:r>
      <w:r w:rsidR="0012206A">
        <w:t xml:space="preserve"> (the ‘transition pathways’ literature)</w:t>
      </w:r>
      <w:r w:rsidR="002754B9">
        <w:t>,</w:t>
      </w:r>
      <w:r w:rsidR="00F317F2">
        <w:t xml:space="preserve"> </w:t>
      </w:r>
      <w:r w:rsidR="00302784">
        <w:t>and the final section draws some implications for the sequence approach used in this paper (chapter</w:t>
      </w:r>
      <w:r w:rsidR="002D3332">
        <w:t> </w:t>
      </w:r>
      <w:r w:rsidR="00302784">
        <w:t>3).</w:t>
      </w:r>
    </w:p>
    <w:p w:rsidR="00B62A8B" w:rsidRPr="008B3B22" w:rsidRDefault="0002378E" w:rsidP="008B3B22">
      <w:pPr>
        <w:pStyle w:val="Heading2"/>
      </w:pPr>
      <w:bookmarkStart w:id="7" w:name="OLE_LINK6"/>
      <w:r>
        <w:lastRenderedPageBreak/>
        <w:t>2.</w:t>
      </w:r>
      <w:r w:rsidR="00B060AF">
        <w:rPr>
          <w:noProof/>
        </w:rPr>
        <w:t>2</w:t>
      </w:r>
      <w:bookmarkEnd w:id="7"/>
      <w:r w:rsidR="00075435">
        <w:tab/>
      </w:r>
      <w:r w:rsidR="0012206A">
        <w:t>Study c</w:t>
      </w:r>
      <w:r w:rsidR="00B62A8B">
        <w:t xml:space="preserve">haracteristics </w:t>
      </w:r>
      <w:r w:rsidR="0012206A">
        <w:t>in the transition pathways literature</w:t>
      </w:r>
    </w:p>
    <w:p w:rsidR="00AD4460" w:rsidRDefault="00302784" w:rsidP="00AD4460">
      <w:pPr>
        <w:pStyle w:val="BodyText"/>
      </w:pPr>
      <w:r>
        <w:t>A</w:t>
      </w:r>
      <w:r w:rsidR="00AD4460">
        <w:t xml:space="preserve"> growing literature </w:t>
      </w:r>
      <w:r w:rsidR="007E4608">
        <w:t xml:space="preserve">has </w:t>
      </w:r>
      <w:r w:rsidR="003C0337">
        <w:t xml:space="preserve">adopted a </w:t>
      </w:r>
      <w:r w:rsidR="00AD4460">
        <w:t xml:space="preserve">sequence </w:t>
      </w:r>
      <w:r w:rsidR="003C0337">
        <w:t>approach</w:t>
      </w:r>
      <w:r w:rsidR="00AD4460">
        <w:t xml:space="preserve"> to stud</w:t>
      </w:r>
      <w:r w:rsidR="007E4608">
        <w:t>y labour market transitions</w:t>
      </w:r>
      <w:r w:rsidR="001031F5">
        <w:t xml:space="preserve"> in Britain, Northern Ireland, the United States, China</w:t>
      </w:r>
      <w:r w:rsidR="00D52740">
        <w:t xml:space="preserve"> </w:t>
      </w:r>
      <w:r w:rsidR="001031F5">
        <w:t>and parts of Europe.</w:t>
      </w:r>
      <w:r w:rsidR="00A50134">
        <w:t xml:space="preserve"> </w:t>
      </w:r>
      <w:r w:rsidR="002754B9">
        <w:t xml:space="preserve">Yu et al. (2012) </w:t>
      </w:r>
      <w:r w:rsidR="00A50134">
        <w:t xml:space="preserve">is </w:t>
      </w:r>
      <w:r w:rsidR="002754B9">
        <w:t xml:space="preserve">the </w:t>
      </w:r>
      <w:r w:rsidR="00A50134">
        <w:t>only study using Australian data.</w:t>
      </w:r>
    </w:p>
    <w:p w:rsidR="00A01B39" w:rsidRDefault="00302784" w:rsidP="00AD4460">
      <w:pPr>
        <w:pStyle w:val="BodyText"/>
      </w:pPr>
      <w:r>
        <w:t xml:space="preserve">Some studies </w:t>
      </w:r>
      <w:r w:rsidR="00DD0E1A">
        <w:t xml:space="preserve">— such as Fuller (2011) and Yu et al. (2012) — </w:t>
      </w:r>
      <w:r>
        <w:t xml:space="preserve">relate </w:t>
      </w:r>
      <w:r w:rsidR="00D52740">
        <w:t xml:space="preserve">to the </w:t>
      </w:r>
      <w:r w:rsidR="008D4634">
        <w:t xml:space="preserve">entire </w:t>
      </w:r>
      <w:r w:rsidR="00D52740">
        <w:t>working</w:t>
      </w:r>
      <w:r w:rsidR="002D3332">
        <w:noBreakHyphen/>
      </w:r>
      <w:r w:rsidR="00D52740">
        <w:t>age population</w:t>
      </w:r>
      <w:r w:rsidR="006F3F14">
        <w:t>.</w:t>
      </w:r>
      <w:r w:rsidR="008D4634">
        <w:t xml:space="preserve"> Most</w:t>
      </w:r>
      <w:r w:rsidR="00D52740">
        <w:t xml:space="preserve"> studies </w:t>
      </w:r>
      <w:r w:rsidR="006F3F14">
        <w:t xml:space="preserve">focus on </w:t>
      </w:r>
      <w:r w:rsidR="00D52740">
        <w:t>particular groups, such as youth</w:t>
      </w:r>
      <w:r w:rsidR="00D164B4">
        <w:t>s</w:t>
      </w:r>
      <w:r w:rsidR="00D52740">
        <w:t xml:space="preserve"> </w:t>
      </w:r>
      <w:r w:rsidR="006F3F14">
        <w:t xml:space="preserve">or older individuals, and the types of transitions </w:t>
      </w:r>
      <w:r w:rsidR="00B82F0E">
        <w:t>relevant to their life stage</w:t>
      </w:r>
      <w:r w:rsidR="006F3F14">
        <w:t xml:space="preserve">, such as </w:t>
      </w:r>
      <w:r w:rsidR="003403A4">
        <w:t>the</w:t>
      </w:r>
      <w:r w:rsidR="002754B9">
        <w:t>ir</w:t>
      </w:r>
      <w:r w:rsidR="003403A4">
        <w:t xml:space="preserve"> </w:t>
      </w:r>
      <w:r w:rsidR="006F3F14">
        <w:t xml:space="preserve">initial entry </w:t>
      </w:r>
      <w:r w:rsidR="008D4634">
        <w:t>in</w:t>
      </w:r>
      <w:r w:rsidR="006F3F14">
        <w:t>to the workforce or retirement.</w:t>
      </w:r>
    </w:p>
    <w:p w:rsidR="00AD4460" w:rsidRPr="008B3B22" w:rsidRDefault="001031F5" w:rsidP="00AD4460">
      <w:pPr>
        <w:pStyle w:val="BodyText"/>
      </w:pPr>
      <w:r>
        <w:t>Periods of unemployment and inactivity can adversely affect future labour market outcomes (usually termed a ‘scarring effect’). With less employment experience, youth</w:t>
      </w:r>
      <w:r w:rsidR="00D164B4">
        <w:t>s</w:t>
      </w:r>
      <w:r>
        <w:t xml:space="preserve"> tend to be more vulnerable than others when economic conditions deteriorate. Moreover, for youth</w:t>
      </w:r>
      <w:r w:rsidR="00D164B4">
        <w:t>s</w:t>
      </w:r>
      <w:r>
        <w:t xml:space="preserve">, gaining steady employment takes time </w:t>
      </w:r>
      <w:r w:rsidR="00431C8F">
        <w:t>as</w:t>
      </w:r>
      <w:r>
        <w:t xml:space="preserve"> </w:t>
      </w:r>
      <w:r w:rsidR="00655318">
        <w:t>‘</w:t>
      </w:r>
      <w:r w:rsidR="00655318" w:rsidRPr="00655318">
        <w:t>young workers, who have only relatively recently</w:t>
      </w:r>
      <w:r w:rsidR="00655318">
        <w:t xml:space="preserve"> entered the labour market, are engaging in job shopping in order to look for the sector and the occupation that suits them best’ (Bachmann and Burda 2007, </w:t>
      </w:r>
      <w:r w:rsidR="00075435">
        <w:t>p</w:t>
      </w:r>
      <w:r w:rsidR="00655318">
        <w:t>p. 13</w:t>
      </w:r>
      <w:r w:rsidR="0080151C">
        <w:t>–</w:t>
      </w:r>
      <w:r w:rsidR="00655318">
        <w:t xml:space="preserve">14) and </w:t>
      </w:r>
      <w:r w:rsidR="00431C8F">
        <w:t>‘an extensive process of mixing and matching among workers and firms characterizes the youth labour market’ (Mroz and Savage 2006, p. 261)</w:t>
      </w:r>
      <w:r>
        <w:t>. Youth</w:t>
      </w:r>
      <w:r w:rsidR="00D164B4">
        <w:t>s</w:t>
      </w:r>
      <w:r>
        <w:t xml:space="preserve"> seem to be particularly vulnerable to periods of unemployment and/or inactivity when they leave education and enter the l</w:t>
      </w:r>
      <w:r w:rsidR="00C408C5">
        <w:t>abour market for the first time</w:t>
      </w:r>
      <w:r w:rsidR="00A876DE">
        <w:t>.</w:t>
      </w:r>
      <w:r w:rsidR="00C408C5">
        <w:t xml:space="preserve"> </w:t>
      </w:r>
      <w:r w:rsidR="00A876DE">
        <w:t>A</w:t>
      </w:r>
      <w:r w:rsidR="0022750B">
        <w:t xml:space="preserve">ccording to the Youth Connections National Network, </w:t>
      </w:r>
      <w:r w:rsidR="00C408C5">
        <w:t xml:space="preserve">they are ‘the lowest skilled and the most vulnerable sector </w:t>
      </w:r>
      <w:r w:rsidR="00075435">
        <w:t>of the labour market’ (2013, p. </w:t>
      </w:r>
      <w:r w:rsidR="00C408C5">
        <w:t>10).</w:t>
      </w:r>
      <w:r>
        <w:t xml:space="preserve"> Hence, there is an understandable emphasis on ‘improving’ (shortening and smoothing) </w:t>
      </w:r>
      <w:r w:rsidR="003403A4">
        <w:t>school</w:t>
      </w:r>
      <w:r w:rsidR="002D3332">
        <w:noBreakHyphen/>
      </w:r>
      <w:r w:rsidR="003403A4">
        <w:t>to</w:t>
      </w:r>
      <w:r w:rsidR="002D3332">
        <w:noBreakHyphen/>
      </w:r>
      <w:r>
        <w:t>work transitions.</w:t>
      </w:r>
    </w:p>
    <w:p w:rsidR="00CA6650" w:rsidRDefault="00CA6650" w:rsidP="00CA6650">
      <w:pPr>
        <w:pStyle w:val="BodyText"/>
      </w:pPr>
      <w:r>
        <w:t xml:space="preserve">At the other end of the age spectrum, </w:t>
      </w:r>
      <w:r w:rsidR="0084590B">
        <w:t>a</w:t>
      </w:r>
      <w:r>
        <w:t xml:space="preserve"> few studies </w:t>
      </w:r>
      <w:r w:rsidR="0084590B">
        <w:t>examine</w:t>
      </w:r>
      <w:r>
        <w:t xml:space="preserve"> older people’s transitions to retirement</w:t>
      </w:r>
      <w:r w:rsidR="0084590B">
        <w:t xml:space="preserve"> </w:t>
      </w:r>
      <w:r>
        <w:t xml:space="preserve">from the labour force. </w:t>
      </w:r>
      <w:r w:rsidR="0084590B">
        <w:t>O</w:t>
      </w:r>
      <w:r>
        <w:t>lder worker</w:t>
      </w:r>
      <w:r w:rsidR="008413D4">
        <w:t>s’</w:t>
      </w:r>
      <w:r>
        <w:t xml:space="preserve"> labour force participation has implications for the funding and demands on the age pension</w:t>
      </w:r>
      <w:r w:rsidR="0022750B">
        <w:t xml:space="preserve"> </w:t>
      </w:r>
      <w:r w:rsidR="00A876DE">
        <w:t xml:space="preserve">system </w:t>
      </w:r>
      <w:r w:rsidR="0022750B">
        <w:t>(Productivity Commission 2005)</w:t>
      </w:r>
      <w:r>
        <w:t xml:space="preserve">. Since the 1970s, in most developed countries there has been a trend towards </w:t>
      </w:r>
      <w:r w:rsidR="00C252A8">
        <w:t xml:space="preserve">earlier and less standardised </w:t>
      </w:r>
      <w:r w:rsidR="00075435">
        <w:t>retirement (Fasang</w:t>
      </w:r>
      <w:r w:rsidR="00825BFD">
        <w:t> </w:t>
      </w:r>
      <w:r w:rsidR="00075435">
        <w:t>2010</w:t>
      </w:r>
      <w:r>
        <w:t xml:space="preserve">) — although the increasing trend of early retirement might have </w:t>
      </w:r>
      <w:r w:rsidR="008413D4">
        <w:t xml:space="preserve">abated </w:t>
      </w:r>
      <w:r>
        <w:t xml:space="preserve">since the global financial crisis of 2008. </w:t>
      </w:r>
      <w:r w:rsidR="0084590B">
        <w:t>However, r</w:t>
      </w:r>
      <w:r>
        <w:t>etirement, in terms of exit from the labour force and reliance on the age pension (or non</w:t>
      </w:r>
      <w:r w:rsidR="002D3332">
        <w:noBreakHyphen/>
      </w:r>
      <w:r>
        <w:t xml:space="preserve">labour income, such as superannuation in Australia), has become less of </w:t>
      </w:r>
      <w:r w:rsidR="00E950CD">
        <w:t>a</w:t>
      </w:r>
      <w:r>
        <w:t xml:space="preserve"> one</w:t>
      </w:r>
      <w:r w:rsidR="002D3332">
        <w:noBreakHyphen/>
      </w:r>
      <w:r>
        <w:t>off transition (</w:t>
      </w:r>
      <w:r w:rsidR="00075435">
        <w:t>that is,</w:t>
      </w:r>
      <w:r>
        <w:t xml:space="preserve"> retirement as </w:t>
      </w:r>
      <w:r w:rsidR="00226B0A">
        <w:t>a single permanent exit from the labour force</w:t>
      </w:r>
      <w:r>
        <w:t>) and more of a staged process (Han and Moen 1999).</w:t>
      </w:r>
    </w:p>
    <w:p w:rsidR="00B62A8B" w:rsidRPr="0026206D" w:rsidRDefault="0012206A" w:rsidP="0026206D">
      <w:pPr>
        <w:pStyle w:val="Heading3"/>
      </w:pPr>
      <w:r>
        <w:lastRenderedPageBreak/>
        <w:t>A</w:t>
      </w:r>
      <w:r w:rsidR="0026206D">
        <w:t>ctivities</w:t>
      </w:r>
    </w:p>
    <w:p w:rsidR="002974A4" w:rsidRDefault="00915219" w:rsidP="002974A4">
      <w:pPr>
        <w:pStyle w:val="BodyText"/>
      </w:pPr>
      <w:r>
        <w:t>S</w:t>
      </w:r>
      <w:r w:rsidR="00B80AFD">
        <w:t xml:space="preserve">tudies </w:t>
      </w:r>
      <w:r>
        <w:t xml:space="preserve">of labour market transitions (based on the sequence approach) </w:t>
      </w:r>
      <w:r w:rsidR="00D30BD1">
        <w:t xml:space="preserve">usually </w:t>
      </w:r>
      <w:r>
        <w:t>consider</w:t>
      </w:r>
      <w:r w:rsidR="00E950CD">
        <w:t xml:space="preserve"> </w:t>
      </w:r>
      <w:r w:rsidR="002974A4">
        <w:t>education, employment and ‘not in employment, education or training’ (NEET)</w:t>
      </w:r>
      <w:r w:rsidR="00E950CD">
        <w:t xml:space="preserve">, often </w:t>
      </w:r>
      <w:r w:rsidR="002974A4">
        <w:t>disaggregated in some way</w:t>
      </w:r>
      <w:r w:rsidR="00B15D48">
        <w:t xml:space="preserve"> to form the activity categories for analysis</w:t>
      </w:r>
      <w:r w:rsidR="002974A4">
        <w:t xml:space="preserve">. For example, education </w:t>
      </w:r>
      <w:r w:rsidR="00D30BD1">
        <w:t>is sometimes</w:t>
      </w:r>
      <w:r w:rsidR="002974A4">
        <w:t xml:space="preserve"> split according to full</w:t>
      </w:r>
      <w:r w:rsidR="002D3332">
        <w:noBreakHyphen/>
      </w:r>
      <w:r w:rsidR="002974A4">
        <w:t>time or part</w:t>
      </w:r>
      <w:r w:rsidR="002D3332">
        <w:noBreakHyphen/>
      </w:r>
      <w:r w:rsidR="002974A4">
        <w:t xml:space="preserve">time enrolment and </w:t>
      </w:r>
      <w:r w:rsidR="00F10F24">
        <w:t xml:space="preserve">by </w:t>
      </w:r>
      <w:r w:rsidR="002974A4">
        <w:t xml:space="preserve">level of study. Employment </w:t>
      </w:r>
      <w:r w:rsidR="00B15D48">
        <w:t xml:space="preserve">can be differentiated by </w:t>
      </w:r>
      <w:r w:rsidR="002974A4">
        <w:t xml:space="preserve">characteristics </w:t>
      </w:r>
      <w:r w:rsidR="00B15D48">
        <w:t>such as</w:t>
      </w:r>
      <w:r w:rsidR="002974A4">
        <w:t xml:space="preserve"> </w:t>
      </w:r>
      <w:r w:rsidR="00B15D48">
        <w:t>employment status (employee or self</w:t>
      </w:r>
      <w:r w:rsidR="002D3332">
        <w:noBreakHyphen/>
      </w:r>
      <w:r w:rsidR="00B15D48">
        <w:t xml:space="preserve">employed), </w:t>
      </w:r>
      <w:r w:rsidR="00D30BD1">
        <w:t>full</w:t>
      </w:r>
      <w:r w:rsidR="002D3332">
        <w:noBreakHyphen/>
      </w:r>
      <w:r w:rsidR="00D30BD1">
        <w:t>time or part</w:t>
      </w:r>
      <w:r w:rsidR="002D3332">
        <w:noBreakHyphen/>
      </w:r>
      <w:r w:rsidR="00D30BD1">
        <w:t>time</w:t>
      </w:r>
      <w:r w:rsidR="002974A4">
        <w:t xml:space="preserve">, </w:t>
      </w:r>
      <w:r w:rsidR="00B15D48">
        <w:t xml:space="preserve">or </w:t>
      </w:r>
      <w:r w:rsidR="002974A4">
        <w:t>broad occupational group.</w:t>
      </w:r>
      <w:r w:rsidR="00B15D48">
        <w:t xml:space="preserve"> In some studies, periods of concurrent </w:t>
      </w:r>
      <w:r w:rsidR="002974A4">
        <w:t>study and emp</w:t>
      </w:r>
      <w:r w:rsidR="00B15D48">
        <w:t>loyment are identified</w:t>
      </w:r>
      <w:r w:rsidR="002974A4">
        <w:t xml:space="preserve"> (</w:t>
      </w:r>
      <w:r w:rsidR="00B15D48">
        <w:t xml:space="preserve">to capture </w:t>
      </w:r>
      <w:r w:rsidR="002974A4">
        <w:t>apprenticeships</w:t>
      </w:r>
      <w:r w:rsidR="00B15D48">
        <w:t xml:space="preserve"> and other types of study </w:t>
      </w:r>
      <w:r w:rsidR="005818B2">
        <w:t>undertaken while working</w:t>
      </w:r>
      <w:r w:rsidR="002974A4">
        <w:t>)</w:t>
      </w:r>
      <w:r w:rsidR="005818B2">
        <w:t>.</w:t>
      </w:r>
      <w:r w:rsidR="002974A4">
        <w:t xml:space="preserve"> </w:t>
      </w:r>
      <w:r w:rsidR="005818B2">
        <w:t xml:space="preserve">NEET is often split between </w:t>
      </w:r>
      <w:r w:rsidR="002974A4">
        <w:t>unemp</w:t>
      </w:r>
      <w:r w:rsidR="005818B2">
        <w:t xml:space="preserve">loyment and not in the labour force </w:t>
      </w:r>
      <w:r>
        <w:t>(</w:t>
      </w:r>
      <w:r w:rsidR="002974A4">
        <w:t>NILF</w:t>
      </w:r>
      <w:r w:rsidR="005818B2">
        <w:t>)</w:t>
      </w:r>
      <w:r w:rsidR="002974A4">
        <w:t xml:space="preserve">. </w:t>
      </w:r>
      <w:r w:rsidR="005818B2">
        <w:t xml:space="preserve">In most studies, the NILF category </w:t>
      </w:r>
      <w:r w:rsidR="002974A4">
        <w:t xml:space="preserve">includes </w:t>
      </w:r>
      <w:r w:rsidR="005818B2">
        <w:t xml:space="preserve">individuals who </w:t>
      </w:r>
      <w:r w:rsidR="008413D4">
        <w:t>are no longer</w:t>
      </w:r>
      <w:r w:rsidR="005818B2">
        <w:t xml:space="preserve"> </w:t>
      </w:r>
      <w:r w:rsidR="008413D4">
        <w:t xml:space="preserve">actively </w:t>
      </w:r>
      <w:r w:rsidR="005818B2">
        <w:t>search</w:t>
      </w:r>
      <w:r w:rsidR="008413D4">
        <w:t>ing for work</w:t>
      </w:r>
      <w:r w:rsidR="005818B2">
        <w:t xml:space="preserve">, </w:t>
      </w:r>
      <w:r w:rsidR="00F10F24">
        <w:t xml:space="preserve">those </w:t>
      </w:r>
      <w:r w:rsidR="002974A4">
        <w:t xml:space="preserve">who are unable to work due to illness/injury or disability, </w:t>
      </w:r>
      <w:r w:rsidR="005818B2">
        <w:t>and those</w:t>
      </w:r>
      <w:r w:rsidR="002974A4">
        <w:t xml:space="preserve"> who </w:t>
      </w:r>
      <w:r w:rsidR="005818B2">
        <w:t xml:space="preserve">retire or </w:t>
      </w:r>
      <w:r w:rsidR="008413D4">
        <w:t>temporarily withdraw from the labour force</w:t>
      </w:r>
      <w:r w:rsidR="002974A4">
        <w:t xml:space="preserve"> to care for young children</w:t>
      </w:r>
      <w:r w:rsidR="008413D4">
        <w:t xml:space="preserve"> or disabled relatives</w:t>
      </w:r>
      <w:r w:rsidR="002974A4">
        <w:t>.</w:t>
      </w:r>
      <w:r w:rsidR="005818B2">
        <w:rPr>
          <w:rStyle w:val="FootnoteReference"/>
        </w:rPr>
        <w:footnoteReference w:id="3"/>
      </w:r>
    </w:p>
    <w:p w:rsidR="00960347" w:rsidRDefault="00B80AFD" w:rsidP="002974A4">
      <w:pPr>
        <w:pStyle w:val="BodyText"/>
      </w:pPr>
      <w:r>
        <w:t xml:space="preserve">Typically, about </w:t>
      </w:r>
      <w:r w:rsidR="00123C63">
        <w:t>6</w:t>
      </w:r>
      <w:r>
        <w:t xml:space="preserve"> or </w:t>
      </w:r>
      <w:r w:rsidR="00123C63">
        <w:t>7</w:t>
      </w:r>
      <w:r>
        <w:t xml:space="preserve"> activity categories are defined, although some studies </w:t>
      </w:r>
      <w:r w:rsidR="008413D4">
        <w:t>have</w:t>
      </w:r>
      <w:r>
        <w:t xml:space="preserve"> up to 13 activities. The number of activities is usually driven by data availability and the research question, although the more categories </w:t>
      </w:r>
      <w:r w:rsidR="008413D4">
        <w:t xml:space="preserve">there are, </w:t>
      </w:r>
      <w:r w:rsidR="0026206D">
        <w:t xml:space="preserve">the more difficult it can be to distinguish </w:t>
      </w:r>
      <w:r w:rsidR="00DB5FD3">
        <w:t>high</w:t>
      </w:r>
      <w:r w:rsidR="00915219">
        <w:t>-</w:t>
      </w:r>
      <w:r w:rsidR="00DB5FD3">
        <w:t xml:space="preserve">level </w:t>
      </w:r>
      <w:r w:rsidR="0026206D">
        <w:t xml:space="preserve">changes </w:t>
      </w:r>
      <w:r w:rsidR="00915219">
        <w:t>(</w:t>
      </w:r>
      <w:r w:rsidR="008413D4">
        <w:t>such as</w:t>
      </w:r>
      <w:r w:rsidR="0026206D">
        <w:t xml:space="preserve"> job loss </w:t>
      </w:r>
      <w:r w:rsidR="00DB5FD3">
        <w:t>or finishing education</w:t>
      </w:r>
      <w:r w:rsidR="00915219">
        <w:t>)</w:t>
      </w:r>
      <w:r w:rsidR="00DB5FD3">
        <w:t xml:space="preserve"> </w:t>
      </w:r>
      <w:r w:rsidR="0026206D">
        <w:t xml:space="preserve">from </w:t>
      </w:r>
      <w:r w:rsidR="00DB5FD3">
        <w:t xml:space="preserve">more marginal </w:t>
      </w:r>
      <w:r w:rsidR="0026206D">
        <w:t xml:space="preserve">changes </w:t>
      </w:r>
      <w:r w:rsidR="00915219">
        <w:t>(</w:t>
      </w:r>
      <w:r w:rsidR="0026206D">
        <w:t>such as a change in occupation</w:t>
      </w:r>
      <w:r w:rsidR="00DB5FD3">
        <w:t xml:space="preserve"> or the level of study</w:t>
      </w:r>
      <w:r w:rsidR="00915219">
        <w:t>)</w:t>
      </w:r>
      <w:r w:rsidR="0026206D">
        <w:t>.</w:t>
      </w:r>
    </w:p>
    <w:p w:rsidR="00960347" w:rsidRDefault="00960347" w:rsidP="00960347">
      <w:pPr>
        <w:pStyle w:val="Heading4"/>
      </w:pPr>
      <w:r>
        <w:t>Effects on pathways</w:t>
      </w:r>
    </w:p>
    <w:p w:rsidR="00B80AFD" w:rsidRDefault="00960347" w:rsidP="002974A4">
      <w:pPr>
        <w:pStyle w:val="BodyText"/>
      </w:pPr>
      <w:r>
        <w:t>D</w:t>
      </w:r>
      <w:r w:rsidR="0046495D">
        <w:t xml:space="preserve">isaggregating an activity category can increase the scope for more pathways to be identified. For example, </w:t>
      </w:r>
      <w:r w:rsidR="004F5176">
        <w:t xml:space="preserve">Kogan (2007) </w:t>
      </w:r>
      <w:r w:rsidR="008A3F07">
        <w:t xml:space="preserve">and </w:t>
      </w:r>
      <w:r w:rsidR="0046495D">
        <w:t>Yu et al</w:t>
      </w:r>
      <w:r w:rsidR="00F52276">
        <w:t>.</w:t>
      </w:r>
      <w:r w:rsidR="0046495D">
        <w:t xml:space="preserve"> </w:t>
      </w:r>
      <w:r w:rsidR="00F52276">
        <w:t xml:space="preserve">(2012) </w:t>
      </w:r>
      <w:r w:rsidR="0046495D">
        <w:t xml:space="preserve">distinguish employment by broad occupation and find </w:t>
      </w:r>
      <w:r w:rsidR="00F52276">
        <w:t xml:space="preserve">eight </w:t>
      </w:r>
      <w:r w:rsidR="008A3F07">
        <w:t xml:space="preserve">out </w:t>
      </w:r>
      <w:r w:rsidR="00F52276">
        <w:t xml:space="preserve">of ten pathways identified </w:t>
      </w:r>
      <w:r w:rsidR="008A3F07">
        <w:t>in their studies could</w:t>
      </w:r>
      <w:r w:rsidR="00F52276">
        <w:t xml:space="preserve"> be characterised by individuals spending most of the</w:t>
      </w:r>
      <w:r w:rsidR="003E1225">
        <w:t>ir</w:t>
      </w:r>
      <w:r w:rsidR="00F52276">
        <w:t xml:space="preserve"> time employed in the same broad occupation. Were the analysis to </w:t>
      </w:r>
      <w:r w:rsidR="00CD1F18">
        <w:t xml:space="preserve">be redone using </w:t>
      </w:r>
      <w:r w:rsidR="008A3F07">
        <w:t xml:space="preserve">a generic </w:t>
      </w:r>
      <w:r w:rsidR="00CD1F18">
        <w:t xml:space="preserve">employment </w:t>
      </w:r>
      <w:r w:rsidR="008A3F07">
        <w:t>activity</w:t>
      </w:r>
      <w:r w:rsidR="00CD1F18">
        <w:t xml:space="preserve">, it is likely that individuals in those eight pathways would be regrouped into fewer, larger pathways </w:t>
      </w:r>
      <w:r w:rsidR="008413D4">
        <w:t xml:space="preserve">characterised </w:t>
      </w:r>
      <w:r w:rsidR="00CD1F18">
        <w:t>by continuous employment.</w:t>
      </w:r>
    </w:p>
    <w:p w:rsidR="00B62A8B" w:rsidRPr="002974A4" w:rsidRDefault="0026206D" w:rsidP="0026206D">
      <w:pPr>
        <w:pStyle w:val="Heading3"/>
        <w:rPr>
          <w:b w:val="0"/>
        </w:rPr>
      </w:pPr>
      <w:r>
        <w:t>Timeframes</w:t>
      </w:r>
    </w:p>
    <w:p w:rsidR="006E544A" w:rsidRDefault="00E85476" w:rsidP="00E85476">
      <w:pPr>
        <w:pStyle w:val="BodyText"/>
      </w:pPr>
      <w:r>
        <w:t xml:space="preserve">In these types of studies there is a tradeoff between the </w:t>
      </w:r>
      <w:r w:rsidR="00805A4C">
        <w:t>period</w:t>
      </w:r>
      <w:r>
        <w:t xml:space="preserve"> covered and the frequency of the observations on activities</w:t>
      </w:r>
      <w:r w:rsidR="004E64F9">
        <w:t xml:space="preserve"> of interest</w:t>
      </w:r>
      <w:r>
        <w:t>.</w:t>
      </w:r>
    </w:p>
    <w:p w:rsidR="00810F90" w:rsidRDefault="00BA7469" w:rsidP="007D60B9">
      <w:pPr>
        <w:pStyle w:val="BodyText"/>
      </w:pPr>
      <w:r>
        <w:lastRenderedPageBreak/>
        <w:t xml:space="preserve">Computational complexity typically limits sequences of monthly activities to less than </w:t>
      </w:r>
      <w:r w:rsidR="008413D4">
        <w:t>ten</w:t>
      </w:r>
      <w:r>
        <w:t xml:space="preserve"> years. </w:t>
      </w:r>
      <w:r w:rsidR="007D60B9">
        <w:t>With much of the focus on youth</w:t>
      </w:r>
      <w:r w:rsidR="00D164B4">
        <w:t>s</w:t>
      </w:r>
      <w:r w:rsidR="007D60B9">
        <w:t xml:space="preserve"> and their initial entry to the labour market — which can involve </w:t>
      </w:r>
      <w:r w:rsidR="00E950CD">
        <w:t>many</w:t>
      </w:r>
      <w:r w:rsidR="007D60B9">
        <w:t xml:space="preserve"> changes in a short time — most studies use shorter sequences of about </w:t>
      </w:r>
      <w:r w:rsidR="00737628">
        <w:t>three to six</w:t>
      </w:r>
      <w:r w:rsidR="007D60B9">
        <w:t xml:space="preserve"> years. This is usually deemed sufficient to capture the transition from education to work</w:t>
      </w:r>
      <w:r w:rsidR="00810F90">
        <w:t xml:space="preserve">. </w:t>
      </w:r>
    </w:p>
    <w:p w:rsidR="00810F90" w:rsidRDefault="00810F90" w:rsidP="00810F90">
      <w:pPr>
        <w:pStyle w:val="BodyText"/>
      </w:pPr>
      <w:r>
        <w:t xml:space="preserve">However, </w:t>
      </w:r>
      <w:r w:rsidR="007D60B9">
        <w:t xml:space="preserve">a longer timeframe can </w:t>
      </w:r>
      <w:r w:rsidR="00D32894">
        <w:t xml:space="preserve">capture late changes </w:t>
      </w:r>
      <w:r w:rsidR="007D60B9">
        <w:t xml:space="preserve">(such as gaining employment after prolonged periods of unemployment or inactivity — </w:t>
      </w:r>
      <w:r w:rsidR="00D32894">
        <w:t xml:space="preserve">as in the </w:t>
      </w:r>
      <w:r w:rsidR="00655F99" w:rsidRPr="00655F99">
        <w:rPr>
          <w:i/>
        </w:rPr>
        <w:t>R</w:t>
      </w:r>
      <w:r w:rsidR="00D32894" w:rsidRPr="00655F99">
        <w:rPr>
          <w:i/>
        </w:rPr>
        <w:t>ecovery</w:t>
      </w:r>
      <w:r w:rsidR="00D32894">
        <w:t xml:space="preserve"> pathway</w:t>
      </w:r>
      <w:r w:rsidR="007D60B9">
        <w:t xml:space="preserve"> </w:t>
      </w:r>
      <w:r w:rsidR="00D32894">
        <w:t xml:space="preserve">in </w:t>
      </w:r>
      <w:r w:rsidR="007D60B9">
        <w:t>Q</w:t>
      </w:r>
      <w:r w:rsidR="00D32894">
        <w:t xml:space="preserve">uintini and </w:t>
      </w:r>
      <w:r w:rsidR="007D60B9">
        <w:t>M</w:t>
      </w:r>
      <w:r w:rsidR="00D32894">
        <w:t>anfredi 2009</w:t>
      </w:r>
      <w:r w:rsidR="007D60B9">
        <w:t>).</w:t>
      </w:r>
      <w:r>
        <w:t xml:space="preserve"> Brzinsky</w:t>
      </w:r>
      <w:r w:rsidR="002D3332">
        <w:noBreakHyphen/>
      </w:r>
      <w:r>
        <w:t>Fay (2007) analysed the activities of European youth</w:t>
      </w:r>
      <w:r w:rsidR="00D164B4">
        <w:t>s</w:t>
      </w:r>
      <w:r>
        <w:t xml:space="preserve"> over five years </w:t>
      </w:r>
      <w:r w:rsidR="00C24195">
        <w:t xml:space="preserve">after the completion of </w:t>
      </w:r>
      <w:r>
        <w:t xml:space="preserve">general schooling. Two of the pathways identified were </w:t>
      </w:r>
      <w:r w:rsidR="00EE0438">
        <w:t xml:space="preserve">labelled </w:t>
      </w:r>
      <w:r w:rsidR="00655F99" w:rsidRPr="00655F99">
        <w:rPr>
          <w:i/>
        </w:rPr>
        <w:t>F</w:t>
      </w:r>
      <w:r w:rsidRPr="00655F99">
        <w:rPr>
          <w:i/>
        </w:rPr>
        <w:t>ailure</w:t>
      </w:r>
      <w:r>
        <w:t xml:space="preserve"> and </w:t>
      </w:r>
      <w:r w:rsidR="00655F99" w:rsidRPr="00655F99">
        <w:rPr>
          <w:i/>
        </w:rPr>
        <w:t>Detour</w:t>
      </w:r>
      <w:r w:rsidR="00C84EE2">
        <w:t>.</w:t>
      </w:r>
      <w:r w:rsidR="00C24195">
        <w:t xml:space="preserve"> </w:t>
      </w:r>
      <w:r w:rsidR="00C84EE2">
        <w:t>B</w:t>
      </w:r>
      <w:r>
        <w:t xml:space="preserve">oth pathways were characterised by prolonged unemployment over the first three years. Thereafter, the patterns diverged as individuals in the </w:t>
      </w:r>
      <w:r w:rsidR="00655F99" w:rsidRPr="00655F99">
        <w:rPr>
          <w:i/>
        </w:rPr>
        <w:t>D</w:t>
      </w:r>
      <w:r w:rsidRPr="00655F99">
        <w:rPr>
          <w:i/>
        </w:rPr>
        <w:t>etour</w:t>
      </w:r>
      <w:r>
        <w:t xml:space="preserve"> pathway increasingly gained employment that continued for the remainder of the five</w:t>
      </w:r>
      <w:r w:rsidR="00123C63">
        <w:noBreakHyphen/>
      </w:r>
      <w:r>
        <w:t>year period</w:t>
      </w:r>
      <w:r w:rsidR="00C24195">
        <w:t>, while</w:t>
      </w:r>
      <w:r>
        <w:t xml:space="preserve"> individuals in the </w:t>
      </w:r>
      <w:r w:rsidR="00655F99" w:rsidRPr="00655F99">
        <w:rPr>
          <w:i/>
        </w:rPr>
        <w:t>F</w:t>
      </w:r>
      <w:r w:rsidRPr="00655F99">
        <w:rPr>
          <w:i/>
        </w:rPr>
        <w:t>ailure</w:t>
      </w:r>
      <w:r>
        <w:t xml:space="preserve"> pathway mostly remained unemployed.</w:t>
      </w:r>
      <w:r w:rsidR="00E85476">
        <w:t xml:space="preserve"> If a shorter timeframe had been used for that study, it is likely that the </w:t>
      </w:r>
      <w:r w:rsidR="00655F99" w:rsidRPr="00655F99">
        <w:rPr>
          <w:i/>
        </w:rPr>
        <w:t>D</w:t>
      </w:r>
      <w:r w:rsidR="00E85476" w:rsidRPr="00655F99">
        <w:rPr>
          <w:i/>
        </w:rPr>
        <w:t>etour</w:t>
      </w:r>
      <w:r w:rsidR="00E85476">
        <w:t xml:space="preserve"> pathway would not have been identified.</w:t>
      </w:r>
    </w:p>
    <w:p w:rsidR="007D5521" w:rsidRDefault="00EE0438" w:rsidP="007D60B9">
      <w:pPr>
        <w:pStyle w:val="BodyText"/>
      </w:pPr>
      <w:r>
        <w:t xml:space="preserve">Turbulent patterns </w:t>
      </w:r>
      <w:r w:rsidR="00C24195">
        <w:t xml:space="preserve">in labour market histories </w:t>
      </w:r>
      <w:r>
        <w:t>cannot be captured using annual data. In the case of youth</w:t>
      </w:r>
      <w:r w:rsidR="00D164B4">
        <w:t>s</w:t>
      </w:r>
      <w:r>
        <w:t>, ‘the school</w:t>
      </w:r>
      <w:r w:rsidR="002D3332">
        <w:noBreakHyphen/>
      </w:r>
      <w:r>
        <w:t>to</w:t>
      </w:r>
      <w:r w:rsidR="002D3332">
        <w:noBreakHyphen/>
      </w:r>
      <w:r>
        <w:t>work transition process has become longer and more complex due to the growing importance of intermediate states such as temporary jobs, rapid job</w:t>
      </w:r>
      <w:r w:rsidR="00002564">
        <w:noBreakHyphen/>
      </w:r>
      <w:r>
        <w:t>changing and instability’ (Corrales</w:t>
      </w:r>
      <w:r w:rsidR="002D3332">
        <w:noBreakHyphen/>
      </w:r>
      <w:r>
        <w:t>Herrero and Rodríguez</w:t>
      </w:r>
      <w:r w:rsidR="002D3332">
        <w:noBreakHyphen/>
      </w:r>
      <w:r>
        <w:t>Prado 2012, p.</w:t>
      </w:r>
      <w:r w:rsidR="002D3332">
        <w:t> </w:t>
      </w:r>
      <w:r>
        <w:t xml:space="preserve">3779). Such instability is apparent in the </w:t>
      </w:r>
      <w:r w:rsidR="00655F99" w:rsidRPr="00655F99">
        <w:rPr>
          <w:i/>
        </w:rPr>
        <w:t>I</w:t>
      </w:r>
      <w:r w:rsidRPr="00655F99">
        <w:rPr>
          <w:i/>
        </w:rPr>
        <w:t xml:space="preserve">n and </w:t>
      </w:r>
      <w:r w:rsidR="00655F99" w:rsidRPr="00655F99">
        <w:rPr>
          <w:i/>
        </w:rPr>
        <w:t>Out</w:t>
      </w:r>
      <w:r>
        <w:t xml:space="preserve"> pathway in Quintini and Manfredi (2009), which shows many youth</w:t>
      </w:r>
      <w:r w:rsidR="00D164B4">
        <w:t>s</w:t>
      </w:r>
      <w:r>
        <w:t xml:space="preserve"> — particularly in the U</w:t>
      </w:r>
      <w:r w:rsidR="00075435">
        <w:t xml:space="preserve">nited </w:t>
      </w:r>
      <w:r>
        <w:t>S</w:t>
      </w:r>
      <w:r w:rsidR="00075435">
        <w:t>tates</w:t>
      </w:r>
      <w:r>
        <w:t xml:space="preserve"> — change activity (sometimes several times) within a year.</w:t>
      </w:r>
    </w:p>
    <w:p w:rsidR="007D60B9" w:rsidRDefault="00283395" w:rsidP="007D60B9">
      <w:pPr>
        <w:pStyle w:val="BodyText"/>
      </w:pPr>
      <w:r>
        <w:t xml:space="preserve">Annual activities </w:t>
      </w:r>
      <w:r w:rsidR="00737628">
        <w:t xml:space="preserve">tend to be used in studies that adopt a longer timeframe </w:t>
      </w:r>
      <w:r w:rsidR="00F36F7D">
        <w:t xml:space="preserve">for the sequences </w:t>
      </w:r>
      <w:r w:rsidR="00737628">
        <w:t xml:space="preserve">— </w:t>
      </w:r>
      <w:r w:rsidR="00AC0058">
        <w:t>between</w:t>
      </w:r>
      <w:r w:rsidR="00737628">
        <w:t xml:space="preserve"> 10 </w:t>
      </w:r>
      <w:r w:rsidR="00AC0058">
        <w:t>and</w:t>
      </w:r>
      <w:r w:rsidR="00737628">
        <w:t xml:space="preserve"> 25 years.</w:t>
      </w:r>
      <w:r w:rsidR="00EC7A68">
        <w:t xml:space="preserve"> </w:t>
      </w:r>
      <w:r w:rsidR="00E52F9B">
        <w:t>Sometimes this choice is dictated by the data. For example</w:t>
      </w:r>
      <w:r w:rsidR="00C24195">
        <w:t>,</w:t>
      </w:r>
      <w:r w:rsidR="00E52F9B">
        <w:t xml:space="preserve"> the </w:t>
      </w:r>
      <w:r w:rsidR="00E52F9B" w:rsidRPr="00075435">
        <w:rPr>
          <w:i/>
        </w:rPr>
        <w:t>General Social Survey of China</w:t>
      </w:r>
      <w:r w:rsidR="00E52F9B">
        <w:t xml:space="preserve"> (used </w:t>
      </w:r>
      <w:r w:rsidR="00C24195">
        <w:t xml:space="preserve">by </w:t>
      </w:r>
      <w:r w:rsidR="00620BBC">
        <w:t xml:space="preserve">Lin </w:t>
      </w:r>
      <w:r w:rsidR="00E52F9B">
        <w:t>2013) asks respondents to recall which years they spent engaged in various employment and non</w:t>
      </w:r>
      <w:r w:rsidR="002D3332">
        <w:noBreakHyphen/>
      </w:r>
      <w:r w:rsidR="00E52F9B">
        <w:t>employment activities over the course of their career</w:t>
      </w:r>
      <w:r w:rsidR="00C24195">
        <w:t>s</w:t>
      </w:r>
      <w:r w:rsidR="00E52F9B">
        <w:t xml:space="preserve">. In other </w:t>
      </w:r>
      <w:r w:rsidR="00C84EE2">
        <w:t>studies</w:t>
      </w:r>
      <w:r w:rsidR="00E52F9B">
        <w:t>, there is a conversion from monthly to annual activities using either a representative month’s activity (Schoon et al. 2001) or a most frequent activity during each year (Anyadike</w:t>
      </w:r>
      <w:r w:rsidR="002D3332">
        <w:noBreakHyphen/>
      </w:r>
      <w:r w:rsidR="00E52F9B">
        <w:t>Danes and McVicar 2005, 2010).</w:t>
      </w:r>
    </w:p>
    <w:p w:rsidR="00F317F2" w:rsidRPr="00705722" w:rsidRDefault="003C3133" w:rsidP="00F317F2">
      <w:pPr>
        <w:pStyle w:val="BodyText"/>
      </w:pPr>
      <w:r>
        <w:t>To summarise, i</w:t>
      </w:r>
      <w:r w:rsidR="00F317F2">
        <w:t>ntra</w:t>
      </w:r>
      <w:r w:rsidR="002D3332">
        <w:noBreakHyphen/>
      </w:r>
      <w:r w:rsidR="00F317F2">
        <w:t>year data over a short period of time show some of the turbulent (churning) patterns associated with short periods of employment and unemployment. On the other hand, activity sequences over a long period are needed to identify longer</w:t>
      </w:r>
      <w:r w:rsidR="002D3332">
        <w:noBreakHyphen/>
      </w:r>
      <w:r w:rsidR="00F317F2">
        <w:t>term patterns. Thus, tracking the monthly post</w:t>
      </w:r>
      <w:r w:rsidR="002D3332">
        <w:noBreakHyphen/>
      </w:r>
      <w:r w:rsidR="00F317F2">
        <w:t>school activities of youth</w:t>
      </w:r>
      <w:r w:rsidR="00AA69E8">
        <w:t>s</w:t>
      </w:r>
      <w:r w:rsidR="00F317F2">
        <w:t xml:space="preserve"> over three years may not be sufficiently long to observe some youth</w:t>
      </w:r>
      <w:r w:rsidR="00AA69E8">
        <w:t>s</w:t>
      </w:r>
      <w:r w:rsidR="00F317F2">
        <w:t xml:space="preserve"> complete their education and gain stable employment. </w:t>
      </w:r>
      <w:r>
        <w:t>S</w:t>
      </w:r>
      <w:r w:rsidR="00F317F2">
        <w:t>ome individuals who are long</w:t>
      </w:r>
      <w:r w:rsidR="002D3332">
        <w:noBreakHyphen/>
      </w:r>
      <w:r w:rsidR="00F317F2">
        <w:t xml:space="preserve">term unemployed may be observed to secure employment, although a longer </w:t>
      </w:r>
      <w:r w:rsidR="00F317F2">
        <w:lastRenderedPageBreak/>
        <w:t>time would be required to determine whether their employment continues or is transitory.</w:t>
      </w:r>
      <w:r>
        <w:t xml:space="preserve"> In this </w:t>
      </w:r>
      <w:r w:rsidR="00825BFD">
        <w:t>study, monthly data for a ten</w:t>
      </w:r>
      <w:r w:rsidR="006A0645">
        <w:noBreakHyphen/>
      </w:r>
      <w:r>
        <w:t>year period are used, which reduces the problem of censoring that arises when using survey data of short duration.</w:t>
      </w:r>
      <w:r>
        <w:rPr>
          <w:rStyle w:val="FootnoteReference"/>
        </w:rPr>
        <w:footnoteReference w:id="4"/>
      </w:r>
    </w:p>
    <w:p w:rsidR="00D16CF1" w:rsidRDefault="0002378E" w:rsidP="00221369">
      <w:pPr>
        <w:pStyle w:val="Heading2"/>
      </w:pPr>
      <w:bookmarkStart w:id="8" w:name="OLE_LINK4"/>
      <w:r>
        <w:t>2.</w:t>
      </w:r>
      <w:r w:rsidR="00B060AF">
        <w:rPr>
          <w:noProof/>
        </w:rPr>
        <w:t>3</w:t>
      </w:r>
      <w:bookmarkEnd w:id="8"/>
      <w:r w:rsidR="00075435">
        <w:tab/>
      </w:r>
      <w:r w:rsidR="008E4EDF">
        <w:t>Key findings</w:t>
      </w:r>
      <w:r w:rsidR="0012206A">
        <w:t xml:space="preserve"> of the transition pathways literature</w:t>
      </w:r>
    </w:p>
    <w:p w:rsidR="007E4087" w:rsidRDefault="000416D4" w:rsidP="00CB5C9C">
      <w:pPr>
        <w:pStyle w:val="BodyText"/>
      </w:pPr>
      <w:r>
        <w:t xml:space="preserve">A review of the literature shows that most individuals follow pathways </w:t>
      </w:r>
      <w:r w:rsidR="00805A4C">
        <w:t xml:space="preserve">that are </w:t>
      </w:r>
      <w:r>
        <w:t xml:space="preserve">strongly associated with </w:t>
      </w:r>
      <w:r w:rsidR="00C24195">
        <w:t>investing in</w:t>
      </w:r>
      <w:r w:rsidR="00C24195" w:rsidDel="00C24195">
        <w:t xml:space="preserve"> </w:t>
      </w:r>
      <w:r w:rsidR="00B10B0B">
        <w:t xml:space="preserve">or </w:t>
      </w:r>
      <w:r>
        <w:t>using their human capital</w:t>
      </w:r>
      <w:r w:rsidR="00C24195">
        <w:t xml:space="preserve">. The </w:t>
      </w:r>
      <w:r>
        <w:t xml:space="preserve">few studies focussing on the later life activities of seniors </w:t>
      </w:r>
      <w:r w:rsidR="00C24195">
        <w:t>are</w:t>
      </w:r>
      <w:r>
        <w:t xml:space="preserve"> dominated by transitions </w:t>
      </w:r>
      <w:r w:rsidR="007E4087">
        <w:t>out of the labour force</w:t>
      </w:r>
      <w:r>
        <w:t>.</w:t>
      </w:r>
    </w:p>
    <w:p w:rsidR="00CB5C9C" w:rsidRDefault="0012206A" w:rsidP="00CB5C9C">
      <w:pPr>
        <w:pStyle w:val="BodyText"/>
      </w:pPr>
      <w:r>
        <w:t>C</w:t>
      </w:r>
      <w:r w:rsidR="00CB5C9C">
        <w:t xml:space="preserve">omparing specific findings </w:t>
      </w:r>
      <w:r w:rsidR="000416D4">
        <w:t>from</w:t>
      </w:r>
      <w:r w:rsidR="00CB5C9C">
        <w:t xml:space="preserve"> </w:t>
      </w:r>
      <w:r w:rsidR="00C24195">
        <w:t>different</w:t>
      </w:r>
      <w:r w:rsidR="00CB5C9C">
        <w:t xml:space="preserve"> studies can be difficult due to the variations in their designs. However, some broad themes emerge.</w:t>
      </w:r>
    </w:p>
    <w:p w:rsidR="00774302" w:rsidRDefault="009F2F8D" w:rsidP="00EB576D">
      <w:pPr>
        <w:pStyle w:val="BodyText"/>
      </w:pPr>
      <w:r>
        <w:t xml:space="preserve">Most </w:t>
      </w:r>
      <w:r w:rsidR="009622C1">
        <w:t xml:space="preserve">studies </w:t>
      </w:r>
      <w:r w:rsidR="00BE31DD">
        <w:t xml:space="preserve">using sequence analysis methods </w:t>
      </w:r>
      <w:r w:rsidR="009622C1">
        <w:t>identify</w:t>
      </w:r>
      <w:r>
        <w:t xml:space="preserve"> </w:t>
      </w:r>
      <w:r w:rsidR="00CB5C9C">
        <w:t xml:space="preserve">about </w:t>
      </w:r>
      <w:r w:rsidR="00F6302D">
        <w:t xml:space="preserve">five to ten </w:t>
      </w:r>
      <w:r w:rsidR="00EB576D">
        <w:t>pathways</w:t>
      </w:r>
      <w:r w:rsidR="00BE31DD">
        <w:t xml:space="preserve"> based on distinct patterns in individuals’ activities</w:t>
      </w:r>
      <w:r w:rsidR="002430CB">
        <w:t>.</w:t>
      </w:r>
      <w:r w:rsidR="00F317F2">
        <w:rPr>
          <w:rStyle w:val="FootnoteReference"/>
        </w:rPr>
        <w:footnoteReference w:id="5"/>
      </w:r>
      <w:r w:rsidR="00141F2C">
        <w:t xml:space="preserve"> </w:t>
      </w:r>
      <w:r w:rsidR="004502B0">
        <w:t>The p</w:t>
      </w:r>
      <w:r w:rsidR="002430CB">
        <w:t xml:space="preserve">athways </w:t>
      </w:r>
      <w:r w:rsidR="00DD0E1A">
        <w:t>do</w:t>
      </w:r>
      <w:r w:rsidR="002430CB">
        <w:t xml:space="preserve"> not </w:t>
      </w:r>
      <w:r w:rsidR="00DD0E1A">
        <w:t xml:space="preserve">usually </w:t>
      </w:r>
      <w:r w:rsidR="002430CB">
        <w:t xml:space="preserve">represent equal shares of the sample — </w:t>
      </w:r>
      <w:r w:rsidR="009622C1">
        <w:t xml:space="preserve">a single pathway can </w:t>
      </w:r>
      <w:r w:rsidR="00DD0E1A">
        <w:t>dominate, in some cases representing more than 70</w:t>
      </w:r>
      <w:r w:rsidR="00123C63">
        <w:t> </w:t>
      </w:r>
      <w:r w:rsidR="009622C1">
        <w:t>per cent of the sample</w:t>
      </w:r>
      <w:r>
        <w:t>.</w:t>
      </w:r>
      <w:r w:rsidR="007D0FDC">
        <w:t xml:space="preserve"> </w:t>
      </w:r>
      <w:r w:rsidR="00774302">
        <w:t xml:space="preserve">For example, the </w:t>
      </w:r>
      <w:r w:rsidR="00655F99" w:rsidRPr="00655F99">
        <w:rPr>
          <w:i/>
        </w:rPr>
        <w:t>Employed</w:t>
      </w:r>
      <w:r w:rsidR="00774302">
        <w:t xml:space="preserve"> pathway in Anyadike</w:t>
      </w:r>
      <w:r w:rsidR="002D3332">
        <w:noBreakHyphen/>
      </w:r>
      <w:r w:rsidR="00774302">
        <w:t>Danes and McVicar (2005) represented 75</w:t>
      </w:r>
      <w:r w:rsidR="002D3332">
        <w:t> </w:t>
      </w:r>
      <w:r w:rsidR="00774302">
        <w:t>per</w:t>
      </w:r>
      <w:r w:rsidR="00F10F24">
        <w:t> </w:t>
      </w:r>
      <w:r w:rsidR="00774302">
        <w:t>cent of individuals. In that pathway, prolonged periods of employment do</w:t>
      </w:r>
      <w:r w:rsidR="00A766FA">
        <w:t>minated the observed patterns. In Corrales</w:t>
      </w:r>
      <w:r w:rsidR="002D3332">
        <w:noBreakHyphen/>
      </w:r>
      <w:r w:rsidR="00A766FA">
        <w:t>Herrero and Rodríguez</w:t>
      </w:r>
      <w:r w:rsidR="002D3332">
        <w:noBreakHyphen/>
      </w:r>
      <w:r w:rsidR="00A766FA">
        <w:t xml:space="preserve">Prado (2012), </w:t>
      </w:r>
      <w:r w:rsidR="0080151C">
        <w:t xml:space="preserve">one pathway — labelled </w:t>
      </w:r>
      <w:r w:rsidR="00655F99" w:rsidRPr="00655F99">
        <w:rPr>
          <w:i/>
        </w:rPr>
        <w:t>C</w:t>
      </w:r>
      <w:r w:rsidR="0080151C" w:rsidRPr="00655F99">
        <w:rPr>
          <w:i/>
        </w:rPr>
        <w:t xml:space="preserve">ontinuously in </w:t>
      </w:r>
      <w:r w:rsidR="00655F99" w:rsidRPr="00655F99">
        <w:rPr>
          <w:i/>
        </w:rPr>
        <w:t>F</w:t>
      </w:r>
      <w:r w:rsidR="0080151C" w:rsidRPr="00655F99">
        <w:rPr>
          <w:i/>
        </w:rPr>
        <w:t>ull</w:t>
      </w:r>
      <w:r w:rsidR="002D3332" w:rsidRPr="00655F99">
        <w:rPr>
          <w:i/>
        </w:rPr>
        <w:noBreakHyphen/>
      </w:r>
      <w:r w:rsidR="00655F99" w:rsidRPr="00655F99">
        <w:rPr>
          <w:i/>
        </w:rPr>
        <w:t>T</w:t>
      </w:r>
      <w:r w:rsidR="0080151C" w:rsidRPr="00655F99">
        <w:rPr>
          <w:i/>
        </w:rPr>
        <w:t xml:space="preserve">ime </w:t>
      </w:r>
      <w:r w:rsidR="00655F99" w:rsidRPr="00655F99">
        <w:rPr>
          <w:i/>
        </w:rPr>
        <w:t>Job</w:t>
      </w:r>
      <w:r w:rsidR="0080151C">
        <w:t xml:space="preserve"> — represented </w:t>
      </w:r>
      <w:r w:rsidR="00A766FA">
        <w:t>71</w:t>
      </w:r>
      <w:r w:rsidR="00123C63">
        <w:t> </w:t>
      </w:r>
      <w:r w:rsidR="00A766FA">
        <w:t>per cent of the sample.</w:t>
      </w:r>
    </w:p>
    <w:p w:rsidR="00CD1B26" w:rsidRDefault="00055B88" w:rsidP="00980FA9">
      <w:pPr>
        <w:pStyle w:val="BodyText"/>
      </w:pPr>
      <w:r>
        <w:t>Although there is variation among the sequences within a</w:t>
      </w:r>
      <w:r w:rsidR="00C24195">
        <w:t>ny</w:t>
      </w:r>
      <w:r>
        <w:t xml:space="preserve"> pathway, each pathway has a distinct overall pattern that differs from other pathways. </w:t>
      </w:r>
      <w:r w:rsidR="007D0FDC">
        <w:t xml:space="preserve">Descriptive labels for each pathway are usually </w:t>
      </w:r>
      <w:r w:rsidR="008A3F07">
        <w:t xml:space="preserve">formulated </w:t>
      </w:r>
      <w:r w:rsidR="007D0FDC">
        <w:t xml:space="preserve">based on predominant characteristics of the sequences within that pathway, such as </w:t>
      </w:r>
      <w:r w:rsidR="00655F99" w:rsidRPr="00655F99">
        <w:rPr>
          <w:i/>
        </w:rPr>
        <w:t>Q</w:t>
      </w:r>
      <w:r w:rsidR="007D0FDC" w:rsidRPr="00655F99">
        <w:rPr>
          <w:i/>
        </w:rPr>
        <w:t xml:space="preserve">uick and </w:t>
      </w:r>
      <w:r w:rsidR="00655F99" w:rsidRPr="00655F99">
        <w:rPr>
          <w:i/>
        </w:rPr>
        <w:t>S</w:t>
      </w:r>
      <w:r w:rsidR="007D0FDC" w:rsidRPr="00655F99">
        <w:rPr>
          <w:i/>
        </w:rPr>
        <w:t xml:space="preserve">ustainable </w:t>
      </w:r>
      <w:r w:rsidR="00655F99" w:rsidRPr="00655F99">
        <w:rPr>
          <w:i/>
        </w:rPr>
        <w:t>E</w:t>
      </w:r>
      <w:r w:rsidR="007D0FDC" w:rsidRPr="00655F99">
        <w:rPr>
          <w:i/>
        </w:rPr>
        <w:t xml:space="preserve">mployment </w:t>
      </w:r>
      <w:r w:rsidR="007D0FDC">
        <w:t>(Céreq</w:t>
      </w:r>
      <w:r w:rsidR="00825BFD">
        <w:t> </w:t>
      </w:r>
      <w:r w:rsidR="007D0FDC">
        <w:t xml:space="preserve">2005), </w:t>
      </w:r>
      <w:r w:rsidR="00655F99" w:rsidRPr="00655F99">
        <w:rPr>
          <w:i/>
        </w:rPr>
        <w:t>W</w:t>
      </w:r>
      <w:r w:rsidR="007D0FDC" w:rsidRPr="00655F99">
        <w:rPr>
          <w:i/>
        </w:rPr>
        <w:t xml:space="preserve">ork to </w:t>
      </w:r>
      <w:r w:rsidR="00655F99" w:rsidRPr="00655F99">
        <w:rPr>
          <w:i/>
        </w:rPr>
        <w:t>F</w:t>
      </w:r>
      <w:r w:rsidR="007D0FDC" w:rsidRPr="00655F99">
        <w:rPr>
          <w:i/>
        </w:rPr>
        <w:t xml:space="preserve">amily </w:t>
      </w:r>
      <w:r w:rsidR="00655F99" w:rsidRPr="00655F99">
        <w:rPr>
          <w:i/>
        </w:rPr>
        <w:t>C</w:t>
      </w:r>
      <w:r w:rsidR="007D0FDC" w:rsidRPr="00655F99">
        <w:rPr>
          <w:i/>
        </w:rPr>
        <w:t>are</w:t>
      </w:r>
      <w:r w:rsidR="007D0FDC">
        <w:t xml:space="preserve"> (Scherer 2001)</w:t>
      </w:r>
      <w:r w:rsidR="008A3F07">
        <w:t xml:space="preserve">, </w:t>
      </w:r>
      <w:r w:rsidR="00655F99" w:rsidRPr="00655F99">
        <w:rPr>
          <w:i/>
        </w:rPr>
        <w:t>G</w:t>
      </w:r>
      <w:r w:rsidR="004F5176" w:rsidRPr="00655F99">
        <w:rPr>
          <w:i/>
        </w:rPr>
        <w:t xml:space="preserve">ap </w:t>
      </w:r>
      <w:r w:rsidR="00655F99" w:rsidRPr="00655F99">
        <w:rPr>
          <w:i/>
        </w:rPr>
        <w:t>Y</w:t>
      </w:r>
      <w:r w:rsidR="004F5176" w:rsidRPr="00655F99">
        <w:rPr>
          <w:i/>
        </w:rPr>
        <w:t xml:space="preserve">ear </w:t>
      </w:r>
      <w:r w:rsidR="00655F99" w:rsidRPr="00655F99">
        <w:rPr>
          <w:i/>
        </w:rPr>
        <w:t>B</w:t>
      </w:r>
      <w:r w:rsidR="004F5176" w:rsidRPr="00655F99">
        <w:rPr>
          <w:i/>
        </w:rPr>
        <w:t xml:space="preserve">etween </w:t>
      </w:r>
      <w:r w:rsidR="00655F99" w:rsidRPr="00655F99">
        <w:rPr>
          <w:i/>
        </w:rPr>
        <w:t>S</w:t>
      </w:r>
      <w:r w:rsidR="004F5176" w:rsidRPr="00655F99">
        <w:rPr>
          <w:i/>
        </w:rPr>
        <w:t>tudies</w:t>
      </w:r>
      <w:r w:rsidR="004F5176">
        <w:t xml:space="preserve"> (Albert Verdú and Davia 2010)</w:t>
      </w:r>
      <w:r w:rsidR="008A3F07">
        <w:t xml:space="preserve"> and </w:t>
      </w:r>
      <w:r w:rsidR="00655F99" w:rsidRPr="00655F99">
        <w:rPr>
          <w:i/>
        </w:rPr>
        <w:t>H</w:t>
      </w:r>
      <w:r w:rsidR="008A3F07" w:rsidRPr="00655F99">
        <w:rPr>
          <w:i/>
        </w:rPr>
        <w:t xml:space="preserve">igher </w:t>
      </w:r>
      <w:r w:rsidR="00655F99" w:rsidRPr="00655F99">
        <w:rPr>
          <w:i/>
        </w:rPr>
        <w:t>E</w:t>
      </w:r>
      <w:r w:rsidR="008A3F07" w:rsidRPr="00655F99">
        <w:rPr>
          <w:i/>
        </w:rPr>
        <w:t xml:space="preserve">ducation </w:t>
      </w:r>
      <w:r w:rsidR="00655F99" w:rsidRPr="00655F99">
        <w:rPr>
          <w:i/>
        </w:rPr>
        <w:t>D</w:t>
      </w:r>
      <w:r w:rsidR="008A3F07" w:rsidRPr="00655F99">
        <w:rPr>
          <w:i/>
        </w:rPr>
        <w:t>ominated</w:t>
      </w:r>
      <w:r w:rsidR="008A3F07">
        <w:t xml:space="preserve"> (McVicar and</w:t>
      </w:r>
      <w:r w:rsidR="008A3F07" w:rsidRPr="008A3F07">
        <w:t xml:space="preserve"> </w:t>
      </w:r>
      <w:r w:rsidR="008A3F07">
        <w:t>Anyadike</w:t>
      </w:r>
      <w:r w:rsidR="00870A25">
        <w:noBreakHyphen/>
      </w:r>
      <w:r w:rsidR="008A3F07">
        <w:t>Danes</w:t>
      </w:r>
      <w:r w:rsidR="008A3F07" w:rsidRPr="008A3F07">
        <w:t xml:space="preserve"> 2002).</w:t>
      </w:r>
      <w:r w:rsidR="00980FA9">
        <w:t xml:space="preserve"> </w:t>
      </w:r>
    </w:p>
    <w:p w:rsidR="004319C0" w:rsidRDefault="00055B88" w:rsidP="00055B88">
      <w:pPr>
        <w:pStyle w:val="BodyText"/>
      </w:pPr>
      <w:r>
        <w:t>For each pathway, the characteristics of individuals</w:t>
      </w:r>
      <w:r w:rsidRPr="00980FA9">
        <w:t xml:space="preserve">, such as </w:t>
      </w:r>
      <w:r>
        <w:t xml:space="preserve">their </w:t>
      </w:r>
      <w:r w:rsidRPr="00980FA9">
        <w:t xml:space="preserve">gender, education </w:t>
      </w:r>
      <w:r>
        <w:t xml:space="preserve">levels </w:t>
      </w:r>
      <w:r w:rsidRPr="00980FA9">
        <w:t xml:space="preserve">and reasons for </w:t>
      </w:r>
      <w:r w:rsidR="00BC52EE">
        <w:t>withdrawing from the</w:t>
      </w:r>
      <w:r w:rsidR="00BC52EE" w:rsidRPr="00980FA9">
        <w:t xml:space="preserve"> </w:t>
      </w:r>
      <w:r w:rsidRPr="00980FA9">
        <w:t xml:space="preserve">labour market, </w:t>
      </w:r>
      <w:r>
        <w:t xml:space="preserve">can enhance </w:t>
      </w:r>
      <w:r w:rsidRPr="00980FA9">
        <w:t xml:space="preserve">the </w:t>
      </w:r>
      <w:r>
        <w:t>explanation for</w:t>
      </w:r>
      <w:r w:rsidRPr="00980FA9">
        <w:t xml:space="preserve"> each pathway.</w:t>
      </w:r>
      <w:r w:rsidR="000416D4">
        <w:t xml:space="preserve"> This is particularly important when an activity pattern</w:t>
      </w:r>
      <w:r>
        <w:t xml:space="preserve"> can </w:t>
      </w:r>
      <w:r w:rsidR="00BC52EE">
        <w:t>occur for different</w:t>
      </w:r>
      <w:r>
        <w:t xml:space="preserve"> reasons. For example, </w:t>
      </w:r>
      <w:r w:rsidR="002C0BE4">
        <w:t xml:space="preserve">the motives for being NILF, </w:t>
      </w:r>
      <w:r w:rsidR="0012206A">
        <w:t>or</w:t>
      </w:r>
      <w:r w:rsidR="002C0BE4">
        <w:t xml:space="preserve"> </w:t>
      </w:r>
      <w:r w:rsidR="002C0BE4">
        <w:lastRenderedPageBreak/>
        <w:t>no longer actively seeking work, are likely to differ for males and females as well as the young and those of retirement age</w:t>
      </w:r>
      <w:r w:rsidR="004319C0">
        <w:t>.</w:t>
      </w:r>
    </w:p>
    <w:p w:rsidR="00016969" w:rsidRDefault="000D1D3D" w:rsidP="00980FA9">
      <w:pPr>
        <w:pStyle w:val="BodyText"/>
      </w:pPr>
      <w:r>
        <w:t xml:space="preserve">Although the results from these studies are not strictly comparable, </w:t>
      </w:r>
      <w:r w:rsidR="00F10F24">
        <w:br/>
      </w:r>
      <w:r w:rsidR="00324E8B">
        <w:t>table</w:t>
      </w:r>
      <w:r w:rsidR="006065BE">
        <w:t> </w:t>
      </w:r>
      <w:r w:rsidR="0002378E">
        <w:t>2.1</w:t>
      </w:r>
      <w:r w:rsidR="00324E8B">
        <w:t xml:space="preserve"> </w:t>
      </w:r>
      <w:r>
        <w:t>demonstrates that for most studies judgements can be made about the pathways associated most closely with unemployment and/or labour market withdrawal</w:t>
      </w:r>
      <w:r w:rsidR="003E1225">
        <w:t xml:space="preserve">. In table 2.1 these pathways are described as ‘red’ pathways, </w:t>
      </w:r>
      <w:r>
        <w:t>and</w:t>
      </w:r>
      <w:r w:rsidR="003E1225">
        <w:t xml:space="preserve"> for most studies they </w:t>
      </w:r>
      <w:r>
        <w:t>are usually few</w:t>
      </w:r>
      <w:r w:rsidR="003E1225">
        <w:t xml:space="preserve"> in number</w:t>
      </w:r>
      <w:r>
        <w:t xml:space="preserve"> (and </w:t>
      </w:r>
      <w:r w:rsidR="003E1225">
        <w:t xml:space="preserve">represent a </w:t>
      </w:r>
      <w:r>
        <w:t>small</w:t>
      </w:r>
      <w:r w:rsidR="003E1225">
        <w:t xml:space="preserve"> percentage of the sample</w:t>
      </w:r>
      <w:r>
        <w:t>).</w:t>
      </w:r>
    </w:p>
    <w:p w:rsidR="005D30CD" w:rsidRDefault="005D30CD" w:rsidP="00980FA9">
      <w:pPr>
        <w:pStyle w:val="BodyText"/>
      </w:pPr>
      <w:r w:rsidRPr="005D5A6E">
        <w:t xml:space="preserve">The one </w:t>
      </w:r>
      <w:r>
        <w:t>available</w:t>
      </w:r>
      <w:r w:rsidRPr="005D5A6E">
        <w:t xml:space="preserve"> study for Australia </w:t>
      </w:r>
      <w:r w:rsidR="0012206A">
        <w:t xml:space="preserve">(Yu et al. 2012) </w:t>
      </w:r>
      <w:r w:rsidRPr="005D5A6E">
        <w:t>uses annual data and does not split the population by age. With its focus on occupational mobility among adults, there is a heavy emphasis on broad level occupations among the activities tracked</w:t>
      </w:r>
      <w:r w:rsidR="00E36348">
        <w:t xml:space="preserve"> and this affects the characteristics of the pathways identified — most pathways are characterised by many years of employment in a particular broad occupation</w:t>
      </w:r>
      <w:r w:rsidRPr="005D5A6E">
        <w:t>. The one pathway associated with prolonged periods of NILF (averaging more than seven years) was dominated by individuals who had likely retired.</w:t>
      </w:r>
      <w:r>
        <w:t xml:space="preserve"> These issues are addressed in this study (chapter</w:t>
      </w:r>
      <w:r w:rsidR="002D3332">
        <w:t> </w:t>
      </w:r>
      <w:r>
        <w:t>3).</w:t>
      </w:r>
    </w:p>
    <w:p w:rsidR="00324E8B" w:rsidRDefault="00324E8B">
      <w:pPr>
        <w:pStyle w:val="BodyText"/>
        <w:sectPr w:rsidR="00324E8B" w:rsidSect="0002378E">
          <w:headerReference w:type="even" r:id="rId9"/>
          <w:headerReference w:type="default" r:id="rId10"/>
          <w:footerReference w:type="even" r:id="rId11"/>
          <w:footerReference w:type="default" r:id="rId12"/>
          <w:pgSz w:w="11907" w:h="16840" w:code="9"/>
          <w:pgMar w:top="1985" w:right="1304" w:bottom="1418" w:left="1814" w:header="1701" w:footer="567" w:gutter="0"/>
          <w:pgNumType w:start="7" w:chapSep="period"/>
          <w:cols w:space="720"/>
        </w:sectPr>
      </w:pPr>
      <w:r>
        <w:br w:type="page"/>
      </w:r>
    </w:p>
    <w:p w:rsidR="00324E8B" w:rsidRDefault="00324E8B" w:rsidP="00324E8B">
      <w:pPr>
        <w:pStyle w:val="TableTitle"/>
      </w:pPr>
      <w:r>
        <w:rPr>
          <w:b w:val="0"/>
        </w:rPr>
        <w:lastRenderedPageBreak/>
        <w:t xml:space="preserve">Table </w:t>
      </w:r>
      <w:bookmarkStart w:id="9" w:name="OLE_LINK3"/>
      <w:r w:rsidR="0002378E">
        <w:rPr>
          <w:b w:val="0"/>
        </w:rPr>
        <w:t>2.</w:t>
      </w:r>
      <w:r w:rsidR="00B060AF">
        <w:rPr>
          <w:b w:val="0"/>
          <w:noProof/>
        </w:rPr>
        <w:t>1</w:t>
      </w:r>
      <w:bookmarkEnd w:id="9"/>
      <w:r>
        <w:tab/>
        <w:t>Summary characteristics of selected studies from the transition pathways literature</w:t>
      </w:r>
    </w:p>
    <w:tbl>
      <w:tblPr>
        <w:tblW w:w="13363" w:type="dxa"/>
        <w:tblLayout w:type="fixed"/>
        <w:tblCellMar>
          <w:left w:w="0" w:type="dxa"/>
          <w:right w:w="0" w:type="dxa"/>
        </w:tblCellMar>
        <w:tblLook w:val="0000" w:firstRow="0" w:lastRow="0" w:firstColumn="0" w:lastColumn="0" w:noHBand="0" w:noVBand="0"/>
      </w:tblPr>
      <w:tblGrid>
        <w:gridCol w:w="994"/>
        <w:gridCol w:w="992"/>
        <w:gridCol w:w="3260"/>
        <w:gridCol w:w="1276"/>
        <w:gridCol w:w="991"/>
        <w:gridCol w:w="992"/>
        <w:gridCol w:w="2694"/>
        <w:gridCol w:w="141"/>
        <w:gridCol w:w="851"/>
        <w:gridCol w:w="1172"/>
      </w:tblGrid>
      <w:tr w:rsidR="00324E8B" w:rsidTr="00B060AF">
        <w:tc>
          <w:tcPr>
            <w:tcW w:w="994" w:type="dxa"/>
            <w:tcBorders>
              <w:top w:val="single" w:sz="6" w:space="0" w:color="auto"/>
              <w:bottom w:val="single" w:sz="6" w:space="0" w:color="auto"/>
            </w:tcBorders>
            <w:shd w:val="clear" w:color="auto" w:fill="auto"/>
            <w:vAlign w:val="bottom"/>
          </w:tcPr>
          <w:p w:rsidR="00324E8B" w:rsidRPr="00243011" w:rsidRDefault="00324E8B" w:rsidP="00870A25">
            <w:pPr>
              <w:pStyle w:val="TableColumnHeading"/>
              <w:jc w:val="left"/>
              <w:rPr>
                <w:sz w:val="18"/>
                <w:szCs w:val="18"/>
              </w:rPr>
            </w:pPr>
            <w:r w:rsidRPr="00243011">
              <w:rPr>
                <w:sz w:val="18"/>
                <w:szCs w:val="18"/>
              </w:rPr>
              <w:t>Segment</w:t>
            </w:r>
          </w:p>
        </w:tc>
        <w:tc>
          <w:tcPr>
            <w:tcW w:w="992" w:type="dxa"/>
            <w:tcBorders>
              <w:top w:val="single" w:sz="6" w:space="0" w:color="auto"/>
              <w:bottom w:val="single" w:sz="6" w:space="0" w:color="auto"/>
            </w:tcBorders>
            <w:shd w:val="clear" w:color="auto" w:fill="auto"/>
            <w:vAlign w:val="bottom"/>
          </w:tcPr>
          <w:p w:rsidR="00324E8B" w:rsidRPr="00243011" w:rsidRDefault="00324E8B" w:rsidP="00870A25">
            <w:pPr>
              <w:pStyle w:val="TableColumnHeading"/>
              <w:jc w:val="left"/>
              <w:rPr>
                <w:sz w:val="18"/>
                <w:szCs w:val="18"/>
              </w:rPr>
            </w:pPr>
            <w:r w:rsidRPr="00243011">
              <w:rPr>
                <w:sz w:val="18"/>
                <w:szCs w:val="18"/>
              </w:rPr>
              <w:t>Location</w:t>
            </w:r>
          </w:p>
        </w:tc>
        <w:tc>
          <w:tcPr>
            <w:tcW w:w="3260" w:type="dxa"/>
            <w:tcBorders>
              <w:top w:val="single" w:sz="6" w:space="0" w:color="auto"/>
              <w:bottom w:val="single" w:sz="6" w:space="0" w:color="auto"/>
            </w:tcBorders>
            <w:vAlign w:val="bottom"/>
          </w:tcPr>
          <w:p w:rsidR="00324E8B" w:rsidRPr="00243011" w:rsidRDefault="00324E8B" w:rsidP="00870A25">
            <w:pPr>
              <w:pStyle w:val="TableColumnHeading"/>
              <w:jc w:val="left"/>
              <w:rPr>
                <w:sz w:val="18"/>
                <w:szCs w:val="18"/>
              </w:rPr>
            </w:pPr>
            <w:r w:rsidRPr="00243011">
              <w:rPr>
                <w:sz w:val="18"/>
                <w:szCs w:val="18"/>
              </w:rPr>
              <w:t>Study</w:t>
            </w:r>
          </w:p>
        </w:tc>
        <w:tc>
          <w:tcPr>
            <w:tcW w:w="1276" w:type="dxa"/>
            <w:tcBorders>
              <w:top w:val="single" w:sz="6" w:space="0" w:color="auto"/>
              <w:bottom w:val="single" w:sz="6" w:space="0" w:color="auto"/>
            </w:tcBorders>
            <w:shd w:val="clear" w:color="auto" w:fill="auto"/>
            <w:vAlign w:val="bottom"/>
          </w:tcPr>
          <w:p w:rsidR="00324E8B" w:rsidRPr="00243011" w:rsidRDefault="00324E8B" w:rsidP="00160BE5">
            <w:pPr>
              <w:pStyle w:val="TableColumnHeading"/>
              <w:jc w:val="left"/>
              <w:rPr>
                <w:sz w:val="18"/>
                <w:szCs w:val="18"/>
              </w:rPr>
            </w:pPr>
            <w:r w:rsidRPr="00243011">
              <w:rPr>
                <w:sz w:val="18"/>
                <w:szCs w:val="18"/>
              </w:rPr>
              <w:t>Sample period</w:t>
            </w:r>
          </w:p>
        </w:tc>
        <w:tc>
          <w:tcPr>
            <w:tcW w:w="991" w:type="dxa"/>
            <w:tcBorders>
              <w:top w:val="single" w:sz="6" w:space="0" w:color="auto"/>
              <w:bottom w:val="single" w:sz="6" w:space="0" w:color="auto"/>
            </w:tcBorders>
            <w:shd w:val="clear" w:color="auto" w:fill="auto"/>
            <w:vAlign w:val="bottom"/>
          </w:tcPr>
          <w:p w:rsidR="00324E8B" w:rsidRPr="00243011" w:rsidRDefault="006065BE" w:rsidP="00160BE5">
            <w:pPr>
              <w:pStyle w:val="TableColumnHeading"/>
              <w:ind w:right="143"/>
              <w:jc w:val="left"/>
              <w:rPr>
                <w:rStyle w:val="NoteLabel"/>
              </w:rPr>
            </w:pPr>
            <w:r w:rsidRPr="00243011">
              <w:rPr>
                <w:sz w:val="18"/>
                <w:szCs w:val="18"/>
              </w:rPr>
              <w:t>Sequenc</w:t>
            </w:r>
            <w:r w:rsidR="00324E8B" w:rsidRPr="00243011">
              <w:rPr>
                <w:sz w:val="18"/>
                <w:szCs w:val="18"/>
              </w:rPr>
              <w:t>e length</w:t>
            </w:r>
            <w:r w:rsidR="00243011" w:rsidRPr="00B060AF">
              <w:rPr>
                <w:rStyle w:val="NoteLabel"/>
                <w:i w:val="0"/>
              </w:rPr>
              <w:t>a</w:t>
            </w:r>
          </w:p>
        </w:tc>
        <w:tc>
          <w:tcPr>
            <w:tcW w:w="992" w:type="dxa"/>
            <w:tcBorders>
              <w:top w:val="single" w:sz="6" w:space="0" w:color="auto"/>
              <w:bottom w:val="single" w:sz="6" w:space="0" w:color="auto"/>
            </w:tcBorders>
            <w:shd w:val="clear" w:color="auto" w:fill="auto"/>
            <w:vAlign w:val="bottom"/>
          </w:tcPr>
          <w:p w:rsidR="00324E8B" w:rsidRPr="00243011" w:rsidRDefault="00324E8B" w:rsidP="00870A25">
            <w:pPr>
              <w:pStyle w:val="TableColumnHeading"/>
              <w:ind w:right="69"/>
              <w:jc w:val="left"/>
              <w:rPr>
                <w:sz w:val="18"/>
                <w:szCs w:val="18"/>
              </w:rPr>
            </w:pPr>
            <w:r w:rsidRPr="00243011">
              <w:rPr>
                <w:sz w:val="18"/>
                <w:szCs w:val="18"/>
              </w:rPr>
              <w:t>Frequency</w:t>
            </w:r>
          </w:p>
        </w:tc>
        <w:tc>
          <w:tcPr>
            <w:tcW w:w="2694" w:type="dxa"/>
            <w:tcBorders>
              <w:top w:val="single" w:sz="6" w:space="0" w:color="auto"/>
              <w:bottom w:val="single" w:sz="6" w:space="0" w:color="auto"/>
            </w:tcBorders>
            <w:shd w:val="clear" w:color="auto" w:fill="auto"/>
            <w:vAlign w:val="bottom"/>
          </w:tcPr>
          <w:p w:rsidR="00324E8B" w:rsidRPr="00243011" w:rsidRDefault="00324E8B" w:rsidP="00870A25">
            <w:pPr>
              <w:pStyle w:val="TableColumnHeading"/>
              <w:ind w:right="0"/>
              <w:jc w:val="left"/>
              <w:rPr>
                <w:sz w:val="18"/>
                <w:szCs w:val="18"/>
              </w:rPr>
            </w:pPr>
            <w:r w:rsidRPr="00243011">
              <w:rPr>
                <w:sz w:val="18"/>
                <w:szCs w:val="18"/>
              </w:rPr>
              <w:t>Activities</w:t>
            </w:r>
          </w:p>
        </w:tc>
        <w:tc>
          <w:tcPr>
            <w:tcW w:w="992" w:type="dxa"/>
            <w:gridSpan w:val="2"/>
            <w:tcBorders>
              <w:top w:val="single" w:sz="6" w:space="0" w:color="auto"/>
              <w:bottom w:val="single" w:sz="6" w:space="0" w:color="auto"/>
            </w:tcBorders>
            <w:shd w:val="clear" w:color="auto" w:fill="auto"/>
            <w:vAlign w:val="bottom"/>
          </w:tcPr>
          <w:p w:rsidR="00324E8B" w:rsidRPr="00243011" w:rsidRDefault="00243011" w:rsidP="00B060AF">
            <w:pPr>
              <w:pStyle w:val="TableColumnHeading"/>
              <w:ind w:right="141"/>
              <w:rPr>
                <w:sz w:val="18"/>
                <w:szCs w:val="18"/>
              </w:rPr>
            </w:pPr>
            <w:r>
              <w:rPr>
                <w:sz w:val="18"/>
                <w:szCs w:val="18"/>
              </w:rPr>
              <w:t>P</w:t>
            </w:r>
            <w:r w:rsidR="00324E8B" w:rsidRPr="00243011">
              <w:rPr>
                <w:sz w:val="18"/>
                <w:szCs w:val="18"/>
              </w:rPr>
              <w:t>athways</w:t>
            </w:r>
          </w:p>
        </w:tc>
        <w:tc>
          <w:tcPr>
            <w:tcW w:w="1172" w:type="dxa"/>
            <w:tcBorders>
              <w:top w:val="single" w:sz="6" w:space="0" w:color="auto"/>
              <w:bottom w:val="single" w:sz="6" w:space="0" w:color="auto"/>
            </w:tcBorders>
            <w:shd w:val="clear" w:color="auto" w:fill="auto"/>
            <w:vAlign w:val="bottom"/>
          </w:tcPr>
          <w:p w:rsidR="00324E8B" w:rsidRDefault="00A16AE2" w:rsidP="00243011">
            <w:pPr>
              <w:pStyle w:val="TableColumnHeading"/>
              <w:ind w:right="6"/>
            </w:pPr>
            <w:r w:rsidRPr="00243011">
              <w:rPr>
                <w:sz w:val="18"/>
                <w:szCs w:val="18"/>
              </w:rPr>
              <w:t>‘</w:t>
            </w:r>
            <w:r w:rsidR="00243011">
              <w:rPr>
                <w:sz w:val="18"/>
                <w:szCs w:val="18"/>
              </w:rPr>
              <w:t>R</w:t>
            </w:r>
            <w:r w:rsidR="00324E8B" w:rsidRPr="00243011">
              <w:rPr>
                <w:sz w:val="18"/>
                <w:szCs w:val="18"/>
              </w:rPr>
              <w:t>ed</w:t>
            </w:r>
            <w:r w:rsidRPr="00243011">
              <w:rPr>
                <w:sz w:val="18"/>
                <w:szCs w:val="18"/>
              </w:rPr>
              <w:t>’</w:t>
            </w:r>
            <w:r w:rsidR="002D5191">
              <w:rPr>
                <w:sz w:val="18"/>
                <w:szCs w:val="18"/>
              </w:rPr>
              <w:t>  </w:t>
            </w:r>
            <w:r w:rsidR="00324E8B" w:rsidRPr="00243011">
              <w:rPr>
                <w:sz w:val="18"/>
                <w:szCs w:val="18"/>
              </w:rPr>
              <w:t xml:space="preserve"> path</w:t>
            </w:r>
            <w:r w:rsidR="00243011">
              <w:rPr>
                <w:sz w:val="18"/>
                <w:szCs w:val="18"/>
              </w:rPr>
              <w:t>ways</w:t>
            </w:r>
            <w:r w:rsidR="00243011">
              <w:rPr>
                <w:rStyle w:val="NoteLabel"/>
                <w:i w:val="0"/>
              </w:rPr>
              <w:t>b</w:t>
            </w:r>
          </w:p>
        </w:tc>
      </w:tr>
      <w:tr w:rsidR="00324E8B" w:rsidTr="00B060AF">
        <w:tc>
          <w:tcPr>
            <w:tcW w:w="994" w:type="dxa"/>
            <w:tcBorders>
              <w:top w:val="single" w:sz="6" w:space="0" w:color="auto"/>
            </w:tcBorders>
            <w:vAlign w:val="bottom"/>
          </w:tcPr>
          <w:p w:rsidR="00324E8B" w:rsidRPr="00243011" w:rsidRDefault="00324E8B" w:rsidP="00870A25">
            <w:pPr>
              <w:pStyle w:val="TableUnitsRow"/>
              <w:spacing w:before="40" w:after="40"/>
              <w:jc w:val="left"/>
              <w:rPr>
                <w:sz w:val="18"/>
                <w:szCs w:val="18"/>
              </w:rPr>
            </w:pPr>
            <w:r w:rsidRPr="00243011">
              <w:rPr>
                <w:sz w:val="18"/>
                <w:szCs w:val="18"/>
              </w:rPr>
              <w:t>Youth</w:t>
            </w:r>
            <w:r w:rsidR="001E1D61">
              <w:rPr>
                <w:sz w:val="18"/>
                <w:szCs w:val="18"/>
              </w:rPr>
              <w:t>s</w:t>
            </w:r>
          </w:p>
        </w:tc>
        <w:tc>
          <w:tcPr>
            <w:tcW w:w="992" w:type="dxa"/>
            <w:tcBorders>
              <w:top w:val="single" w:sz="6" w:space="0" w:color="auto"/>
            </w:tcBorders>
            <w:vAlign w:val="bottom"/>
          </w:tcPr>
          <w:p w:rsidR="00324E8B" w:rsidRPr="00243011" w:rsidRDefault="00324E8B" w:rsidP="00870A25">
            <w:pPr>
              <w:pStyle w:val="TableUnitsRow"/>
              <w:spacing w:before="40" w:after="40"/>
              <w:jc w:val="left"/>
              <w:rPr>
                <w:sz w:val="18"/>
                <w:szCs w:val="18"/>
              </w:rPr>
            </w:pPr>
            <w:r w:rsidRPr="00243011">
              <w:rPr>
                <w:sz w:val="18"/>
                <w:szCs w:val="18"/>
              </w:rPr>
              <w:t>Britain</w:t>
            </w:r>
          </w:p>
        </w:tc>
        <w:tc>
          <w:tcPr>
            <w:tcW w:w="3260" w:type="dxa"/>
            <w:tcBorders>
              <w:top w:val="single" w:sz="6" w:space="0" w:color="auto"/>
            </w:tcBorders>
            <w:vAlign w:val="bottom"/>
          </w:tcPr>
          <w:p w:rsidR="00324E8B" w:rsidRPr="00243011" w:rsidRDefault="00324E8B" w:rsidP="00870A25">
            <w:pPr>
              <w:pStyle w:val="TableUnitsRow"/>
              <w:spacing w:before="40" w:after="40"/>
              <w:jc w:val="left"/>
              <w:rPr>
                <w:sz w:val="18"/>
                <w:szCs w:val="18"/>
              </w:rPr>
            </w:pPr>
            <w:r w:rsidRPr="00243011">
              <w:rPr>
                <w:sz w:val="18"/>
                <w:szCs w:val="18"/>
              </w:rPr>
              <w:t>Dorsett &amp; Lucchino (2012)</w:t>
            </w:r>
          </w:p>
        </w:tc>
        <w:tc>
          <w:tcPr>
            <w:tcW w:w="1276" w:type="dxa"/>
            <w:tcBorders>
              <w:top w:val="single" w:sz="6" w:space="0" w:color="auto"/>
            </w:tcBorders>
            <w:vAlign w:val="bottom"/>
          </w:tcPr>
          <w:p w:rsidR="00324E8B" w:rsidRPr="00243011" w:rsidRDefault="00324E8B" w:rsidP="00160BE5">
            <w:pPr>
              <w:pStyle w:val="TableUnitsRow"/>
              <w:spacing w:before="40" w:after="40"/>
              <w:jc w:val="left"/>
              <w:rPr>
                <w:sz w:val="18"/>
                <w:szCs w:val="18"/>
              </w:rPr>
            </w:pPr>
            <w:r w:rsidRPr="00243011">
              <w:rPr>
                <w:sz w:val="18"/>
                <w:szCs w:val="18"/>
              </w:rPr>
              <w:t>1991</w:t>
            </w:r>
            <w:r w:rsidR="00870A25" w:rsidRPr="00243011">
              <w:rPr>
                <w:sz w:val="18"/>
                <w:szCs w:val="18"/>
              </w:rPr>
              <w:t>–</w:t>
            </w:r>
            <w:r w:rsidRPr="00243011">
              <w:rPr>
                <w:sz w:val="18"/>
                <w:szCs w:val="18"/>
              </w:rPr>
              <w:t>2008</w:t>
            </w:r>
          </w:p>
        </w:tc>
        <w:tc>
          <w:tcPr>
            <w:tcW w:w="991" w:type="dxa"/>
            <w:tcBorders>
              <w:top w:val="single" w:sz="6" w:space="0" w:color="auto"/>
            </w:tcBorders>
            <w:vAlign w:val="bottom"/>
          </w:tcPr>
          <w:p w:rsidR="00324E8B" w:rsidRPr="00243011" w:rsidRDefault="00324E8B" w:rsidP="00160BE5">
            <w:pPr>
              <w:pStyle w:val="TableUnitsRow"/>
              <w:spacing w:before="40" w:after="40"/>
              <w:jc w:val="left"/>
              <w:rPr>
                <w:sz w:val="18"/>
                <w:szCs w:val="18"/>
              </w:rPr>
            </w:pPr>
            <w:r w:rsidRPr="00243011">
              <w:rPr>
                <w:sz w:val="18"/>
                <w:szCs w:val="18"/>
              </w:rPr>
              <w:t>5 yrs</w:t>
            </w:r>
          </w:p>
        </w:tc>
        <w:tc>
          <w:tcPr>
            <w:tcW w:w="992" w:type="dxa"/>
            <w:tcBorders>
              <w:top w:val="single" w:sz="6" w:space="0" w:color="auto"/>
            </w:tcBorders>
            <w:vAlign w:val="bottom"/>
          </w:tcPr>
          <w:p w:rsidR="00324E8B" w:rsidRPr="00243011" w:rsidRDefault="00324E8B" w:rsidP="00870A25">
            <w:pPr>
              <w:pStyle w:val="TableUnitsRow"/>
              <w:spacing w:before="40" w:after="40"/>
              <w:ind w:right="69"/>
              <w:jc w:val="left"/>
              <w:rPr>
                <w:sz w:val="18"/>
                <w:szCs w:val="18"/>
              </w:rPr>
            </w:pPr>
            <w:r w:rsidRPr="00243011">
              <w:rPr>
                <w:sz w:val="18"/>
                <w:szCs w:val="18"/>
              </w:rPr>
              <w:t>Monthly</w:t>
            </w:r>
          </w:p>
        </w:tc>
        <w:tc>
          <w:tcPr>
            <w:tcW w:w="2835" w:type="dxa"/>
            <w:gridSpan w:val="2"/>
            <w:tcBorders>
              <w:top w:val="single" w:sz="6" w:space="0" w:color="auto"/>
            </w:tcBorders>
            <w:vAlign w:val="bottom"/>
          </w:tcPr>
          <w:p w:rsidR="00324E8B" w:rsidRPr="00243011" w:rsidRDefault="00324E8B" w:rsidP="00870A25">
            <w:pPr>
              <w:pStyle w:val="TableUnitsRow"/>
              <w:spacing w:before="40" w:after="40"/>
              <w:ind w:right="0"/>
              <w:jc w:val="left"/>
              <w:rPr>
                <w:sz w:val="18"/>
                <w:szCs w:val="18"/>
              </w:rPr>
            </w:pPr>
            <w:r w:rsidRPr="00243011">
              <w:rPr>
                <w:sz w:val="18"/>
                <w:szCs w:val="18"/>
              </w:rPr>
              <w:t>Ed, Emp, U, NILF</w:t>
            </w:r>
          </w:p>
        </w:tc>
        <w:tc>
          <w:tcPr>
            <w:tcW w:w="851" w:type="dxa"/>
            <w:tcBorders>
              <w:top w:val="single" w:sz="6" w:space="0" w:color="auto"/>
            </w:tcBorders>
            <w:vAlign w:val="bottom"/>
          </w:tcPr>
          <w:p w:rsidR="00324E8B" w:rsidRPr="00243011" w:rsidRDefault="00324E8B" w:rsidP="00B060AF">
            <w:pPr>
              <w:pStyle w:val="TableUnitsRow"/>
              <w:spacing w:before="40" w:after="40"/>
              <w:ind w:right="141"/>
              <w:rPr>
                <w:sz w:val="18"/>
                <w:szCs w:val="18"/>
              </w:rPr>
            </w:pPr>
            <w:r w:rsidRPr="00243011">
              <w:rPr>
                <w:sz w:val="18"/>
                <w:szCs w:val="18"/>
              </w:rPr>
              <w:t>8</w:t>
            </w:r>
          </w:p>
        </w:tc>
        <w:tc>
          <w:tcPr>
            <w:tcW w:w="1172" w:type="dxa"/>
            <w:tcBorders>
              <w:top w:val="single" w:sz="6" w:space="0" w:color="auto"/>
            </w:tcBorders>
            <w:vAlign w:val="bottom"/>
          </w:tcPr>
          <w:p w:rsidR="00324E8B" w:rsidRPr="00243011" w:rsidRDefault="00324E8B" w:rsidP="002D5191">
            <w:pPr>
              <w:pStyle w:val="TableUnitsRow"/>
              <w:spacing w:before="40" w:after="40"/>
              <w:ind w:right="85"/>
              <w:rPr>
                <w:sz w:val="18"/>
                <w:szCs w:val="18"/>
              </w:rPr>
            </w:pPr>
            <w:r w:rsidRPr="00243011">
              <w:rPr>
                <w:sz w:val="18"/>
                <w:szCs w:val="18"/>
              </w:rPr>
              <w:t>1</w:t>
            </w:r>
          </w:p>
        </w:tc>
      </w:tr>
      <w:tr w:rsidR="00324E8B" w:rsidTr="00B060AF">
        <w:tc>
          <w:tcPr>
            <w:tcW w:w="994" w:type="dxa"/>
            <w:vAlign w:val="bottom"/>
          </w:tcPr>
          <w:p w:rsidR="00324E8B" w:rsidRDefault="00324E8B" w:rsidP="00243011">
            <w:pPr>
              <w:pStyle w:val="TableBodyText"/>
              <w:jc w:val="left"/>
            </w:pPr>
            <w:r w:rsidRPr="00243011">
              <w:rPr>
                <w:sz w:val="18"/>
                <w:szCs w:val="18"/>
              </w:rPr>
              <w:t>Youth</w:t>
            </w:r>
            <w:r w:rsidR="001E1D61">
              <w:rPr>
                <w:sz w:val="18"/>
                <w:szCs w:val="18"/>
              </w:rPr>
              <w:t>s</w:t>
            </w:r>
            <w:r w:rsidR="00243011">
              <w:rPr>
                <w:rStyle w:val="NoteLabel"/>
              </w:rPr>
              <w:t>c</w:t>
            </w:r>
          </w:p>
        </w:tc>
        <w:tc>
          <w:tcPr>
            <w:tcW w:w="992" w:type="dxa"/>
            <w:vAlign w:val="bottom"/>
          </w:tcPr>
          <w:p w:rsidR="00324E8B" w:rsidRPr="00243011" w:rsidRDefault="00324E8B" w:rsidP="00870A25">
            <w:pPr>
              <w:pStyle w:val="TableBodyText"/>
              <w:jc w:val="left"/>
              <w:rPr>
                <w:sz w:val="18"/>
                <w:szCs w:val="18"/>
              </w:rPr>
            </w:pPr>
            <w:r w:rsidRPr="00243011">
              <w:rPr>
                <w:sz w:val="18"/>
                <w:szCs w:val="18"/>
              </w:rPr>
              <w:t>Britain</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Anyadike</w:t>
            </w:r>
            <w:r w:rsidR="002D3332">
              <w:rPr>
                <w:sz w:val="18"/>
                <w:szCs w:val="18"/>
              </w:rPr>
              <w:noBreakHyphen/>
            </w:r>
            <w:r w:rsidRPr="00243011">
              <w:rPr>
                <w:sz w:val="18"/>
                <w:szCs w:val="18"/>
              </w:rPr>
              <w:t>Danes &amp; McVicar (2010)</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1985</w:t>
            </w:r>
            <w:r w:rsidR="00870A25" w:rsidRPr="00243011">
              <w:rPr>
                <w:sz w:val="18"/>
                <w:szCs w:val="18"/>
              </w:rPr>
              <w:t>–</w:t>
            </w:r>
            <w:r w:rsidRPr="00243011">
              <w:rPr>
                <w:sz w:val="18"/>
                <w:szCs w:val="18"/>
              </w:rPr>
              <w:t>2000</w:t>
            </w:r>
          </w:p>
        </w:tc>
        <w:tc>
          <w:tcPr>
            <w:tcW w:w="991" w:type="dxa"/>
            <w:vAlign w:val="bottom"/>
          </w:tcPr>
          <w:p w:rsidR="00324E8B" w:rsidRPr="00243011" w:rsidRDefault="00324E8B" w:rsidP="00160BE5">
            <w:pPr>
              <w:pStyle w:val="TableBodyText"/>
              <w:jc w:val="left"/>
              <w:rPr>
                <w:sz w:val="18"/>
                <w:szCs w:val="18"/>
              </w:rPr>
            </w:pPr>
            <w:r w:rsidRPr="00243011">
              <w:rPr>
                <w:sz w:val="18"/>
                <w:szCs w:val="18"/>
              </w:rPr>
              <w:t>13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Annual</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10</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2</w:t>
            </w:r>
          </w:p>
        </w:tc>
      </w:tr>
      <w:tr w:rsidR="00324E8B" w:rsidTr="00B060AF">
        <w:tc>
          <w:tcPr>
            <w:tcW w:w="994" w:type="dxa"/>
            <w:vAlign w:val="bottom"/>
          </w:tcPr>
          <w:p w:rsidR="00324E8B" w:rsidRDefault="00324E8B" w:rsidP="00243011">
            <w:pPr>
              <w:pStyle w:val="TableBodyText"/>
              <w:jc w:val="left"/>
            </w:pPr>
            <w:r w:rsidRPr="00243011">
              <w:rPr>
                <w:sz w:val="18"/>
                <w:szCs w:val="18"/>
              </w:rPr>
              <w:t>Youth</w:t>
            </w:r>
            <w:r w:rsidR="001E1D61">
              <w:rPr>
                <w:sz w:val="18"/>
                <w:szCs w:val="18"/>
              </w:rPr>
              <w:t>s</w:t>
            </w:r>
            <w:r w:rsidR="00243011">
              <w:rPr>
                <w:rStyle w:val="NoteLabel"/>
              </w:rPr>
              <w:t>d</w:t>
            </w:r>
          </w:p>
        </w:tc>
        <w:tc>
          <w:tcPr>
            <w:tcW w:w="992" w:type="dxa"/>
            <w:vAlign w:val="bottom"/>
          </w:tcPr>
          <w:p w:rsidR="00324E8B" w:rsidRPr="00243011" w:rsidRDefault="00324E8B" w:rsidP="00870A25">
            <w:pPr>
              <w:pStyle w:val="TableBodyText"/>
              <w:jc w:val="left"/>
              <w:rPr>
                <w:sz w:val="18"/>
                <w:szCs w:val="18"/>
              </w:rPr>
            </w:pPr>
            <w:r w:rsidRPr="00243011">
              <w:rPr>
                <w:sz w:val="18"/>
                <w:szCs w:val="18"/>
              </w:rPr>
              <w:t>Britain</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Anyadike</w:t>
            </w:r>
            <w:r w:rsidR="002D3332">
              <w:rPr>
                <w:sz w:val="18"/>
                <w:szCs w:val="18"/>
              </w:rPr>
              <w:noBreakHyphen/>
            </w:r>
            <w:r w:rsidRPr="00243011">
              <w:rPr>
                <w:sz w:val="18"/>
                <w:szCs w:val="18"/>
              </w:rPr>
              <w:t>Danes &amp; McVicar (2005)</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1985</w:t>
            </w:r>
            <w:r w:rsidR="00870A25" w:rsidRPr="00243011">
              <w:rPr>
                <w:sz w:val="18"/>
                <w:szCs w:val="18"/>
              </w:rPr>
              <w:t>–</w:t>
            </w:r>
            <w:r w:rsidRPr="00243011">
              <w:rPr>
                <w:sz w:val="18"/>
                <w:szCs w:val="18"/>
              </w:rPr>
              <w:t>2000</w:t>
            </w:r>
          </w:p>
        </w:tc>
        <w:tc>
          <w:tcPr>
            <w:tcW w:w="991" w:type="dxa"/>
            <w:vAlign w:val="bottom"/>
          </w:tcPr>
          <w:p w:rsidR="00324E8B" w:rsidRPr="00243011" w:rsidRDefault="00324E8B" w:rsidP="00160BE5">
            <w:pPr>
              <w:pStyle w:val="TableBodyText"/>
              <w:jc w:val="left"/>
              <w:rPr>
                <w:sz w:val="18"/>
                <w:szCs w:val="18"/>
              </w:rPr>
            </w:pPr>
            <w:r w:rsidRPr="00243011">
              <w:rPr>
                <w:sz w:val="18"/>
                <w:szCs w:val="18"/>
              </w:rPr>
              <w:t>13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Annual</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6</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2</w:t>
            </w:r>
          </w:p>
        </w:tc>
      </w:tr>
      <w:tr w:rsidR="007347FC" w:rsidTr="00B060AF">
        <w:tc>
          <w:tcPr>
            <w:tcW w:w="994" w:type="dxa"/>
            <w:vAlign w:val="bottom"/>
          </w:tcPr>
          <w:p w:rsidR="007347FC" w:rsidRPr="00243011" w:rsidRDefault="007347FC"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7347FC" w:rsidRPr="00243011" w:rsidRDefault="007347FC" w:rsidP="00870A25">
            <w:pPr>
              <w:pStyle w:val="TableBodyText"/>
              <w:jc w:val="left"/>
              <w:rPr>
                <w:sz w:val="18"/>
                <w:szCs w:val="18"/>
              </w:rPr>
            </w:pPr>
            <w:r w:rsidRPr="00243011">
              <w:rPr>
                <w:sz w:val="18"/>
                <w:szCs w:val="18"/>
              </w:rPr>
              <w:t>Britain</w:t>
            </w:r>
          </w:p>
        </w:tc>
        <w:tc>
          <w:tcPr>
            <w:tcW w:w="3260" w:type="dxa"/>
            <w:vAlign w:val="bottom"/>
          </w:tcPr>
          <w:p w:rsidR="007347FC" w:rsidRPr="00243011" w:rsidRDefault="007347FC" w:rsidP="00870A25">
            <w:pPr>
              <w:pStyle w:val="TableBodyText"/>
              <w:jc w:val="left"/>
              <w:rPr>
                <w:sz w:val="18"/>
                <w:szCs w:val="18"/>
              </w:rPr>
            </w:pPr>
            <w:r w:rsidRPr="00243011">
              <w:rPr>
                <w:sz w:val="18"/>
                <w:szCs w:val="18"/>
              </w:rPr>
              <w:t>Scherer (2001)</w:t>
            </w:r>
          </w:p>
        </w:tc>
        <w:tc>
          <w:tcPr>
            <w:tcW w:w="1276" w:type="dxa"/>
            <w:vAlign w:val="bottom"/>
          </w:tcPr>
          <w:p w:rsidR="007347FC" w:rsidRPr="00243011" w:rsidRDefault="007347FC" w:rsidP="00160BE5">
            <w:pPr>
              <w:pStyle w:val="TableBodyText"/>
              <w:jc w:val="left"/>
              <w:rPr>
                <w:sz w:val="18"/>
                <w:szCs w:val="18"/>
              </w:rPr>
            </w:pPr>
            <w:r w:rsidRPr="00243011">
              <w:rPr>
                <w:sz w:val="18"/>
                <w:szCs w:val="18"/>
              </w:rPr>
              <w:t>1985</w:t>
            </w:r>
            <w:r w:rsidR="00870A25" w:rsidRPr="00243011">
              <w:rPr>
                <w:sz w:val="18"/>
                <w:szCs w:val="18"/>
              </w:rPr>
              <w:t>–</w:t>
            </w:r>
            <w:r w:rsidRPr="00243011">
              <w:rPr>
                <w:sz w:val="18"/>
                <w:szCs w:val="18"/>
              </w:rPr>
              <w:t>1996</w:t>
            </w:r>
          </w:p>
        </w:tc>
        <w:tc>
          <w:tcPr>
            <w:tcW w:w="991" w:type="dxa"/>
            <w:vAlign w:val="bottom"/>
          </w:tcPr>
          <w:p w:rsidR="007347FC" w:rsidRPr="00243011" w:rsidRDefault="007347FC" w:rsidP="00160BE5">
            <w:pPr>
              <w:pStyle w:val="TableBodyText"/>
              <w:jc w:val="left"/>
              <w:rPr>
                <w:sz w:val="18"/>
                <w:szCs w:val="18"/>
              </w:rPr>
            </w:pPr>
            <w:r w:rsidRPr="00243011">
              <w:rPr>
                <w:sz w:val="18"/>
                <w:szCs w:val="18"/>
              </w:rPr>
              <w:t>5 yrs</w:t>
            </w:r>
          </w:p>
        </w:tc>
        <w:tc>
          <w:tcPr>
            <w:tcW w:w="992" w:type="dxa"/>
            <w:vAlign w:val="bottom"/>
          </w:tcPr>
          <w:p w:rsidR="007347FC" w:rsidRPr="00243011" w:rsidRDefault="007347FC" w:rsidP="00870A25">
            <w:pPr>
              <w:pStyle w:val="TableBodyText"/>
              <w:ind w:right="69"/>
              <w:jc w:val="left"/>
              <w:rPr>
                <w:sz w:val="18"/>
                <w:szCs w:val="18"/>
              </w:rPr>
            </w:pPr>
            <w:r w:rsidRPr="00243011">
              <w:rPr>
                <w:sz w:val="18"/>
                <w:szCs w:val="18"/>
              </w:rPr>
              <w:t>Monthly</w:t>
            </w:r>
          </w:p>
        </w:tc>
        <w:tc>
          <w:tcPr>
            <w:tcW w:w="2835" w:type="dxa"/>
            <w:gridSpan w:val="2"/>
            <w:vAlign w:val="bottom"/>
          </w:tcPr>
          <w:p w:rsidR="007347FC" w:rsidRPr="00243011" w:rsidRDefault="007347FC" w:rsidP="00870A25">
            <w:pPr>
              <w:pStyle w:val="TableBodyText"/>
              <w:ind w:right="0"/>
              <w:jc w:val="left"/>
              <w:rPr>
                <w:sz w:val="18"/>
                <w:szCs w:val="18"/>
              </w:rPr>
            </w:pPr>
            <w:r w:rsidRPr="00243011">
              <w:rPr>
                <w:sz w:val="18"/>
                <w:szCs w:val="18"/>
              </w:rPr>
              <w:t>Ed, Emp, U, NILF</w:t>
            </w:r>
          </w:p>
        </w:tc>
        <w:tc>
          <w:tcPr>
            <w:tcW w:w="851" w:type="dxa"/>
            <w:vAlign w:val="bottom"/>
          </w:tcPr>
          <w:p w:rsidR="007347FC" w:rsidRPr="00243011" w:rsidRDefault="007347FC" w:rsidP="00B060AF">
            <w:pPr>
              <w:pStyle w:val="TableBodyText"/>
              <w:ind w:right="141"/>
              <w:rPr>
                <w:sz w:val="18"/>
                <w:szCs w:val="18"/>
              </w:rPr>
            </w:pPr>
            <w:r w:rsidRPr="00243011">
              <w:rPr>
                <w:sz w:val="18"/>
                <w:szCs w:val="18"/>
              </w:rPr>
              <w:t>12</w:t>
            </w:r>
          </w:p>
        </w:tc>
        <w:tc>
          <w:tcPr>
            <w:tcW w:w="1172" w:type="dxa"/>
            <w:vAlign w:val="bottom"/>
          </w:tcPr>
          <w:p w:rsidR="007347FC" w:rsidRPr="00243011" w:rsidRDefault="007347FC" w:rsidP="002D5191">
            <w:pPr>
              <w:pStyle w:val="TableBodyText"/>
              <w:ind w:right="85"/>
              <w:rPr>
                <w:sz w:val="18"/>
                <w:szCs w:val="18"/>
              </w:rPr>
            </w:pPr>
            <w:r w:rsidRPr="00243011">
              <w:rPr>
                <w:sz w:val="18"/>
                <w:szCs w:val="18"/>
              </w:rPr>
              <w:t>3</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Northern Ireland</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McVicar &amp; Anyadike</w:t>
            </w:r>
            <w:r w:rsidR="002D3332">
              <w:rPr>
                <w:sz w:val="18"/>
                <w:szCs w:val="18"/>
              </w:rPr>
              <w:noBreakHyphen/>
            </w:r>
            <w:r w:rsidRPr="00243011">
              <w:rPr>
                <w:sz w:val="18"/>
                <w:szCs w:val="18"/>
              </w:rPr>
              <w:t>Danes (2002)</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199</w:t>
            </w:r>
            <w:r w:rsidR="00D149C7" w:rsidRPr="00243011">
              <w:rPr>
                <w:sz w:val="18"/>
                <w:szCs w:val="18"/>
              </w:rPr>
              <w:t>3–1999</w:t>
            </w:r>
          </w:p>
        </w:tc>
        <w:tc>
          <w:tcPr>
            <w:tcW w:w="991" w:type="dxa"/>
            <w:vAlign w:val="bottom"/>
          </w:tcPr>
          <w:p w:rsidR="00324E8B" w:rsidRPr="00243011" w:rsidRDefault="00324E8B" w:rsidP="00160BE5">
            <w:pPr>
              <w:pStyle w:val="TableBodyText"/>
              <w:jc w:val="left"/>
              <w:rPr>
                <w:sz w:val="18"/>
                <w:szCs w:val="18"/>
              </w:rPr>
            </w:pPr>
            <w:r w:rsidRPr="00243011">
              <w:rPr>
                <w:sz w:val="18"/>
                <w:szCs w:val="18"/>
              </w:rPr>
              <w:t>6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Jobless</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5</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1</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EU</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Quintini &amp; Manfredi (2009)</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1994</w:t>
            </w:r>
            <w:r w:rsidR="00870A25" w:rsidRPr="00243011">
              <w:rPr>
                <w:sz w:val="18"/>
                <w:szCs w:val="18"/>
              </w:rPr>
              <w:t>–</w:t>
            </w:r>
            <w:r w:rsidRPr="00243011">
              <w:rPr>
                <w:sz w:val="18"/>
                <w:szCs w:val="18"/>
              </w:rPr>
              <w:t>2001</w:t>
            </w:r>
          </w:p>
        </w:tc>
        <w:tc>
          <w:tcPr>
            <w:tcW w:w="991" w:type="dxa"/>
            <w:vAlign w:val="bottom"/>
          </w:tcPr>
          <w:p w:rsidR="00324E8B" w:rsidRPr="00243011" w:rsidRDefault="00324E8B" w:rsidP="00160BE5">
            <w:pPr>
              <w:pStyle w:val="TableBodyText"/>
              <w:jc w:val="left"/>
              <w:rPr>
                <w:sz w:val="18"/>
                <w:szCs w:val="18"/>
              </w:rPr>
            </w:pPr>
            <w:r w:rsidRPr="00243011">
              <w:rPr>
                <w:sz w:val="18"/>
                <w:szCs w:val="18"/>
              </w:rPr>
              <w:t>5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9</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3</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EU</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Brzinsky</w:t>
            </w:r>
            <w:r w:rsidR="002D3332">
              <w:rPr>
                <w:sz w:val="18"/>
                <w:szCs w:val="18"/>
              </w:rPr>
              <w:noBreakHyphen/>
            </w:r>
            <w:r w:rsidRPr="00243011">
              <w:rPr>
                <w:sz w:val="18"/>
                <w:szCs w:val="18"/>
              </w:rPr>
              <w:t>Fay (2007)</w:t>
            </w:r>
          </w:p>
        </w:tc>
        <w:tc>
          <w:tcPr>
            <w:tcW w:w="1276" w:type="dxa"/>
            <w:vAlign w:val="bottom"/>
          </w:tcPr>
          <w:p w:rsidR="00324E8B" w:rsidRPr="00243011" w:rsidRDefault="00870A25" w:rsidP="00160BE5">
            <w:pPr>
              <w:pStyle w:val="TableBodyText"/>
              <w:jc w:val="left"/>
              <w:rPr>
                <w:sz w:val="18"/>
                <w:szCs w:val="18"/>
              </w:rPr>
            </w:pPr>
            <w:r w:rsidRPr="00243011">
              <w:rPr>
                <w:sz w:val="18"/>
                <w:szCs w:val="18"/>
              </w:rPr>
              <w:t>1993–</w:t>
            </w:r>
            <w:r w:rsidR="00324E8B" w:rsidRPr="00243011">
              <w:rPr>
                <w:sz w:val="18"/>
                <w:szCs w:val="18"/>
              </w:rPr>
              <w:t>2000</w:t>
            </w:r>
          </w:p>
        </w:tc>
        <w:tc>
          <w:tcPr>
            <w:tcW w:w="991" w:type="dxa"/>
            <w:vAlign w:val="bottom"/>
          </w:tcPr>
          <w:p w:rsidR="00324E8B" w:rsidRPr="00243011" w:rsidRDefault="00324E8B" w:rsidP="00160BE5">
            <w:pPr>
              <w:pStyle w:val="TableBodyText"/>
              <w:jc w:val="left"/>
              <w:rPr>
                <w:sz w:val="18"/>
                <w:szCs w:val="18"/>
              </w:rPr>
            </w:pPr>
            <w:r w:rsidRPr="00243011">
              <w:rPr>
                <w:sz w:val="18"/>
                <w:szCs w:val="18"/>
              </w:rPr>
              <w:t>5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8</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2</w:t>
            </w:r>
          </w:p>
        </w:tc>
      </w:tr>
      <w:tr w:rsidR="007347FC" w:rsidTr="00B060AF">
        <w:tc>
          <w:tcPr>
            <w:tcW w:w="994" w:type="dxa"/>
            <w:vAlign w:val="bottom"/>
          </w:tcPr>
          <w:p w:rsidR="007347FC" w:rsidRPr="00243011" w:rsidRDefault="007347FC"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7347FC" w:rsidRPr="00243011" w:rsidRDefault="007347FC" w:rsidP="00870A25">
            <w:pPr>
              <w:pStyle w:val="TableBodyText"/>
              <w:jc w:val="left"/>
              <w:rPr>
                <w:sz w:val="18"/>
                <w:szCs w:val="18"/>
              </w:rPr>
            </w:pPr>
            <w:r w:rsidRPr="00243011">
              <w:rPr>
                <w:sz w:val="18"/>
                <w:szCs w:val="18"/>
              </w:rPr>
              <w:t>France</w:t>
            </w:r>
          </w:p>
        </w:tc>
        <w:tc>
          <w:tcPr>
            <w:tcW w:w="3260" w:type="dxa"/>
            <w:vAlign w:val="bottom"/>
          </w:tcPr>
          <w:p w:rsidR="007347FC" w:rsidRPr="00243011" w:rsidRDefault="007347FC" w:rsidP="00870A25">
            <w:pPr>
              <w:pStyle w:val="TableBodyText"/>
              <w:jc w:val="left"/>
              <w:rPr>
                <w:sz w:val="18"/>
                <w:szCs w:val="18"/>
              </w:rPr>
            </w:pPr>
            <w:r w:rsidRPr="00243011">
              <w:rPr>
                <w:sz w:val="18"/>
                <w:szCs w:val="18"/>
              </w:rPr>
              <w:t>C</w:t>
            </w:r>
            <w:r w:rsidRPr="00243011">
              <w:rPr>
                <w:rFonts w:cs="Arial"/>
                <w:sz w:val="18"/>
                <w:szCs w:val="18"/>
              </w:rPr>
              <w:t>é</w:t>
            </w:r>
            <w:r w:rsidRPr="00243011">
              <w:rPr>
                <w:sz w:val="18"/>
                <w:szCs w:val="18"/>
              </w:rPr>
              <w:t>req (2005)</w:t>
            </w:r>
          </w:p>
        </w:tc>
        <w:tc>
          <w:tcPr>
            <w:tcW w:w="1276" w:type="dxa"/>
            <w:vAlign w:val="bottom"/>
          </w:tcPr>
          <w:p w:rsidR="007347FC" w:rsidRPr="00243011" w:rsidRDefault="007347FC" w:rsidP="00160BE5">
            <w:pPr>
              <w:pStyle w:val="TableBodyText"/>
              <w:jc w:val="left"/>
              <w:rPr>
                <w:sz w:val="18"/>
                <w:szCs w:val="18"/>
              </w:rPr>
            </w:pPr>
            <w:r w:rsidRPr="00243011">
              <w:rPr>
                <w:sz w:val="18"/>
                <w:szCs w:val="18"/>
              </w:rPr>
              <w:t>2001</w:t>
            </w:r>
            <w:r w:rsidR="00870A25" w:rsidRPr="00243011">
              <w:rPr>
                <w:sz w:val="18"/>
                <w:szCs w:val="18"/>
              </w:rPr>
              <w:t>–</w:t>
            </w:r>
            <w:r w:rsidRPr="00243011">
              <w:rPr>
                <w:sz w:val="18"/>
                <w:szCs w:val="18"/>
              </w:rPr>
              <w:t>2004</w:t>
            </w:r>
          </w:p>
        </w:tc>
        <w:tc>
          <w:tcPr>
            <w:tcW w:w="991" w:type="dxa"/>
            <w:vAlign w:val="bottom"/>
          </w:tcPr>
          <w:p w:rsidR="007347FC" w:rsidRPr="00243011" w:rsidRDefault="007347FC" w:rsidP="00160BE5">
            <w:pPr>
              <w:pStyle w:val="TableBodyText"/>
              <w:jc w:val="left"/>
              <w:rPr>
                <w:sz w:val="18"/>
                <w:szCs w:val="18"/>
              </w:rPr>
            </w:pPr>
            <w:r w:rsidRPr="00243011">
              <w:rPr>
                <w:sz w:val="18"/>
                <w:szCs w:val="18"/>
              </w:rPr>
              <w:t>3 yrs</w:t>
            </w:r>
          </w:p>
        </w:tc>
        <w:tc>
          <w:tcPr>
            <w:tcW w:w="992" w:type="dxa"/>
            <w:vAlign w:val="bottom"/>
          </w:tcPr>
          <w:p w:rsidR="007347FC" w:rsidRPr="00243011" w:rsidRDefault="007347FC" w:rsidP="00870A25">
            <w:pPr>
              <w:pStyle w:val="TableBodyText"/>
              <w:ind w:right="69"/>
              <w:jc w:val="left"/>
              <w:rPr>
                <w:sz w:val="18"/>
                <w:szCs w:val="18"/>
              </w:rPr>
            </w:pPr>
            <w:r w:rsidRPr="00243011">
              <w:rPr>
                <w:sz w:val="18"/>
                <w:szCs w:val="18"/>
              </w:rPr>
              <w:t>Monthly</w:t>
            </w:r>
          </w:p>
        </w:tc>
        <w:tc>
          <w:tcPr>
            <w:tcW w:w="2835" w:type="dxa"/>
            <w:gridSpan w:val="2"/>
            <w:vAlign w:val="bottom"/>
          </w:tcPr>
          <w:p w:rsidR="007347FC" w:rsidRPr="00243011" w:rsidRDefault="007347FC" w:rsidP="00870A25">
            <w:pPr>
              <w:pStyle w:val="TableBodyText"/>
              <w:ind w:right="0"/>
              <w:jc w:val="left"/>
              <w:rPr>
                <w:sz w:val="18"/>
                <w:szCs w:val="18"/>
              </w:rPr>
            </w:pPr>
            <w:r w:rsidRPr="00243011">
              <w:rPr>
                <w:sz w:val="18"/>
                <w:szCs w:val="18"/>
              </w:rPr>
              <w:t>Ed, Emp, U, NILF</w:t>
            </w:r>
          </w:p>
        </w:tc>
        <w:tc>
          <w:tcPr>
            <w:tcW w:w="851" w:type="dxa"/>
            <w:vAlign w:val="bottom"/>
          </w:tcPr>
          <w:p w:rsidR="007347FC" w:rsidRPr="00243011" w:rsidRDefault="007347FC" w:rsidP="00B060AF">
            <w:pPr>
              <w:pStyle w:val="TableBodyText"/>
              <w:ind w:right="141"/>
              <w:rPr>
                <w:sz w:val="18"/>
                <w:szCs w:val="18"/>
              </w:rPr>
            </w:pPr>
            <w:r w:rsidRPr="00243011">
              <w:rPr>
                <w:sz w:val="18"/>
                <w:szCs w:val="18"/>
              </w:rPr>
              <w:t>6</w:t>
            </w:r>
          </w:p>
        </w:tc>
        <w:tc>
          <w:tcPr>
            <w:tcW w:w="1172" w:type="dxa"/>
            <w:vAlign w:val="bottom"/>
          </w:tcPr>
          <w:p w:rsidR="007347FC" w:rsidRPr="00243011" w:rsidRDefault="007347FC" w:rsidP="002D5191">
            <w:pPr>
              <w:pStyle w:val="TableBodyText"/>
              <w:ind w:right="85"/>
              <w:rPr>
                <w:sz w:val="18"/>
                <w:szCs w:val="18"/>
              </w:rPr>
            </w:pPr>
            <w:r w:rsidRPr="00243011">
              <w:rPr>
                <w:sz w:val="18"/>
                <w:szCs w:val="18"/>
              </w:rPr>
              <w:t>3</w:t>
            </w:r>
          </w:p>
        </w:tc>
      </w:tr>
      <w:tr w:rsidR="007347FC" w:rsidTr="00B060AF">
        <w:tc>
          <w:tcPr>
            <w:tcW w:w="994" w:type="dxa"/>
            <w:vAlign w:val="bottom"/>
          </w:tcPr>
          <w:p w:rsidR="007347FC" w:rsidRPr="00243011" w:rsidRDefault="007347FC"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7347FC" w:rsidRPr="00243011" w:rsidRDefault="007347FC" w:rsidP="00870A25">
            <w:pPr>
              <w:pStyle w:val="TableBodyText"/>
              <w:jc w:val="left"/>
              <w:rPr>
                <w:sz w:val="18"/>
                <w:szCs w:val="18"/>
              </w:rPr>
            </w:pPr>
            <w:r w:rsidRPr="00243011">
              <w:rPr>
                <w:sz w:val="18"/>
                <w:szCs w:val="18"/>
              </w:rPr>
              <w:t>Germany</w:t>
            </w:r>
          </w:p>
        </w:tc>
        <w:tc>
          <w:tcPr>
            <w:tcW w:w="3260" w:type="dxa"/>
            <w:vAlign w:val="bottom"/>
          </w:tcPr>
          <w:p w:rsidR="007347FC" w:rsidRPr="00243011" w:rsidRDefault="007347FC" w:rsidP="00870A25">
            <w:pPr>
              <w:pStyle w:val="TableBodyText"/>
              <w:jc w:val="left"/>
              <w:rPr>
                <w:sz w:val="18"/>
                <w:szCs w:val="18"/>
              </w:rPr>
            </w:pPr>
            <w:r w:rsidRPr="00243011">
              <w:rPr>
                <w:sz w:val="18"/>
                <w:szCs w:val="18"/>
              </w:rPr>
              <w:t>Scherer (2001)</w:t>
            </w:r>
          </w:p>
        </w:tc>
        <w:tc>
          <w:tcPr>
            <w:tcW w:w="1276" w:type="dxa"/>
            <w:vAlign w:val="bottom"/>
          </w:tcPr>
          <w:p w:rsidR="007347FC" w:rsidRPr="00243011" w:rsidRDefault="007347FC" w:rsidP="00160BE5">
            <w:pPr>
              <w:pStyle w:val="TableBodyText"/>
              <w:jc w:val="left"/>
              <w:rPr>
                <w:sz w:val="18"/>
                <w:szCs w:val="18"/>
              </w:rPr>
            </w:pPr>
            <w:r w:rsidRPr="00243011">
              <w:rPr>
                <w:sz w:val="18"/>
                <w:szCs w:val="18"/>
              </w:rPr>
              <w:t>1985</w:t>
            </w:r>
            <w:r w:rsidR="00870A25" w:rsidRPr="00243011">
              <w:rPr>
                <w:sz w:val="18"/>
                <w:szCs w:val="18"/>
              </w:rPr>
              <w:t>–</w:t>
            </w:r>
            <w:r w:rsidRPr="00243011">
              <w:rPr>
                <w:sz w:val="18"/>
                <w:szCs w:val="18"/>
              </w:rPr>
              <w:t>1996</w:t>
            </w:r>
          </w:p>
        </w:tc>
        <w:tc>
          <w:tcPr>
            <w:tcW w:w="991" w:type="dxa"/>
            <w:vAlign w:val="bottom"/>
          </w:tcPr>
          <w:p w:rsidR="007347FC" w:rsidRPr="00243011" w:rsidRDefault="007347FC" w:rsidP="00160BE5">
            <w:pPr>
              <w:pStyle w:val="TableBodyText"/>
              <w:jc w:val="left"/>
              <w:rPr>
                <w:sz w:val="18"/>
                <w:szCs w:val="18"/>
              </w:rPr>
            </w:pPr>
            <w:r w:rsidRPr="00243011">
              <w:rPr>
                <w:sz w:val="18"/>
                <w:szCs w:val="18"/>
              </w:rPr>
              <w:t>5 yrs</w:t>
            </w:r>
          </w:p>
        </w:tc>
        <w:tc>
          <w:tcPr>
            <w:tcW w:w="992" w:type="dxa"/>
            <w:vAlign w:val="bottom"/>
          </w:tcPr>
          <w:p w:rsidR="007347FC" w:rsidRPr="00243011" w:rsidRDefault="007347FC" w:rsidP="00870A25">
            <w:pPr>
              <w:pStyle w:val="TableBodyText"/>
              <w:ind w:right="69"/>
              <w:jc w:val="left"/>
              <w:rPr>
                <w:sz w:val="18"/>
                <w:szCs w:val="18"/>
              </w:rPr>
            </w:pPr>
            <w:r w:rsidRPr="00243011">
              <w:rPr>
                <w:sz w:val="18"/>
                <w:szCs w:val="18"/>
              </w:rPr>
              <w:t>Monthly</w:t>
            </w:r>
          </w:p>
        </w:tc>
        <w:tc>
          <w:tcPr>
            <w:tcW w:w="2835" w:type="dxa"/>
            <w:gridSpan w:val="2"/>
            <w:vAlign w:val="bottom"/>
          </w:tcPr>
          <w:p w:rsidR="007347FC" w:rsidRPr="00243011" w:rsidRDefault="007347FC" w:rsidP="00870A25">
            <w:pPr>
              <w:pStyle w:val="TableBodyText"/>
              <w:ind w:right="0"/>
              <w:jc w:val="left"/>
              <w:rPr>
                <w:sz w:val="18"/>
                <w:szCs w:val="18"/>
              </w:rPr>
            </w:pPr>
            <w:r w:rsidRPr="00243011">
              <w:rPr>
                <w:sz w:val="18"/>
                <w:szCs w:val="18"/>
              </w:rPr>
              <w:t>Ed, Emp, U, NILF</w:t>
            </w:r>
          </w:p>
        </w:tc>
        <w:tc>
          <w:tcPr>
            <w:tcW w:w="851" w:type="dxa"/>
            <w:vAlign w:val="bottom"/>
          </w:tcPr>
          <w:p w:rsidR="007347FC" w:rsidRPr="00243011" w:rsidRDefault="007347FC" w:rsidP="00B060AF">
            <w:pPr>
              <w:pStyle w:val="TableBodyText"/>
              <w:ind w:right="141"/>
              <w:rPr>
                <w:sz w:val="18"/>
                <w:szCs w:val="18"/>
              </w:rPr>
            </w:pPr>
            <w:r w:rsidRPr="00243011">
              <w:rPr>
                <w:sz w:val="18"/>
                <w:szCs w:val="18"/>
              </w:rPr>
              <w:t>12</w:t>
            </w:r>
          </w:p>
        </w:tc>
        <w:tc>
          <w:tcPr>
            <w:tcW w:w="1172" w:type="dxa"/>
            <w:vAlign w:val="bottom"/>
          </w:tcPr>
          <w:p w:rsidR="007347FC" w:rsidRPr="00243011" w:rsidRDefault="007347FC" w:rsidP="002D5191">
            <w:pPr>
              <w:pStyle w:val="TableBodyText"/>
              <w:ind w:right="85"/>
              <w:rPr>
                <w:sz w:val="18"/>
                <w:szCs w:val="18"/>
              </w:rPr>
            </w:pPr>
            <w:r w:rsidRPr="00243011">
              <w:rPr>
                <w:sz w:val="18"/>
                <w:szCs w:val="18"/>
              </w:rPr>
              <w:t>3</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Spain</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Albert Verd</w:t>
            </w:r>
            <w:r w:rsidR="00825BFD" w:rsidRPr="00243011">
              <w:rPr>
                <w:rFonts w:cs="Arial"/>
                <w:sz w:val="18"/>
                <w:szCs w:val="18"/>
              </w:rPr>
              <w:t>ú</w:t>
            </w:r>
            <w:r w:rsidRPr="00243011">
              <w:rPr>
                <w:sz w:val="18"/>
                <w:szCs w:val="18"/>
              </w:rPr>
              <w:t xml:space="preserve"> &amp; Davia (2010)</w:t>
            </w:r>
          </w:p>
        </w:tc>
        <w:tc>
          <w:tcPr>
            <w:tcW w:w="1276" w:type="dxa"/>
            <w:vAlign w:val="bottom"/>
          </w:tcPr>
          <w:p w:rsidR="00324E8B" w:rsidRPr="00243011" w:rsidRDefault="00B37B55" w:rsidP="00160BE5">
            <w:pPr>
              <w:pStyle w:val="TableBodyText"/>
              <w:ind w:right="0"/>
              <w:jc w:val="left"/>
              <w:rPr>
                <w:sz w:val="18"/>
                <w:szCs w:val="18"/>
              </w:rPr>
            </w:pPr>
            <w:r>
              <w:rPr>
                <w:sz w:val="18"/>
                <w:szCs w:val="18"/>
              </w:rPr>
              <w:t xml:space="preserve">early </w:t>
            </w:r>
            <w:r w:rsidR="00243011" w:rsidRPr="00243011">
              <w:rPr>
                <w:sz w:val="18"/>
                <w:szCs w:val="18"/>
              </w:rPr>
              <w:t>2000</w:t>
            </w:r>
            <w:r>
              <w:rPr>
                <w:sz w:val="18"/>
                <w:szCs w:val="18"/>
              </w:rPr>
              <w:t>s</w:t>
            </w:r>
          </w:p>
        </w:tc>
        <w:tc>
          <w:tcPr>
            <w:tcW w:w="991" w:type="dxa"/>
            <w:vAlign w:val="bottom"/>
          </w:tcPr>
          <w:p w:rsidR="00324E8B" w:rsidRPr="00243011" w:rsidRDefault="00324E8B" w:rsidP="00160BE5">
            <w:pPr>
              <w:pStyle w:val="TableBodyText"/>
              <w:jc w:val="left"/>
              <w:rPr>
                <w:sz w:val="18"/>
                <w:szCs w:val="18"/>
              </w:rPr>
            </w:pPr>
            <w:r w:rsidRPr="00243011">
              <w:rPr>
                <w:sz w:val="18"/>
                <w:szCs w:val="18"/>
              </w:rPr>
              <w:t>3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6</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1</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Spain</w:t>
            </w:r>
          </w:p>
        </w:tc>
        <w:tc>
          <w:tcPr>
            <w:tcW w:w="3260" w:type="dxa"/>
            <w:vAlign w:val="bottom"/>
          </w:tcPr>
          <w:p w:rsidR="00324E8B" w:rsidRPr="00243011" w:rsidRDefault="00324E8B" w:rsidP="006065BE">
            <w:pPr>
              <w:pStyle w:val="TableBodyText"/>
              <w:jc w:val="left"/>
              <w:rPr>
                <w:sz w:val="18"/>
                <w:szCs w:val="18"/>
              </w:rPr>
            </w:pPr>
            <w:r w:rsidRPr="00243011">
              <w:rPr>
                <w:sz w:val="18"/>
                <w:szCs w:val="18"/>
              </w:rPr>
              <w:t>Corrales</w:t>
            </w:r>
            <w:r w:rsidR="002D3332">
              <w:rPr>
                <w:sz w:val="18"/>
                <w:szCs w:val="18"/>
              </w:rPr>
              <w:noBreakHyphen/>
            </w:r>
            <w:r w:rsidRPr="00243011">
              <w:rPr>
                <w:sz w:val="18"/>
                <w:szCs w:val="18"/>
              </w:rPr>
              <w:t>Herrero &amp; Rodr</w:t>
            </w:r>
            <w:r w:rsidR="00A34346" w:rsidRPr="00243011">
              <w:rPr>
                <w:rFonts w:cs="Arial"/>
                <w:sz w:val="18"/>
                <w:szCs w:val="18"/>
              </w:rPr>
              <w:t>í</w:t>
            </w:r>
            <w:r w:rsidRPr="00243011">
              <w:rPr>
                <w:sz w:val="18"/>
                <w:szCs w:val="18"/>
              </w:rPr>
              <w:t>guez</w:t>
            </w:r>
            <w:r w:rsidR="006065BE" w:rsidRPr="00243011">
              <w:rPr>
                <w:sz w:val="18"/>
                <w:szCs w:val="18"/>
              </w:rPr>
              <w:noBreakHyphen/>
            </w:r>
            <w:r w:rsidRPr="00243011">
              <w:rPr>
                <w:sz w:val="18"/>
                <w:szCs w:val="18"/>
              </w:rPr>
              <w:t>Prado (2012)</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2001</w:t>
            </w:r>
            <w:r w:rsidR="006065BE" w:rsidRPr="00243011">
              <w:rPr>
                <w:sz w:val="18"/>
                <w:szCs w:val="18"/>
              </w:rPr>
              <w:t>–</w:t>
            </w:r>
            <w:r w:rsidRPr="00243011">
              <w:rPr>
                <w:sz w:val="18"/>
                <w:szCs w:val="18"/>
              </w:rPr>
              <w:t>2004</w:t>
            </w:r>
          </w:p>
        </w:tc>
        <w:tc>
          <w:tcPr>
            <w:tcW w:w="991" w:type="dxa"/>
            <w:vAlign w:val="bottom"/>
          </w:tcPr>
          <w:p w:rsidR="00324E8B" w:rsidRPr="00243011" w:rsidRDefault="00324E8B" w:rsidP="00160BE5">
            <w:pPr>
              <w:pStyle w:val="TableBodyText"/>
              <w:jc w:val="left"/>
              <w:rPr>
                <w:sz w:val="18"/>
                <w:szCs w:val="18"/>
              </w:rPr>
            </w:pPr>
            <w:r w:rsidRPr="00243011">
              <w:rPr>
                <w:sz w:val="18"/>
                <w:szCs w:val="18"/>
              </w:rPr>
              <w:t>4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7</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2</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US</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Quintini &amp; Manfredi (2009)</w:t>
            </w:r>
          </w:p>
        </w:tc>
        <w:tc>
          <w:tcPr>
            <w:tcW w:w="1276" w:type="dxa"/>
            <w:vAlign w:val="bottom"/>
          </w:tcPr>
          <w:p w:rsidR="00324E8B" w:rsidRPr="00243011" w:rsidRDefault="00324E8B" w:rsidP="00160BE5">
            <w:pPr>
              <w:pStyle w:val="TableBodyText"/>
              <w:ind w:right="0"/>
              <w:jc w:val="left"/>
              <w:rPr>
                <w:sz w:val="18"/>
                <w:szCs w:val="18"/>
              </w:rPr>
            </w:pPr>
            <w:r w:rsidRPr="00243011">
              <w:rPr>
                <w:sz w:val="18"/>
                <w:szCs w:val="18"/>
              </w:rPr>
              <w:t>1980s</w:t>
            </w:r>
            <w:r w:rsidR="00B37B55">
              <w:rPr>
                <w:sz w:val="18"/>
                <w:szCs w:val="18"/>
              </w:rPr>
              <w:t xml:space="preserve"> </w:t>
            </w:r>
          </w:p>
        </w:tc>
        <w:tc>
          <w:tcPr>
            <w:tcW w:w="991" w:type="dxa"/>
            <w:vAlign w:val="bottom"/>
          </w:tcPr>
          <w:p w:rsidR="00324E8B" w:rsidRPr="00243011" w:rsidRDefault="00324E8B" w:rsidP="00160BE5">
            <w:pPr>
              <w:pStyle w:val="TableBodyText"/>
              <w:jc w:val="left"/>
              <w:rPr>
                <w:sz w:val="18"/>
                <w:szCs w:val="18"/>
              </w:rPr>
            </w:pPr>
            <w:r w:rsidRPr="00243011">
              <w:rPr>
                <w:sz w:val="18"/>
                <w:szCs w:val="18"/>
              </w:rPr>
              <w:t>5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9</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3</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Youth</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US</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Quintini &amp; Manfredi (2009)</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1997</w:t>
            </w:r>
            <w:r w:rsidR="00870A25" w:rsidRPr="00243011">
              <w:rPr>
                <w:sz w:val="18"/>
                <w:szCs w:val="18"/>
              </w:rPr>
              <w:t>–</w:t>
            </w:r>
            <w:r w:rsidRPr="00243011">
              <w:rPr>
                <w:sz w:val="18"/>
                <w:szCs w:val="18"/>
              </w:rPr>
              <w:t>2005</w:t>
            </w:r>
          </w:p>
        </w:tc>
        <w:tc>
          <w:tcPr>
            <w:tcW w:w="991" w:type="dxa"/>
            <w:vAlign w:val="bottom"/>
          </w:tcPr>
          <w:p w:rsidR="00324E8B" w:rsidRPr="00243011" w:rsidRDefault="00324E8B" w:rsidP="00160BE5">
            <w:pPr>
              <w:pStyle w:val="TableBodyText"/>
              <w:jc w:val="left"/>
              <w:rPr>
                <w:sz w:val="18"/>
                <w:szCs w:val="18"/>
              </w:rPr>
            </w:pPr>
            <w:r w:rsidRPr="00243011">
              <w:rPr>
                <w:sz w:val="18"/>
                <w:szCs w:val="18"/>
              </w:rPr>
              <w:t>5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9</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2</w:t>
            </w:r>
          </w:p>
        </w:tc>
      </w:tr>
      <w:tr w:rsidR="007347FC" w:rsidTr="00B060AF">
        <w:tc>
          <w:tcPr>
            <w:tcW w:w="994" w:type="dxa"/>
            <w:vAlign w:val="bottom"/>
          </w:tcPr>
          <w:p w:rsidR="007347FC" w:rsidRPr="00243011" w:rsidRDefault="00C86D82" w:rsidP="00870A25">
            <w:pPr>
              <w:pStyle w:val="TableBodyText"/>
              <w:jc w:val="left"/>
              <w:rPr>
                <w:sz w:val="18"/>
                <w:szCs w:val="18"/>
              </w:rPr>
            </w:pPr>
            <w:r w:rsidRPr="00243011">
              <w:rPr>
                <w:sz w:val="18"/>
                <w:szCs w:val="18"/>
              </w:rPr>
              <w:t>Adult</w:t>
            </w:r>
            <w:r w:rsidR="001E1D61">
              <w:rPr>
                <w:sz w:val="18"/>
                <w:szCs w:val="18"/>
              </w:rPr>
              <w:t>s</w:t>
            </w:r>
          </w:p>
        </w:tc>
        <w:tc>
          <w:tcPr>
            <w:tcW w:w="992" w:type="dxa"/>
            <w:vAlign w:val="bottom"/>
          </w:tcPr>
          <w:p w:rsidR="007347FC" w:rsidRPr="00243011" w:rsidRDefault="007347FC" w:rsidP="00870A25">
            <w:pPr>
              <w:pStyle w:val="TableBodyText"/>
              <w:jc w:val="left"/>
              <w:rPr>
                <w:sz w:val="18"/>
                <w:szCs w:val="18"/>
              </w:rPr>
            </w:pPr>
            <w:r w:rsidRPr="00243011">
              <w:rPr>
                <w:sz w:val="18"/>
                <w:szCs w:val="18"/>
              </w:rPr>
              <w:t>China</w:t>
            </w:r>
          </w:p>
        </w:tc>
        <w:tc>
          <w:tcPr>
            <w:tcW w:w="3260" w:type="dxa"/>
            <w:vAlign w:val="bottom"/>
          </w:tcPr>
          <w:p w:rsidR="007347FC" w:rsidRPr="00243011" w:rsidRDefault="00BD2987" w:rsidP="00870A25">
            <w:pPr>
              <w:pStyle w:val="TableBodyText"/>
              <w:jc w:val="left"/>
              <w:rPr>
                <w:sz w:val="18"/>
                <w:szCs w:val="18"/>
              </w:rPr>
            </w:pPr>
            <w:r w:rsidRPr="00243011">
              <w:rPr>
                <w:sz w:val="18"/>
                <w:szCs w:val="18"/>
              </w:rPr>
              <w:t>Lin (2013)</w:t>
            </w:r>
          </w:p>
        </w:tc>
        <w:tc>
          <w:tcPr>
            <w:tcW w:w="1276" w:type="dxa"/>
            <w:vAlign w:val="bottom"/>
          </w:tcPr>
          <w:p w:rsidR="007347FC" w:rsidRDefault="00BD2987" w:rsidP="00160BE5">
            <w:pPr>
              <w:pStyle w:val="TableBodyText"/>
              <w:ind w:right="1"/>
              <w:jc w:val="left"/>
            </w:pPr>
            <w:r w:rsidRPr="00243011">
              <w:rPr>
                <w:sz w:val="18"/>
                <w:szCs w:val="18"/>
              </w:rPr>
              <w:t>2003</w:t>
            </w:r>
            <w:r w:rsidR="00243011">
              <w:rPr>
                <w:rStyle w:val="NoteLabel"/>
              </w:rPr>
              <w:t>e</w:t>
            </w:r>
          </w:p>
        </w:tc>
        <w:tc>
          <w:tcPr>
            <w:tcW w:w="991" w:type="dxa"/>
            <w:vAlign w:val="bottom"/>
          </w:tcPr>
          <w:p w:rsidR="007347FC" w:rsidRPr="00243011" w:rsidRDefault="00BD2987" w:rsidP="00160BE5">
            <w:pPr>
              <w:pStyle w:val="TableBodyText"/>
              <w:jc w:val="left"/>
              <w:rPr>
                <w:sz w:val="18"/>
                <w:szCs w:val="18"/>
              </w:rPr>
            </w:pPr>
            <w:r w:rsidRPr="00243011">
              <w:rPr>
                <w:sz w:val="18"/>
                <w:szCs w:val="18"/>
              </w:rPr>
              <w:t>25 yrs</w:t>
            </w:r>
          </w:p>
        </w:tc>
        <w:tc>
          <w:tcPr>
            <w:tcW w:w="992" w:type="dxa"/>
            <w:vAlign w:val="bottom"/>
          </w:tcPr>
          <w:p w:rsidR="007347FC" w:rsidRPr="00243011" w:rsidRDefault="00BD2987" w:rsidP="00870A25">
            <w:pPr>
              <w:pStyle w:val="TableBodyText"/>
              <w:ind w:right="69"/>
              <w:jc w:val="left"/>
              <w:rPr>
                <w:sz w:val="18"/>
                <w:szCs w:val="18"/>
              </w:rPr>
            </w:pPr>
            <w:r w:rsidRPr="00243011">
              <w:rPr>
                <w:sz w:val="18"/>
                <w:szCs w:val="18"/>
              </w:rPr>
              <w:t>Annual</w:t>
            </w:r>
          </w:p>
        </w:tc>
        <w:tc>
          <w:tcPr>
            <w:tcW w:w="2835" w:type="dxa"/>
            <w:gridSpan w:val="2"/>
            <w:vAlign w:val="bottom"/>
          </w:tcPr>
          <w:p w:rsidR="007347FC" w:rsidRPr="00243011" w:rsidRDefault="00BD2987" w:rsidP="00870A25">
            <w:pPr>
              <w:pStyle w:val="TableBodyText"/>
              <w:ind w:right="0"/>
              <w:jc w:val="left"/>
              <w:rPr>
                <w:sz w:val="18"/>
                <w:szCs w:val="18"/>
              </w:rPr>
            </w:pPr>
            <w:r w:rsidRPr="00243011">
              <w:rPr>
                <w:sz w:val="18"/>
                <w:szCs w:val="18"/>
              </w:rPr>
              <w:t>Ed, Emp (by occ</w:t>
            </w:r>
            <w:r w:rsidR="001E1D61">
              <w:rPr>
                <w:sz w:val="18"/>
                <w:szCs w:val="18"/>
              </w:rPr>
              <w:t>.</w:t>
            </w:r>
            <w:r w:rsidRPr="00243011">
              <w:rPr>
                <w:sz w:val="18"/>
                <w:szCs w:val="18"/>
              </w:rPr>
              <w:t>), U, NILF</w:t>
            </w:r>
          </w:p>
        </w:tc>
        <w:tc>
          <w:tcPr>
            <w:tcW w:w="851" w:type="dxa"/>
            <w:vAlign w:val="bottom"/>
          </w:tcPr>
          <w:p w:rsidR="007347FC" w:rsidRPr="00243011" w:rsidRDefault="00BD2987" w:rsidP="00B060AF">
            <w:pPr>
              <w:pStyle w:val="TableBodyText"/>
              <w:ind w:right="141"/>
              <w:rPr>
                <w:sz w:val="18"/>
                <w:szCs w:val="18"/>
              </w:rPr>
            </w:pPr>
            <w:r w:rsidRPr="00243011">
              <w:rPr>
                <w:sz w:val="18"/>
                <w:szCs w:val="18"/>
              </w:rPr>
              <w:t>4</w:t>
            </w:r>
          </w:p>
        </w:tc>
        <w:tc>
          <w:tcPr>
            <w:tcW w:w="1172" w:type="dxa"/>
            <w:vAlign w:val="bottom"/>
          </w:tcPr>
          <w:p w:rsidR="007347FC" w:rsidRPr="00243011" w:rsidRDefault="00BD2987" w:rsidP="002D5191">
            <w:pPr>
              <w:pStyle w:val="TableBodyText"/>
              <w:ind w:right="85"/>
              <w:rPr>
                <w:sz w:val="18"/>
                <w:szCs w:val="18"/>
              </w:rPr>
            </w:pPr>
            <w:r w:rsidRPr="00243011">
              <w:rPr>
                <w:sz w:val="18"/>
                <w:szCs w:val="18"/>
              </w:rPr>
              <w:t>1</w:t>
            </w:r>
          </w:p>
        </w:tc>
      </w:tr>
      <w:tr w:rsidR="00324E8B" w:rsidTr="00B060AF">
        <w:tc>
          <w:tcPr>
            <w:tcW w:w="994" w:type="dxa"/>
            <w:vAlign w:val="bottom"/>
          </w:tcPr>
          <w:p w:rsidR="00324E8B" w:rsidRDefault="00324E8B" w:rsidP="00243011">
            <w:pPr>
              <w:pStyle w:val="TableBodyText"/>
              <w:jc w:val="left"/>
            </w:pPr>
            <w:r w:rsidRPr="00243011">
              <w:rPr>
                <w:sz w:val="18"/>
                <w:szCs w:val="18"/>
              </w:rPr>
              <w:t>Adult</w:t>
            </w:r>
            <w:r w:rsidR="001E1D61">
              <w:rPr>
                <w:sz w:val="18"/>
                <w:szCs w:val="18"/>
              </w:rPr>
              <w:t>s</w:t>
            </w:r>
            <w:r w:rsidR="00243011">
              <w:rPr>
                <w:rStyle w:val="NoteLabel"/>
              </w:rPr>
              <w:t>d</w:t>
            </w:r>
          </w:p>
        </w:tc>
        <w:tc>
          <w:tcPr>
            <w:tcW w:w="992" w:type="dxa"/>
            <w:vAlign w:val="bottom"/>
          </w:tcPr>
          <w:p w:rsidR="00324E8B" w:rsidRPr="00243011" w:rsidRDefault="00324E8B" w:rsidP="00870A25">
            <w:pPr>
              <w:pStyle w:val="TableBodyText"/>
              <w:jc w:val="left"/>
              <w:rPr>
                <w:sz w:val="18"/>
                <w:szCs w:val="18"/>
              </w:rPr>
            </w:pPr>
            <w:r w:rsidRPr="00243011">
              <w:rPr>
                <w:sz w:val="18"/>
                <w:szCs w:val="18"/>
              </w:rPr>
              <w:t>Germany</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Kogan (2007)</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1995</w:t>
            </w:r>
            <w:r w:rsidR="00870A25" w:rsidRPr="00243011">
              <w:rPr>
                <w:sz w:val="18"/>
                <w:szCs w:val="18"/>
              </w:rPr>
              <w:t>–</w:t>
            </w:r>
            <w:r w:rsidRPr="00243011">
              <w:rPr>
                <w:sz w:val="18"/>
                <w:szCs w:val="18"/>
              </w:rPr>
              <w:t>2000</w:t>
            </w:r>
          </w:p>
        </w:tc>
        <w:tc>
          <w:tcPr>
            <w:tcW w:w="991" w:type="dxa"/>
            <w:vAlign w:val="bottom"/>
          </w:tcPr>
          <w:p w:rsidR="00324E8B" w:rsidRPr="00243011" w:rsidRDefault="00324E8B" w:rsidP="00160BE5">
            <w:pPr>
              <w:pStyle w:val="TableBodyText"/>
              <w:jc w:val="left"/>
              <w:rPr>
                <w:sz w:val="18"/>
                <w:szCs w:val="18"/>
              </w:rPr>
            </w:pPr>
            <w:r w:rsidRPr="00243011">
              <w:rPr>
                <w:sz w:val="18"/>
                <w:szCs w:val="18"/>
              </w:rPr>
              <w:t>6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Annual</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Emp (by occ</w:t>
            </w:r>
            <w:r w:rsidR="001E1D61">
              <w:rPr>
                <w:sz w:val="18"/>
                <w:szCs w:val="18"/>
              </w:rPr>
              <w:t>.</w:t>
            </w:r>
            <w:r w:rsidRPr="00243011">
              <w:rPr>
                <w:sz w:val="18"/>
                <w:szCs w:val="18"/>
              </w:rPr>
              <w:t>), U, NILF</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10</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2</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Senior</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Britain</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Fasang (2010)</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1990</w:t>
            </w:r>
            <w:r w:rsidR="00870A25" w:rsidRPr="00243011">
              <w:rPr>
                <w:sz w:val="18"/>
                <w:szCs w:val="18"/>
              </w:rPr>
              <w:t>–</w:t>
            </w:r>
            <w:r w:rsidRPr="00243011">
              <w:rPr>
                <w:sz w:val="18"/>
                <w:szCs w:val="18"/>
              </w:rPr>
              <w:t>2005</w:t>
            </w:r>
          </w:p>
        </w:tc>
        <w:tc>
          <w:tcPr>
            <w:tcW w:w="991" w:type="dxa"/>
            <w:vAlign w:val="bottom"/>
          </w:tcPr>
          <w:p w:rsidR="00324E8B" w:rsidRPr="00243011" w:rsidRDefault="00324E8B" w:rsidP="00160BE5">
            <w:pPr>
              <w:pStyle w:val="TableBodyText"/>
              <w:jc w:val="left"/>
              <w:rPr>
                <w:sz w:val="18"/>
                <w:szCs w:val="18"/>
              </w:rPr>
            </w:pPr>
            <w:r w:rsidRPr="00243011">
              <w:rPr>
                <w:sz w:val="18"/>
                <w:szCs w:val="18"/>
              </w:rPr>
              <w:t>8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Emp, U, NILF (by income source)</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8</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1</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Senior</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Germany</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Fasang (2010)</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1990</w:t>
            </w:r>
            <w:r w:rsidR="00870A25" w:rsidRPr="00243011">
              <w:rPr>
                <w:sz w:val="18"/>
                <w:szCs w:val="18"/>
              </w:rPr>
              <w:t>–</w:t>
            </w:r>
            <w:r w:rsidRPr="00243011">
              <w:rPr>
                <w:sz w:val="18"/>
                <w:szCs w:val="18"/>
              </w:rPr>
              <w:t>2005</w:t>
            </w:r>
          </w:p>
        </w:tc>
        <w:tc>
          <w:tcPr>
            <w:tcW w:w="991" w:type="dxa"/>
            <w:vAlign w:val="bottom"/>
          </w:tcPr>
          <w:p w:rsidR="00324E8B" w:rsidRPr="00243011" w:rsidRDefault="00324E8B" w:rsidP="00160BE5">
            <w:pPr>
              <w:pStyle w:val="TableBodyText"/>
              <w:jc w:val="left"/>
              <w:rPr>
                <w:sz w:val="18"/>
                <w:szCs w:val="18"/>
              </w:rPr>
            </w:pPr>
            <w:r w:rsidRPr="00243011">
              <w:rPr>
                <w:sz w:val="18"/>
                <w:szCs w:val="18"/>
              </w:rPr>
              <w:t>8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Emp, Jobless (by income source)</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7</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1</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Senior</w:t>
            </w:r>
            <w:r w:rsidR="001E1D61">
              <w:rPr>
                <w:sz w:val="18"/>
                <w:szCs w:val="18"/>
              </w:rPr>
              <w:t>s</w:t>
            </w:r>
          </w:p>
        </w:tc>
        <w:tc>
          <w:tcPr>
            <w:tcW w:w="992" w:type="dxa"/>
            <w:vAlign w:val="bottom"/>
          </w:tcPr>
          <w:p w:rsidR="00324E8B" w:rsidRPr="00243011" w:rsidRDefault="00324E8B" w:rsidP="00870A25">
            <w:pPr>
              <w:pStyle w:val="TableBodyText"/>
              <w:jc w:val="left"/>
              <w:rPr>
                <w:sz w:val="18"/>
                <w:szCs w:val="18"/>
              </w:rPr>
            </w:pPr>
            <w:r w:rsidRPr="00243011">
              <w:rPr>
                <w:sz w:val="18"/>
                <w:szCs w:val="18"/>
              </w:rPr>
              <w:t>US (part)</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Han &amp; Moen (1999)</w:t>
            </w:r>
          </w:p>
        </w:tc>
        <w:tc>
          <w:tcPr>
            <w:tcW w:w="1276" w:type="dxa"/>
            <w:vAlign w:val="bottom"/>
          </w:tcPr>
          <w:p w:rsidR="00324E8B" w:rsidRDefault="00324E8B" w:rsidP="00160BE5">
            <w:pPr>
              <w:pStyle w:val="TableBodyText"/>
              <w:ind w:right="1"/>
              <w:jc w:val="left"/>
            </w:pPr>
            <w:r w:rsidRPr="00243011">
              <w:rPr>
                <w:sz w:val="18"/>
                <w:szCs w:val="18"/>
              </w:rPr>
              <w:t>1994</w:t>
            </w:r>
            <w:r w:rsidR="00D149C7" w:rsidRPr="00243011">
              <w:rPr>
                <w:sz w:val="18"/>
                <w:szCs w:val="18"/>
              </w:rPr>
              <w:noBreakHyphen/>
            </w:r>
            <w:r w:rsidRPr="00243011">
              <w:rPr>
                <w:sz w:val="18"/>
                <w:szCs w:val="18"/>
              </w:rPr>
              <w:t>95</w:t>
            </w:r>
            <w:r w:rsidR="00243011">
              <w:rPr>
                <w:rStyle w:val="NoteLabel"/>
              </w:rPr>
              <w:t>e</w:t>
            </w:r>
          </w:p>
        </w:tc>
        <w:tc>
          <w:tcPr>
            <w:tcW w:w="991" w:type="dxa"/>
            <w:vAlign w:val="bottom"/>
          </w:tcPr>
          <w:p w:rsidR="00324E8B" w:rsidRPr="00243011" w:rsidRDefault="00324E8B" w:rsidP="00160BE5">
            <w:pPr>
              <w:pStyle w:val="TableBodyText"/>
              <w:jc w:val="left"/>
              <w:rPr>
                <w:sz w:val="18"/>
                <w:szCs w:val="18"/>
              </w:rPr>
            </w:pPr>
            <w:r w:rsidRPr="00243011">
              <w:rPr>
                <w:sz w:val="18"/>
                <w:szCs w:val="18"/>
              </w:rPr>
              <w:t>(various)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Annual</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Emp (by occ</w:t>
            </w:r>
            <w:r w:rsidR="00870A25" w:rsidRPr="00243011">
              <w:rPr>
                <w:sz w:val="18"/>
                <w:szCs w:val="18"/>
              </w:rPr>
              <w:t>.</w:t>
            </w:r>
            <w:r w:rsidRPr="00243011">
              <w:rPr>
                <w:sz w:val="18"/>
                <w:szCs w:val="18"/>
              </w:rPr>
              <w:t>), Jobless, Retired</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5</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1</w:t>
            </w:r>
          </w:p>
        </w:tc>
      </w:tr>
      <w:tr w:rsidR="00324E8B" w:rsidTr="00B060AF">
        <w:tc>
          <w:tcPr>
            <w:tcW w:w="994" w:type="dxa"/>
            <w:vAlign w:val="bottom"/>
          </w:tcPr>
          <w:p w:rsidR="00324E8B" w:rsidRPr="00243011" w:rsidRDefault="00324E8B" w:rsidP="00870A25">
            <w:pPr>
              <w:pStyle w:val="TableBodyText"/>
              <w:jc w:val="left"/>
              <w:rPr>
                <w:sz w:val="18"/>
                <w:szCs w:val="18"/>
              </w:rPr>
            </w:pPr>
            <w:r w:rsidRPr="00243011">
              <w:rPr>
                <w:sz w:val="18"/>
                <w:szCs w:val="18"/>
              </w:rPr>
              <w:t>All</w:t>
            </w:r>
          </w:p>
        </w:tc>
        <w:tc>
          <w:tcPr>
            <w:tcW w:w="992" w:type="dxa"/>
            <w:vAlign w:val="bottom"/>
          </w:tcPr>
          <w:p w:rsidR="00324E8B" w:rsidRPr="00243011" w:rsidRDefault="00324E8B" w:rsidP="00870A25">
            <w:pPr>
              <w:pStyle w:val="TableBodyText"/>
              <w:jc w:val="left"/>
              <w:rPr>
                <w:sz w:val="18"/>
                <w:szCs w:val="18"/>
              </w:rPr>
            </w:pPr>
            <w:r w:rsidRPr="00243011">
              <w:rPr>
                <w:sz w:val="18"/>
                <w:szCs w:val="18"/>
              </w:rPr>
              <w:t>Canada</w:t>
            </w:r>
          </w:p>
        </w:tc>
        <w:tc>
          <w:tcPr>
            <w:tcW w:w="3260" w:type="dxa"/>
            <w:vAlign w:val="bottom"/>
          </w:tcPr>
          <w:p w:rsidR="00324E8B" w:rsidRPr="00243011" w:rsidRDefault="00324E8B" w:rsidP="00870A25">
            <w:pPr>
              <w:pStyle w:val="TableBodyText"/>
              <w:jc w:val="left"/>
              <w:rPr>
                <w:sz w:val="18"/>
                <w:szCs w:val="18"/>
              </w:rPr>
            </w:pPr>
            <w:r w:rsidRPr="00243011">
              <w:rPr>
                <w:sz w:val="18"/>
                <w:szCs w:val="18"/>
              </w:rPr>
              <w:t>Fuller (2011)</w:t>
            </w:r>
          </w:p>
        </w:tc>
        <w:tc>
          <w:tcPr>
            <w:tcW w:w="1276" w:type="dxa"/>
            <w:vAlign w:val="bottom"/>
          </w:tcPr>
          <w:p w:rsidR="00324E8B" w:rsidRPr="00243011" w:rsidRDefault="00324E8B" w:rsidP="00160BE5">
            <w:pPr>
              <w:pStyle w:val="TableBodyText"/>
              <w:jc w:val="left"/>
              <w:rPr>
                <w:sz w:val="18"/>
                <w:szCs w:val="18"/>
              </w:rPr>
            </w:pPr>
            <w:r w:rsidRPr="00243011">
              <w:rPr>
                <w:sz w:val="18"/>
                <w:szCs w:val="18"/>
              </w:rPr>
              <w:t>2001</w:t>
            </w:r>
            <w:r w:rsidR="00870A25" w:rsidRPr="00243011">
              <w:rPr>
                <w:sz w:val="18"/>
                <w:szCs w:val="18"/>
              </w:rPr>
              <w:t>–</w:t>
            </w:r>
            <w:r w:rsidRPr="00243011">
              <w:rPr>
                <w:sz w:val="18"/>
                <w:szCs w:val="18"/>
              </w:rPr>
              <w:t>2005</w:t>
            </w:r>
          </w:p>
        </w:tc>
        <w:tc>
          <w:tcPr>
            <w:tcW w:w="991" w:type="dxa"/>
            <w:vAlign w:val="bottom"/>
          </w:tcPr>
          <w:p w:rsidR="00324E8B" w:rsidRPr="00243011" w:rsidRDefault="00324E8B" w:rsidP="00160BE5">
            <w:pPr>
              <w:pStyle w:val="TableBodyText"/>
              <w:jc w:val="left"/>
              <w:rPr>
                <w:sz w:val="18"/>
                <w:szCs w:val="18"/>
              </w:rPr>
            </w:pPr>
            <w:r w:rsidRPr="00243011">
              <w:rPr>
                <w:sz w:val="18"/>
                <w:szCs w:val="18"/>
              </w:rPr>
              <w:t>4 yrs</w:t>
            </w:r>
          </w:p>
        </w:tc>
        <w:tc>
          <w:tcPr>
            <w:tcW w:w="992" w:type="dxa"/>
            <w:vAlign w:val="bottom"/>
          </w:tcPr>
          <w:p w:rsidR="00324E8B" w:rsidRPr="00243011" w:rsidRDefault="00324E8B" w:rsidP="00870A25">
            <w:pPr>
              <w:pStyle w:val="TableBodyText"/>
              <w:ind w:right="69"/>
              <w:jc w:val="left"/>
              <w:rPr>
                <w:sz w:val="18"/>
                <w:szCs w:val="18"/>
              </w:rPr>
            </w:pPr>
            <w:r w:rsidRPr="00243011">
              <w:rPr>
                <w:sz w:val="18"/>
                <w:szCs w:val="18"/>
              </w:rPr>
              <w:t>Monthly</w:t>
            </w:r>
          </w:p>
        </w:tc>
        <w:tc>
          <w:tcPr>
            <w:tcW w:w="2835" w:type="dxa"/>
            <w:gridSpan w:val="2"/>
            <w:vAlign w:val="bottom"/>
          </w:tcPr>
          <w:p w:rsidR="00324E8B" w:rsidRPr="00243011" w:rsidRDefault="00324E8B" w:rsidP="00870A25">
            <w:pPr>
              <w:pStyle w:val="TableBodyText"/>
              <w:ind w:right="0"/>
              <w:jc w:val="left"/>
              <w:rPr>
                <w:sz w:val="18"/>
                <w:szCs w:val="18"/>
              </w:rPr>
            </w:pPr>
            <w:r w:rsidRPr="00243011">
              <w:rPr>
                <w:sz w:val="18"/>
                <w:szCs w:val="18"/>
              </w:rPr>
              <w:t>Ed, Emp, Jobless</w:t>
            </w:r>
          </w:p>
        </w:tc>
        <w:tc>
          <w:tcPr>
            <w:tcW w:w="851" w:type="dxa"/>
            <w:vAlign w:val="bottom"/>
          </w:tcPr>
          <w:p w:rsidR="00324E8B" w:rsidRPr="00243011" w:rsidRDefault="00324E8B" w:rsidP="00B060AF">
            <w:pPr>
              <w:pStyle w:val="TableBodyText"/>
              <w:ind w:right="141"/>
              <w:rPr>
                <w:sz w:val="18"/>
                <w:szCs w:val="18"/>
              </w:rPr>
            </w:pPr>
            <w:r w:rsidRPr="00243011">
              <w:rPr>
                <w:sz w:val="18"/>
                <w:szCs w:val="18"/>
              </w:rPr>
              <w:t>6–7</w:t>
            </w:r>
          </w:p>
        </w:tc>
        <w:tc>
          <w:tcPr>
            <w:tcW w:w="1172" w:type="dxa"/>
            <w:vAlign w:val="bottom"/>
          </w:tcPr>
          <w:p w:rsidR="00324E8B" w:rsidRPr="00243011" w:rsidRDefault="00324E8B" w:rsidP="002D5191">
            <w:pPr>
              <w:pStyle w:val="TableBodyText"/>
              <w:ind w:right="85"/>
              <w:rPr>
                <w:sz w:val="18"/>
                <w:szCs w:val="18"/>
              </w:rPr>
            </w:pPr>
            <w:r w:rsidRPr="00243011">
              <w:rPr>
                <w:sz w:val="18"/>
                <w:szCs w:val="18"/>
              </w:rPr>
              <w:t>1</w:t>
            </w:r>
          </w:p>
        </w:tc>
      </w:tr>
      <w:tr w:rsidR="00324E8B" w:rsidTr="00B060AF">
        <w:tc>
          <w:tcPr>
            <w:tcW w:w="994" w:type="dxa"/>
            <w:tcBorders>
              <w:bottom w:val="single" w:sz="6" w:space="0" w:color="auto"/>
            </w:tcBorders>
            <w:shd w:val="clear" w:color="auto" w:fill="auto"/>
            <w:vAlign w:val="bottom"/>
          </w:tcPr>
          <w:p w:rsidR="00324E8B" w:rsidRPr="00243011" w:rsidRDefault="00324E8B" w:rsidP="00870A25">
            <w:pPr>
              <w:pStyle w:val="TableBodyText"/>
              <w:jc w:val="left"/>
              <w:rPr>
                <w:sz w:val="18"/>
                <w:szCs w:val="18"/>
              </w:rPr>
            </w:pPr>
            <w:r w:rsidRPr="00243011">
              <w:rPr>
                <w:sz w:val="18"/>
                <w:szCs w:val="18"/>
              </w:rPr>
              <w:t>All</w:t>
            </w:r>
          </w:p>
        </w:tc>
        <w:tc>
          <w:tcPr>
            <w:tcW w:w="992" w:type="dxa"/>
            <w:tcBorders>
              <w:bottom w:val="single" w:sz="6" w:space="0" w:color="auto"/>
            </w:tcBorders>
            <w:shd w:val="clear" w:color="auto" w:fill="auto"/>
            <w:vAlign w:val="bottom"/>
          </w:tcPr>
          <w:p w:rsidR="00324E8B" w:rsidRPr="00243011" w:rsidRDefault="00324E8B" w:rsidP="00870A25">
            <w:pPr>
              <w:pStyle w:val="TableBodyText"/>
              <w:jc w:val="left"/>
              <w:rPr>
                <w:sz w:val="18"/>
                <w:szCs w:val="18"/>
              </w:rPr>
            </w:pPr>
            <w:r w:rsidRPr="00243011">
              <w:rPr>
                <w:sz w:val="18"/>
                <w:szCs w:val="18"/>
              </w:rPr>
              <w:t>Australia</w:t>
            </w:r>
          </w:p>
        </w:tc>
        <w:tc>
          <w:tcPr>
            <w:tcW w:w="3260" w:type="dxa"/>
            <w:tcBorders>
              <w:bottom w:val="single" w:sz="6" w:space="0" w:color="auto"/>
            </w:tcBorders>
            <w:vAlign w:val="bottom"/>
          </w:tcPr>
          <w:p w:rsidR="00324E8B" w:rsidRPr="00243011" w:rsidRDefault="00324E8B" w:rsidP="00870A25">
            <w:pPr>
              <w:pStyle w:val="TableBodyText"/>
              <w:jc w:val="left"/>
              <w:rPr>
                <w:sz w:val="18"/>
                <w:szCs w:val="18"/>
              </w:rPr>
            </w:pPr>
            <w:r w:rsidRPr="00243011">
              <w:rPr>
                <w:sz w:val="18"/>
                <w:szCs w:val="18"/>
              </w:rPr>
              <w:t>Yu et al. (2012)</w:t>
            </w:r>
          </w:p>
        </w:tc>
        <w:tc>
          <w:tcPr>
            <w:tcW w:w="1276" w:type="dxa"/>
            <w:tcBorders>
              <w:bottom w:val="single" w:sz="6" w:space="0" w:color="auto"/>
            </w:tcBorders>
            <w:shd w:val="clear" w:color="auto" w:fill="auto"/>
            <w:vAlign w:val="bottom"/>
          </w:tcPr>
          <w:p w:rsidR="00324E8B" w:rsidRPr="00243011" w:rsidRDefault="00324E8B" w:rsidP="00160BE5">
            <w:pPr>
              <w:pStyle w:val="TableBodyText"/>
              <w:jc w:val="left"/>
              <w:rPr>
                <w:sz w:val="18"/>
                <w:szCs w:val="18"/>
              </w:rPr>
            </w:pPr>
            <w:r w:rsidRPr="00243011">
              <w:rPr>
                <w:sz w:val="18"/>
                <w:szCs w:val="18"/>
              </w:rPr>
              <w:t>2001</w:t>
            </w:r>
            <w:r w:rsidR="00870A25" w:rsidRPr="00243011">
              <w:rPr>
                <w:sz w:val="18"/>
                <w:szCs w:val="18"/>
              </w:rPr>
              <w:t>–</w:t>
            </w:r>
            <w:r w:rsidRPr="00243011">
              <w:rPr>
                <w:sz w:val="18"/>
                <w:szCs w:val="18"/>
              </w:rPr>
              <w:t>2009</w:t>
            </w:r>
          </w:p>
        </w:tc>
        <w:tc>
          <w:tcPr>
            <w:tcW w:w="991" w:type="dxa"/>
            <w:tcBorders>
              <w:bottom w:val="single" w:sz="6" w:space="0" w:color="auto"/>
            </w:tcBorders>
            <w:shd w:val="clear" w:color="auto" w:fill="auto"/>
            <w:vAlign w:val="bottom"/>
          </w:tcPr>
          <w:p w:rsidR="00324E8B" w:rsidRPr="00243011" w:rsidRDefault="00324E8B" w:rsidP="00160BE5">
            <w:pPr>
              <w:pStyle w:val="TableBodyText"/>
              <w:jc w:val="left"/>
              <w:rPr>
                <w:sz w:val="18"/>
                <w:szCs w:val="18"/>
              </w:rPr>
            </w:pPr>
            <w:r w:rsidRPr="00243011">
              <w:rPr>
                <w:sz w:val="18"/>
                <w:szCs w:val="18"/>
              </w:rPr>
              <w:t>9 yrs</w:t>
            </w:r>
          </w:p>
        </w:tc>
        <w:tc>
          <w:tcPr>
            <w:tcW w:w="992" w:type="dxa"/>
            <w:tcBorders>
              <w:bottom w:val="single" w:sz="6" w:space="0" w:color="auto"/>
            </w:tcBorders>
            <w:shd w:val="clear" w:color="auto" w:fill="auto"/>
            <w:vAlign w:val="bottom"/>
          </w:tcPr>
          <w:p w:rsidR="00324E8B" w:rsidRPr="00243011" w:rsidRDefault="00324E8B" w:rsidP="00870A25">
            <w:pPr>
              <w:pStyle w:val="TableBodyText"/>
              <w:ind w:right="69"/>
              <w:jc w:val="left"/>
              <w:rPr>
                <w:sz w:val="18"/>
                <w:szCs w:val="18"/>
              </w:rPr>
            </w:pPr>
            <w:r w:rsidRPr="00243011">
              <w:rPr>
                <w:sz w:val="18"/>
                <w:szCs w:val="18"/>
              </w:rPr>
              <w:t>Annual</w:t>
            </w:r>
          </w:p>
        </w:tc>
        <w:tc>
          <w:tcPr>
            <w:tcW w:w="2835" w:type="dxa"/>
            <w:gridSpan w:val="2"/>
            <w:tcBorders>
              <w:bottom w:val="single" w:sz="6" w:space="0" w:color="auto"/>
            </w:tcBorders>
            <w:shd w:val="clear" w:color="auto" w:fill="auto"/>
            <w:vAlign w:val="bottom"/>
          </w:tcPr>
          <w:p w:rsidR="00324E8B" w:rsidRPr="00243011" w:rsidRDefault="00324E8B" w:rsidP="00870A25">
            <w:pPr>
              <w:pStyle w:val="TableBodyText"/>
              <w:ind w:right="0"/>
              <w:jc w:val="left"/>
              <w:rPr>
                <w:sz w:val="18"/>
                <w:szCs w:val="18"/>
              </w:rPr>
            </w:pPr>
            <w:r w:rsidRPr="00243011">
              <w:rPr>
                <w:sz w:val="18"/>
                <w:szCs w:val="18"/>
              </w:rPr>
              <w:t>Ed, Emp (by occ</w:t>
            </w:r>
            <w:r w:rsidR="00870A25" w:rsidRPr="00243011">
              <w:rPr>
                <w:sz w:val="18"/>
                <w:szCs w:val="18"/>
              </w:rPr>
              <w:t>.</w:t>
            </w:r>
            <w:r w:rsidRPr="00243011">
              <w:rPr>
                <w:sz w:val="18"/>
                <w:szCs w:val="18"/>
              </w:rPr>
              <w:t>), U, NILF</w:t>
            </w:r>
          </w:p>
        </w:tc>
        <w:tc>
          <w:tcPr>
            <w:tcW w:w="851" w:type="dxa"/>
            <w:tcBorders>
              <w:bottom w:val="single" w:sz="6" w:space="0" w:color="auto"/>
            </w:tcBorders>
            <w:shd w:val="clear" w:color="auto" w:fill="auto"/>
            <w:vAlign w:val="bottom"/>
          </w:tcPr>
          <w:p w:rsidR="00324E8B" w:rsidRPr="00243011" w:rsidRDefault="00324E8B" w:rsidP="00B060AF">
            <w:pPr>
              <w:pStyle w:val="TableBodyText"/>
              <w:ind w:right="141"/>
              <w:rPr>
                <w:sz w:val="18"/>
                <w:szCs w:val="18"/>
              </w:rPr>
            </w:pPr>
            <w:r w:rsidRPr="00243011">
              <w:rPr>
                <w:sz w:val="18"/>
                <w:szCs w:val="18"/>
              </w:rPr>
              <w:t>10</w:t>
            </w:r>
          </w:p>
        </w:tc>
        <w:tc>
          <w:tcPr>
            <w:tcW w:w="1172" w:type="dxa"/>
            <w:tcBorders>
              <w:bottom w:val="single" w:sz="6" w:space="0" w:color="auto"/>
            </w:tcBorders>
            <w:shd w:val="clear" w:color="auto" w:fill="auto"/>
            <w:vAlign w:val="bottom"/>
          </w:tcPr>
          <w:p w:rsidR="00324E8B" w:rsidRPr="00243011" w:rsidRDefault="00324E8B" w:rsidP="002D5191">
            <w:pPr>
              <w:pStyle w:val="TableBodyText"/>
              <w:ind w:right="85"/>
              <w:rPr>
                <w:sz w:val="18"/>
                <w:szCs w:val="18"/>
              </w:rPr>
            </w:pPr>
            <w:r w:rsidRPr="00243011">
              <w:rPr>
                <w:sz w:val="18"/>
                <w:szCs w:val="18"/>
              </w:rPr>
              <w:t>1</w:t>
            </w:r>
          </w:p>
        </w:tc>
      </w:tr>
    </w:tbl>
    <w:p w:rsidR="00324E8B" w:rsidRDefault="00243011" w:rsidP="00243011">
      <w:pPr>
        <w:pStyle w:val="Note"/>
      </w:pPr>
      <w:r>
        <w:rPr>
          <w:rStyle w:val="NoteLabel"/>
        </w:rPr>
        <w:t>a </w:t>
      </w:r>
      <w:r w:rsidRPr="00243011">
        <w:t>In some cases the sequence length is shorter than the sample period depending on how individuals are selected for analysis.</w:t>
      </w:r>
      <w:r>
        <w:t>  </w:t>
      </w:r>
      <w:r>
        <w:rPr>
          <w:rStyle w:val="NoteLabel"/>
        </w:rPr>
        <w:t>b</w:t>
      </w:r>
      <w:r w:rsidR="00870A25">
        <w:t> </w:t>
      </w:r>
      <w:r w:rsidR="00324E8B">
        <w:t>Although those studies are not all strictly comparable, for the purposes of this summary a judgement has been made as to the number of pathways that were associated mostly with unemployment and/or inactivity. These have been labelled ‘red’ pathways. Ideally, these pathways would not include inactivity associated with childrearing for women, disability or prolonged illness, and retirement for seniors.</w:t>
      </w:r>
      <w:r w:rsidR="00870A25">
        <w:t>  </w:t>
      </w:r>
      <w:r>
        <w:rPr>
          <w:rStyle w:val="NoteLabel"/>
        </w:rPr>
        <w:t>c</w:t>
      </w:r>
      <w:r w:rsidR="00870A25">
        <w:t> </w:t>
      </w:r>
      <w:r w:rsidR="00BD2987">
        <w:t>Women only.</w:t>
      </w:r>
      <w:r w:rsidR="00870A25">
        <w:t>  </w:t>
      </w:r>
      <w:r>
        <w:rPr>
          <w:rStyle w:val="NoteLabel"/>
        </w:rPr>
        <w:t>d</w:t>
      </w:r>
      <w:r w:rsidR="00870A25">
        <w:t> </w:t>
      </w:r>
      <w:r w:rsidR="00BD2987">
        <w:t>Men only.</w:t>
      </w:r>
      <w:r w:rsidR="00870A25">
        <w:t>  </w:t>
      </w:r>
      <w:r>
        <w:rPr>
          <w:rStyle w:val="NoteLabel"/>
        </w:rPr>
        <w:t>e</w:t>
      </w:r>
      <w:r w:rsidR="00870A25">
        <w:t> </w:t>
      </w:r>
      <w:r w:rsidR="00C86D82">
        <w:t>Annual activity recall contained in single year of survey.</w:t>
      </w:r>
    </w:p>
    <w:p w:rsidR="0099700E" w:rsidRPr="00F4579B" w:rsidRDefault="00324E8B" w:rsidP="00790C30">
      <w:pPr>
        <w:pStyle w:val="Source"/>
      </w:pPr>
      <w:r>
        <w:rPr>
          <w:i/>
        </w:rPr>
        <w:t>Sources</w:t>
      </w:r>
      <w:r>
        <w:t>: As listed.</w:t>
      </w:r>
    </w:p>
    <w:sectPr w:rsidR="0099700E" w:rsidRPr="00F4579B" w:rsidSect="00790C30">
      <w:headerReference w:type="even" r:id="rId13"/>
      <w:headerReference w:type="default" r:id="rId14"/>
      <w:footerReference w:type="even" r:id="rId15"/>
      <w:footerReference w:type="default" r:id="rId16"/>
      <w:headerReference w:type="first" r:id="rId17"/>
      <w:footerReference w:type="first" r:id="rId18"/>
      <w:pgSz w:w="16840" w:h="11907" w:orient="landscape" w:code="9"/>
      <w:pgMar w:top="1814" w:right="1985" w:bottom="1304" w:left="1418" w:header="1701" w:footer="567" w:gutter="0"/>
      <w:pgNumType w:chapSep="period"/>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564" w:rsidRDefault="00002564">
      <w:r>
        <w:separator/>
      </w:r>
    </w:p>
  </w:endnote>
  <w:endnote w:type="continuationSeparator" w:id="0">
    <w:p w:rsidR="00002564" w:rsidRDefault="0000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02564">
      <w:trPr>
        <w:trHeight w:hRule="exact" w:val="740"/>
      </w:trPr>
      <w:tc>
        <w:tcPr>
          <w:tcW w:w="510" w:type="dxa"/>
          <w:tcBorders>
            <w:top w:val="single" w:sz="6" w:space="0" w:color="auto"/>
          </w:tcBorders>
        </w:tcPr>
        <w:p w:rsidR="00002564" w:rsidRDefault="00002564">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085A93">
            <w:rPr>
              <w:rStyle w:val="PageNumber"/>
              <w:noProof/>
            </w:rPr>
            <w:t>12</w:t>
          </w:r>
          <w:r>
            <w:rPr>
              <w:rStyle w:val="PageNumber"/>
            </w:rPr>
            <w:fldChar w:fldCharType="end"/>
          </w:r>
        </w:p>
      </w:tc>
      <w:tc>
        <w:tcPr>
          <w:tcW w:w="1644" w:type="dxa"/>
          <w:tcBorders>
            <w:top w:val="single" w:sz="6" w:space="0" w:color="auto"/>
          </w:tcBorders>
        </w:tcPr>
        <w:p w:rsidR="00002564" w:rsidRDefault="00085A93">
          <w:pPr>
            <w:pStyle w:val="Footer"/>
          </w:pPr>
          <w:r>
            <w:fldChar w:fldCharType="begin"/>
          </w:r>
          <w:r>
            <w:instrText xml:space="preserve"> SUBJECT  \* MERGEFORMAT </w:instrText>
          </w:r>
          <w:r>
            <w:fldChar w:fldCharType="separate"/>
          </w:r>
          <w:r w:rsidR="00B060AF">
            <w:t xml:space="preserve">Prevalence of Transition Pathways </w:t>
          </w:r>
          <w:r>
            <w:fldChar w:fldCharType="end"/>
          </w:r>
        </w:p>
      </w:tc>
      <w:tc>
        <w:tcPr>
          <w:tcW w:w="6634" w:type="dxa"/>
        </w:tcPr>
        <w:p w:rsidR="00002564" w:rsidRDefault="00002564">
          <w:pPr>
            <w:pStyle w:val="Footer"/>
          </w:pPr>
        </w:p>
      </w:tc>
    </w:tr>
  </w:tbl>
  <w:p w:rsidR="00002564" w:rsidRDefault="00002564">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02564">
      <w:trPr>
        <w:trHeight w:hRule="exact" w:val="740"/>
      </w:trPr>
      <w:tc>
        <w:tcPr>
          <w:tcW w:w="6634" w:type="dxa"/>
        </w:tcPr>
        <w:p w:rsidR="00002564" w:rsidRDefault="00002564">
          <w:pPr>
            <w:pStyle w:val="Footer"/>
            <w:ind w:right="360" w:firstLine="360"/>
          </w:pPr>
        </w:p>
      </w:tc>
      <w:tc>
        <w:tcPr>
          <w:tcW w:w="1644" w:type="dxa"/>
          <w:tcBorders>
            <w:top w:val="single" w:sz="6" w:space="0" w:color="auto"/>
          </w:tcBorders>
        </w:tcPr>
        <w:p w:rsidR="00002564" w:rsidRDefault="00085A93">
          <w:pPr>
            <w:pStyle w:val="Footer"/>
          </w:pPr>
          <w:r>
            <w:fldChar w:fldCharType="begin"/>
          </w:r>
          <w:r>
            <w:instrText xml:space="preserve"> TITLE  \* MERGEFORMAT </w:instrText>
          </w:r>
          <w:r>
            <w:fldChar w:fldCharType="separate"/>
          </w:r>
          <w:r w:rsidR="00B060AF">
            <w:t>Transitions as sequences</w:t>
          </w:r>
          <w:r>
            <w:fldChar w:fldCharType="end"/>
          </w:r>
        </w:p>
      </w:tc>
      <w:tc>
        <w:tcPr>
          <w:tcW w:w="510" w:type="dxa"/>
          <w:tcBorders>
            <w:top w:val="single" w:sz="6" w:space="0" w:color="auto"/>
          </w:tcBorders>
        </w:tcPr>
        <w:p w:rsidR="00002564" w:rsidRDefault="00002564">
          <w:pPr>
            <w:pStyle w:val="Footer"/>
            <w:jc w:val="right"/>
          </w:pPr>
          <w:r>
            <w:rPr>
              <w:rStyle w:val="PageNumber"/>
            </w:rPr>
            <w:fldChar w:fldCharType="begin"/>
          </w:r>
          <w:r>
            <w:rPr>
              <w:rStyle w:val="PageNumber"/>
            </w:rPr>
            <w:instrText xml:space="preserve">PAGE  </w:instrText>
          </w:r>
          <w:r>
            <w:rPr>
              <w:rStyle w:val="PageNumber"/>
            </w:rPr>
            <w:fldChar w:fldCharType="separate"/>
          </w:r>
          <w:r w:rsidR="00085A93">
            <w:rPr>
              <w:rStyle w:val="PageNumber"/>
              <w:noProof/>
            </w:rPr>
            <w:t>7</w:t>
          </w:r>
          <w:r>
            <w:rPr>
              <w:rStyle w:val="PageNumber"/>
            </w:rPr>
            <w:fldChar w:fldCharType="end"/>
          </w:r>
        </w:p>
      </w:tc>
    </w:tr>
  </w:tbl>
  <w:p w:rsidR="00002564" w:rsidRDefault="00002564">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35114"/>
      <w:docPartObj>
        <w:docPartGallery w:val="Page Numbers (Bottom of Page)"/>
        <w:docPartUnique/>
      </w:docPartObj>
    </w:sdtPr>
    <w:sdtEndPr>
      <w:rPr>
        <w:noProof/>
      </w:rPr>
    </w:sdtEndPr>
    <w:sdtContent>
      <w:p w:rsidR="00002564" w:rsidRDefault="00002564">
        <w:pPr>
          <w:pStyle w:val="Footer"/>
        </w:pPr>
        <w:r w:rsidRPr="00075435">
          <w:rPr>
            <w:rStyle w:val="PageNumber"/>
            <w:noProof/>
          </w:rPr>
          <w:fldChar w:fldCharType="begin"/>
        </w:r>
        <w:r w:rsidRPr="00075435">
          <w:rPr>
            <w:rStyle w:val="PageNumber"/>
            <w:noProof/>
          </w:rPr>
          <w:instrText xml:space="preserve"> PAGE   \* MERGEFORMAT </w:instrText>
        </w:r>
        <w:r w:rsidRPr="00075435">
          <w:rPr>
            <w:rStyle w:val="PageNumber"/>
            <w:noProof/>
          </w:rPr>
          <w:fldChar w:fldCharType="separate"/>
        </w:r>
        <w:r w:rsidR="00085A93">
          <w:rPr>
            <w:rStyle w:val="PageNumber"/>
            <w:noProof/>
          </w:rPr>
          <w:t>14</w:t>
        </w:r>
        <w:r w:rsidRPr="00075435">
          <w:rPr>
            <w:rStyle w:val="PageNumber"/>
          </w:rPr>
          <w:fldChar w:fldCharType="end"/>
        </w:r>
      </w:p>
    </w:sdtContent>
  </w:sdt>
  <w:p w:rsidR="00002564" w:rsidRDefault="00002564" w:rsidP="0019293B">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02564">
      <w:trPr>
        <w:trHeight w:hRule="exact" w:val="740"/>
      </w:trPr>
      <w:tc>
        <w:tcPr>
          <w:tcW w:w="6634" w:type="dxa"/>
        </w:tcPr>
        <w:p w:rsidR="00002564" w:rsidRDefault="00002564">
          <w:pPr>
            <w:pStyle w:val="Footer"/>
            <w:ind w:right="360" w:firstLine="360"/>
          </w:pPr>
        </w:p>
      </w:tc>
      <w:tc>
        <w:tcPr>
          <w:tcW w:w="1644" w:type="dxa"/>
          <w:tcBorders>
            <w:top w:val="single" w:sz="6" w:space="0" w:color="auto"/>
          </w:tcBorders>
        </w:tcPr>
        <w:p w:rsidR="00002564" w:rsidRDefault="00085A93">
          <w:pPr>
            <w:pStyle w:val="Footer"/>
          </w:pPr>
          <w:r>
            <w:fldChar w:fldCharType="begin"/>
          </w:r>
          <w:r>
            <w:instrText xml:space="preserve"> TITLE  \* MERGEFORMAT </w:instrText>
          </w:r>
          <w:r>
            <w:fldChar w:fldCharType="separate"/>
          </w:r>
          <w:r w:rsidR="00B060AF">
            <w:t>Transitions as sequences</w:t>
          </w:r>
          <w:r>
            <w:fldChar w:fldCharType="end"/>
          </w:r>
        </w:p>
      </w:tc>
      <w:tc>
        <w:tcPr>
          <w:tcW w:w="510" w:type="dxa"/>
          <w:tcBorders>
            <w:top w:val="single" w:sz="6" w:space="0" w:color="auto"/>
          </w:tcBorders>
        </w:tcPr>
        <w:p w:rsidR="00002564" w:rsidRDefault="00002564">
          <w:pPr>
            <w:pStyle w:val="Footer"/>
            <w:jc w:val="right"/>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r>
  </w:tbl>
  <w:p w:rsidR="00002564" w:rsidRDefault="00002564">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564" w:rsidRDefault="000025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564" w:rsidRDefault="00002564">
      <w:r>
        <w:separator/>
      </w:r>
    </w:p>
  </w:footnote>
  <w:footnote w:type="continuationSeparator" w:id="0">
    <w:p w:rsidR="00002564" w:rsidRDefault="00002564">
      <w:r>
        <w:continuationSeparator/>
      </w:r>
    </w:p>
  </w:footnote>
  <w:footnote w:id="1">
    <w:p w:rsidR="00002564" w:rsidRDefault="00002564">
      <w:pPr>
        <w:pStyle w:val="FootnoteText"/>
      </w:pPr>
      <w:r>
        <w:rPr>
          <w:rStyle w:val="FootnoteReference"/>
        </w:rPr>
        <w:footnoteRef/>
      </w:r>
      <w:r>
        <w:t xml:space="preserve"> </w:t>
      </w:r>
      <w:r>
        <w:tab/>
        <w:t xml:space="preserve">This approach can be </w:t>
      </w:r>
      <w:r w:rsidR="00AD72C0">
        <w:t xml:space="preserve">applied to data for two time periods to compare labour market states (identify single transitions) using a simple cross-tabulation or it can be </w:t>
      </w:r>
      <w:r>
        <w:t xml:space="preserve">extended to trace the links between various types of (multiple) transitions over time using a Markov chain </w:t>
      </w:r>
      <w:r w:rsidR="006232E1">
        <w:t>technique</w:t>
      </w:r>
      <w:r>
        <w:t>. See for example, Fabrizi and Mussida (2009) and Magnac (2000).</w:t>
      </w:r>
    </w:p>
  </w:footnote>
  <w:footnote w:id="2">
    <w:p w:rsidR="00002564" w:rsidRDefault="00002564">
      <w:pPr>
        <w:pStyle w:val="FootnoteText"/>
      </w:pPr>
      <w:r>
        <w:rPr>
          <w:rStyle w:val="FootnoteReference"/>
        </w:rPr>
        <w:footnoteRef/>
      </w:r>
      <w:r>
        <w:t xml:space="preserve"> </w:t>
      </w:r>
      <w:r>
        <w:tab/>
        <w:t>There are other techniques that could be used to analyse this type of data. The techniques typically used in the three other approaches to transitions analysis can also be used, for example.</w:t>
      </w:r>
    </w:p>
  </w:footnote>
  <w:footnote w:id="3">
    <w:p w:rsidR="00002564" w:rsidRDefault="00002564">
      <w:pPr>
        <w:pStyle w:val="FootnoteText"/>
      </w:pPr>
      <w:r>
        <w:rPr>
          <w:rStyle w:val="FootnoteReference"/>
        </w:rPr>
        <w:footnoteRef/>
      </w:r>
      <w:r>
        <w:t xml:space="preserve"> </w:t>
      </w:r>
      <w:r>
        <w:tab/>
        <w:t>In some studies, such as Scherer (2001), looking after the home is treated as a separate activity category.</w:t>
      </w:r>
    </w:p>
  </w:footnote>
  <w:footnote w:id="4">
    <w:p w:rsidR="00002564" w:rsidRDefault="00002564">
      <w:pPr>
        <w:pStyle w:val="FootnoteText"/>
      </w:pPr>
      <w:r>
        <w:rPr>
          <w:rStyle w:val="FootnoteReference"/>
        </w:rPr>
        <w:footnoteRef/>
      </w:r>
      <w:r>
        <w:t xml:space="preserve"> </w:t>
      </w:r>
      <w:r>
        <w:tab/>
        <w:t>Although, using a longer timeframe does not eliminate the problem of censoring entirely.</w:t>
      </w:r>
    </w:p>
  </w:footnote>
  <w:footnote w:id="5">
    <w:p w:rsidR="00002564" w:rsidRDefault="00002564">
      <w:pPr>
        <w:pStyle w:val="FootnoteText"/>
      </w:pPr>
      <w:r>
        <w:rPr>
          <w:rStyle w:val="FootnoteReference"/>
        </w:rPr>
        <w:footnoteRef/>
      </w:r>
      <w:r>
        <w:t xml:space="preserve"> </w:t>
      </w:r>
      <w:r>
        <w:tab/>
        <w:t>A</w:t>
      </w:r>
      <w:r w:rsidRPr="00F317F2">
        <w:t xml:space="preserve">ll </w:t>
      </w:r>
      <w:r>
        <w:t xml:space="preserve">of those studies </w:t>
      </w:r>
      <w:r w:rsidRPr="00F317F2">
        <w:t xml:space="preserve">use </w:t>
      </w:r>
      <w:r>
        <w:t>optimal matching</w:t>
      </w:r>
      <w:r w:rsidRPr="00F317F2">
        <w:t xml:space="preserve"> (or a variant</w:t>
      </w:r>
      <w:r>
        <w:t xml:space="preserve"> of the technique</w:t>
      </w:r>
      <w:r w:rsidRPr="00F317F2">
        <w:t xml:space="preserve">) to </w:t>
      </w:r>
      <w:r>
        <w:t>quantify</w:t>
      </w:r>
      <w:r w:rsidRPr="00F317F2">
        <w:t xml:space="preserve"> </w:t>
      </w:r>
      <w:r>
        <w:t>the ‘</w:t>
      </w:r>
      <w:r w:rsidRPr="00F317F2">
        <w:t>distance</w:t>
      </w:r>
      <w:r>
        <w:t>’ between sequences</w:t>
      </w:r>
      <w:r w:rsidRPr="00F317F2">
        <w:t xml:space="preserve">. Some </w:t>
      </w:r>
      <w:r>
        <w:t xml:space="preserve">of those studies </w:t>
      </w:r>
      <w:r w:rsidRPr="00F317F2">
        <w:t xml:space="preserve">then </w:t>
      </w:r>
      <w:r>
        <w:t>use cluster analysis to form groups, each representing a pathway</w:t>
      </w:r>
      <w:r w:rsidRPr="00F317F2">
        <w:t xml:space="preserve">. The </w:t>
      </w:r>
      <w:r>
        <w:t xml:space="preserve">remaining studies do not identify or construct pathways but </w:t>
      </w:r>
      <w:r w:rsidRPr="00F317F2">
        <w:t xml:space="preserve">use </w:t>
      </w:r>
      <w:r>
        <w:t xml:space="preserve">the </w:t>
      </w:r>
      <w:r w:rsidRPr="00F317F2">
        <w:t xml:space="preserve">distance variable for </w:t>
      </w:r>
      <w:r>
        <w:t xml:space="preserve">other types of </w:t>
      </w:r>
      <w:r w:rsidRPr="00F317F2">
        <w:t>analysis (</w:t>
      </w:r>
      <w:r>
        <w:t xml:space="preserve">for example, </w:t>
      </w:r>
      <w:r w:rsidRPr="00F317F2">
        <w:t>as a dep</w:t>
      </w:r>
      <w:r>
        <w:t xml:space="preserve">endent </w:t>
      </w:r>
      <w:r w:rsidRPr="00F317F2">
        <w:t>var</w:t>
      </w:r>
      <w:r>
        <w:t>iable</w:t>
      </w:r>
      <w:r w:rsidRPr="00F317F2">
        <w:t xml:space="preserve"> </w:t>
      </w:r>
      <w:r>
        <w:t>in</w:t>
      </w:r>
      <w:r w:rsidRPr="00F317F2">
        <w:t xml:space="preserve"> regression).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02564">
      <w:tc>
        <w:tcPr>
          <w:tcW w:w="2155" w:type="dxa"/>
          <w:tcBorders>
            <w:top w:val="single" w:sz="24" w:space="0" w:color="auto"/>
          </w:tcBorders>
        </w:tcPr>
        <w:p w:rsidR="00002564" w:rsidRDefault="00002564">
          <w:pPr>
            <w:pStyle w:val="HeaderEven"/>
          </w:pPr>
        </w:p>
      </w:tc>
      <w:tc>
        <w:tcPr>
          <w:tcW w:w="6634" w:type="dxa"/>
          <w:tcBorders>
            <w:top w:val="single" w:sz="6" w:space="0" w:color="auto"/>
          </w:tcBorders>
        </w:tcPr>
        <w:p w:rsidR="00002564" w:rsidRDefault="00002564">
          <w:pPr>
            <w:pStyle w:val="HeaderEven"/>
          </w:pPr>
        </w:p>
      </w:tc>
    </w:tr>
  </w:tbl>
  <w:p w:rsidR="00002564" w:rsidRDefault="00002564">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02564">
      <w:tc>
        <w:tcPr>
          <w:tcW w:w="6634" w:type="dxa"/>
          <w:tcBorders>
            <w:top w:val="single" w:sz="6" w:space="0" w:color="auto"/>
          </w:tcBorders>
        </w:tcPr>
        <w:p w:rsidR="00002564" w:rsidRDefault="00002564">
          <w:pPr>
            <w:pStyle w:val="HeaderOdd"/>
          </w:pPr>
        </w:p>
      </w:tc>
      <w:tc>
        <w:tcPr>
          <w:tcW w:w="2155" w:type="dxa"/>
          <w:tcBorders>
            <w:top w:val="single" w:sz="24" w:space="0" w:color="auto"/>
          </w:tcBorders>
        </w:tcPr>
        <w:p w:rsidR="00002564" w:rsidRDefault="00002564">
          <w:pPr>
            <w:pStyle w:val="HeaderOdd"/>
          </w:pPr>
        </w:p>
      </w:tc>
    </w:tr>
  </w:tbl>
  <w:p w:rsidR="00002564" w:rsidRDefault="00002564">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564" w:rsidRDefault="00002564" w:rsidP="0019293B">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02564">
      <w:tc>
        <w:tcPr>
          <w:tcW w:w="6634" w:type="dxa"/>
          <w:tcBorders>
            <w:top w:val="single" w:sz="6" w:space="0" w:color="auto"/>
          </w:tcBorders>
        </w:tcPr>
        <w:p w:rsidR="00002564" w:rsidRDefault="00002564" w:rsidP="00E669E2">
          <w:pPr>
            <w:pStyle w:val="HeaderOdd"/>
          </w:pPr>
        </w:p>
      </w:tc>
      <w:tc>
        <w:tcPr>
          <w:tcW w:w="2155" w:type="dxa"/>
          <w:tcBorders>
            <w:top w:val="single" w:sz="24" w:space="0" w:color="auto"/>
          </w:tcBorders>
        </w:tcPr>
        <w:p w:rsidR="00002564" w:rsidRDefault="00002564" w:rsidP="00E669E2">
          <w:pPr>
            <w:pStyle w:val="HeaderOdd"/>
          </w:pPr>
        </w:p>
      </w:tc>
    </w:tr>
  </w:tbl>
  <w:p w:rsidR="00002564" w:rsidRDefault="00002564" w:rsidP="00E669E2">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564" w:rsidRDefault="000025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5E8A1162"/>
    <w:multiLevelType w:val="hybridMultilevel"/>
    <w:tmpl w:val="35D6CD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60055F7F"/>
    <w:multiLevelType w:val="singleLevel"/>
    <w:tmpl w:val="ED98921A"/>
    <w:lvl w:ilvl="0">
      <w:start w:val="1"/>
      <w:numFmt w:val="decimal"/>
      <w:lvlText w:val="%1."/>
      <w:legacy w:legacy="1" w:legacySpace="0" w:legacyIndent="340"/>
      <w:lvlJc w:val="left"/>
      <w:pPr>
        <w:ind w:left="340" w:hanging="340"/>
      </w:pPr>
    </w:lvl>
  </w:abstractNum>
  <w:abstractNum w:abstractNumId="35">
    <w:nsid w:val="608E741E"/>
    <w:multiLevelType w:val="singleLevel"/>
    <w:tmpl w:val="ED98921A"/>
    <w:lvl w:ilvl="0">
      <w:start w:val="1"/>
      <w:numFmt w:val="decimal"/>
      <w:lvlText w:val="%1."/>
      <w:legacy w:legacy="1" w:legacySpace="0" w:legacyIndent="340"/>
      <w:lvlJc w:val="left"/>
      <w:pPr>
        <w:ind w:left="340" w:hanging="340"/>
      </w:pPr>
    </w:lvl>
  </w:abstractNum>
  <w:abstractNum w:abstractNumId="36">
    <w:nsid w:val="61320C1E"/>
    <w:multiLevelType w:val="singleLevel"/>
    <w:tmpl w:val="C444122C"/>
    <w:lvl w:ilvl="0">
      <w:start w:val="1"/>
      <w:numFmt w:val="decimal"/>
      <w:lvlText w:val="%1."/>
      <w:legacy w:legacy="1" w:legacySpace="0" w:legacyIndent="284"/>
      <w:lvlJc w:val="left"/>
      <w:pPr>
        <w:ind w:left="284" w:hanging="284"/>
      </w:pPr>
    </w:lvl>
  </w:abstractNum>
  <w:abstractNum w:abstractNumId="37">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8">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9">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40">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5">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3"/>
  </w:num>
  <w:num w:numId="4">
    <w:abstractNumId w:val="7"/>
  </w:num>
  <w:num w:numId="5">
    <w:abstractNumId w:val="5"/>
  </w:num>
  <w:num w:numId="6">
    <w:abstractNumId w:val="25"/>
  </w:num>
  <w:num w:numId="7">
    <w:abstractNumId w:val="3"/>
  </w:num>
  <w:num w:numId="8">
    <w:abstractNumId w:val="9"/>
  </w:num>
  <w:num w:numId="9">
    <w:abstractNumId w:val="2"/>
  </w:num>
  <w:num w:numId="10">
    <w:abstractNumId w:val="38"/>
  </w:num>
  <w:num w:numId="11">
    <w:abstractNumId w:val="4"/>
  </w:num>
  <w:num w:numId="12">
    <w:abstractNumId w:val="1"/>
  </w:num>
  <w:num w:numId="13">
    <w:abstractNumId w:val="0"/>
  </w:num>
  <w:num w:numId="14">
    <w:abstractNumId w:val="28"/>
  </w:num>
  <w:num w:numId="15">
    <w:abstractNumId w:val="44"/>
  </w:num>
  <w:num w:numId="16">
    <w:abstractNumId w:val="17"/>
  </w:num>
  <w:num w:numId="17">
    <w:abstractNumId w:val="16"/>
  </w:num>
  <w:num w:numId="18">
    <w:abstractNumId w:val="26"/>
  </w:num>
  <w:num w:numId="19">
    <w:abstractNumId w:val="12"/>
  </w:num>
  <w:num w:numId="20">
    <w:abstractNumId w:val="35"/>
  </w:num>
  <w:num w:numId="21">
    <w:abstractNumId w:val="37"/>
  </w:num>
  <w:num w:numId="22">
    <w:abstractNumId w:val="24"/>
  </w:num>
  <w:num w:numId="23">
    <w:abstractNumId w:val="27"/>
  </w:num>
  <w:num w:numId="24">
    <w:abstractNumId w:val="29"/>
  </w:num>
  <w:num w:numId="25">
    <w:abstractNumId w:val="42"/>
  </w:num>
  <w:num w:numId="26">
    <w:abstractNumId w:val="34"/>
  </w:num>
  <w:num w:numId="27">
    <w:abstractNumId w:val="39"/>
  </w:num>
  <w:num w:numId="28">
    <w:abstractNumId w:val="40"/>
  </w:num>
  <w:num w:numId="29">
    <w:abstractNumId w:val="31"/>
  </w:num>
  <w:num w:numId="30">
    <w:abstractNumId w:val="21"/>
  </w:num>
  <w:num w:numId="31">
    <w:abstractNumId w:val="45"/>
  </w:num>
  <w:num w:numId="32">
    <w:abstractNumId w:val="15"/>
  </w:num>
  <w:num w:numId="33">
    <w:abstractNumId w:val="8"/>
  </w:num>
  <w:num w:numId="34">
    <w:abstractNumId w:val="18"/>
  </w:num>
  <w:num w:numId="35">
    <w:abstractNumId w:val="41"/>
  </w:num>
  <w:num w:numId="36">
    <w:abstractNumId w:val="32"/>
  </w:num>
  <w:num w:numId="37">
    <w:abstractNumId w:val="13"/>
  </w:num>
  <w:num w:numId="38">
    <w:abstractNumId w:val="36"/>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2"/>
  </w:compat>
  <w:docVars>
    <w:docVar w:name="FindingOptions" w:val="1"/>
    <w:docVar w:name="RecOptions" w:val="111"/>
    <w:docVar w:name="ShortChapterTitle" w:val="Transitions as sequences"/>
    <w:docVar w:name="ShortReportTitle" w:val="Prevalence of Transition Pathways "/>
  </w:docVars>
  <w:rsids>
    <w:rsidRoot w:val="00EB576D"/>
    <w:rsid w:val="00002564"/>
    <w:rsid w:val="00016969"/>
    <w:rsid w:val="000227D5"/>
    <w:rsid w:val="0002378E"/>
    <w:rsid w:val="000245AA"/>
    <w:rsid w:val="0003664B"/>
    <w:rsid w:val="00037EE2"/>
    <w:rsid w:val="0004111F"/>
    <w:rsid w:val="000416D4"/>
    <w:rsid w:val="00046D28"/>
    <w:rsid w:val="0005155F"/>
    <w:rsid w:val="00055B88"/>
    <w:rsid w:val="000565B3"/>
    <w:rsid w:val="00057AFA"/>
    <w:rsid w:val="0007150B"/>
    <w:rsid w:val="00075435"/>
    <w:rsid w:val="0007544A"/>
    <w:rsid w:val="00081D9C"/>
    <w:rsid w:val="00082E96"/>
    <w:rsid w:val="00085A93"/>
    <w:rsid w:val="000938F5"/>
    <w:rsid w:val="00096E55"/>
    <w:rsid w:val="000B601B"/>
    <w:rsid w:val="000C207E"/>
    <w:rsid w:val="000D1D3D"/>
    <w:rsid w:val="000D21F3"/>
    <w:rsid w:val="000E7521"/>
    <w:rsid w:val="000F0035"/>
    <w:rsid w:val="000F420B"/>
    <w:rsid w:val="001031F5"/>
    <w:rsid w:val="00110116"/>
    <w:rsid w:val="00120072"/>
    <w:rsid w:val="0012206A"/>
    <w:rsid w:val="00123C63"/>
    <w:rsid w:val="00126EB8"/>
    <w:rsid w:val="001274D4"/>
    <w:rsid w:val="00131781"/>
    <w:rsid w:val="00132619"/>
    <w:rsid w:val="001363AA"/>
    <w:rsid w:val="00140901"/>
    <w:rsid w:val="00141F2C"/>
    <w:rsid w:val="001423C6"/>
    <w:rsid w:val="00160BE5"/>
    <w:rsid w:val="00183E82"/>
    <w:rsid w:val="001878BB"/>
    <w:rsid w:val="00191AE0"/>
    <w:rsid w:val="0019293B"/>
    <w:rsid w:val="00193697"/>
    <w:rsid w:val="0019426B"/>
    <w:rsid w:val="001C0865"/>
    <w:rsid w:val="001C3ABA"/>
    <w:rsid w:val="001E1D61"/>
    <w:rsid w:val="001E7BE8"/>
    <w:rsid w:val="001F0248"/>
    <w:rsid w:val="001F3EB3"/>
    <w:rsid w:val="001F4F86"/>
    <w:rsid w:val="00202C2C"/>
    <w:rsid w:val="002135AB"/>
    <w:rsid w:val="002144BE"/>
    <w:rsid w:val="00216309"/>
    <w:rsid w:val="00221369"/>
    <w:rsid w:val="0022671E"/>
    <w:rsid w:val="00226B0A"/>
    <w:rsid w:val="0022750B"/>
    <w:rsid w:val="00230E38"/>
    <w:rsid w:val="00235122"/>
    <w:rsid w:val="00242279"/>
    <w:rsid w:val="00243011"/>
    <w:rsid w:val="002430CB"/>
    <w:rsid w:val="00245C82"/>
    <w:rsid w:val="002504C5"/>
    <w:rsid w:val="0026206D"/>
    <w:rsid w:val="00272F70"/>
    <w:rsid w:val="002751BA"/>
    <w:rsid w:val="002754B9"/>
    <w:rsid w:val="00282E40"/>
    <w:rsid w:val="00283395"/>
    <w:rsid w:val="00286788"/>
    <w:rsid w:val="002903F1"/>
    <w:rsid w:val="00291B40"/>
    <w:rsid w:val="00293A6E"/>
    <w:rsid w:val="00294CBD"/>
    <w:rsid w:val="00295F1F"/>
    <w:rsid w:val="002974A4"/>
    <w:rsid w:val="002A4E23"/>
    <w:rsid w:val="002A5587"/>
    <w:rsid w:val="002B4008"/>
    <w:rsid w:val="002C0BE4"/>
    <w:rsid w:val="002C1F8F"/>
    <w:rsid w:val="002C2413"/>
    <w:rsid w:val="002D0E8E"/>
    <w:rsid w:val="002D3332"/>
    <w:rsid w:val="002D39DC"/>
    <w:rsid w:val="002D5191"/>
    <w:rsid w:val="002E7BCD"/>
    <w:rsid w:val="00301189"/>
    <w:rsid w:val="00302784"/>
    <w:rsid w:val="00305CA9"/>
    <w:rsid w:val="00323E09"/>
    <w:rsid w:val="00324E8B"/>
    <w:rsid w:val="00325754"/>
    <w:rsid w:val="00333932"/>
    <w:rsid w:val="003403A4"/>
    <w:rsid w:val="003518AA"/>
    <w:rsid w:val="00352165"/>
    <w:rsid w:val="00352C65"/>
    <w:rsid w:val="00353182"/>
    <w:rsid w:val="003565D9"/>
    <w:rsid w:val="00357D34"/>
    <w:rsid w:val="003602E1"/>
    <w:rsid w:val="0037026F"/>
    <w:rsid w:val="00371240"/>
    <w:rsid w:val="00372E4A"/>
    <w:rsid w:val="00374731"/>
    <w:rsid w:val="00376E59"/>
    <w:rsid w:val="00380BF2"/>
    <w:rsid w:val="00384A4E"/>
    <w:rsid w:val="003919F9"/>
    <w:rsid w:val="00393AF6"/>
    <w:rsid w:val="003969E9"/>
    <w:rsid w:val="003B0451"/>
    <w:rsid w:val="003C0337"/>
    <w:rsid w:val="003C3133"/>
    <w:rsid w:val="003C38B5"/>
    <w:rsid w:val="003C5D99"/>
    <w:rsid w:val="003C7E16"/>
    <w:rsid w:val="003E1225"/>
    <w:rsid w:val="003E2F59"/>
    <w:rsid w:val="003E3A61"/>
    <w:rsid w:val="003F0789"/>
    <w:rsid w:val="003F7C09"/>
    <w:rsid w:val="00401882"/>
    <w:rsid w:val="00405811"/>
    <w:rsid w:val="004100C8"/>
    <w:rsid w:val="00411366"/>
    <w:rsid w:val="00411DBD"/>
    <w:rsid w:val="00412ACE"/>
    <w:rsid w:val="00412B55"/>
    <w:rsid w:val="00414225"/>
    <w:rsid w:val="00424638"/>
    <w:rsid w:val="004270C2"/>
    <w:rsid w:val="0043116F"/>
    <w:rsid w:val="00431249"/>
    <w:rsid w:val="004319C0"/>
    <w:rsid w:val="00431C8F"/>
    <w:rsid w:val="00434C19"/>
    <w:rsid w:val="004502B0"/>
    <w:rsid w:val="00450810"/>
    <w:rsid w:val="00452C0C"/>
    <w:rsid w:val="00455B4B"/>
    <w:rsid w:val="00456625"/>
    <w:rsid w:val="0046495D"/>
    <w:rsid w:val="00477144"/>
    <w:rsid w:val="00485282"/>
    <w:rsid w:val="00491380"/>
    <w:rsid w:val="0049459F"/>
    <w:rsid w:val="00494E21"/>
    <w:rsid w:val="004A38DD"/>
    <w:rsid w:val="004A4CFD"/>
    <w:rsid w:val="004B43AE"/>
    <w:rsid w:val="004B65A7"/>
    <w:rsid w:val="004C30ED"/>
    <w:rsid w:val="004C5225"/>
    <w:rsid w:val="004D15B7"/>
    <w:rsid w:val="004D5675"/>
    <w:rsid w:val="004E64F9"/>
    <w:rsid w:val="004F5176"/>
    <w:rsid w:val="004F70CE"/>
    <w:rsid w:val="00523639"/>
    <w:rsid w:val="005277C7"/>
    <w:rsid w:val="00531FE5"/>
    <w:rsid w:val="00534F34"/>
    <w:rsid w:val="005402FA"/>
    <w:rsid w:val="0054735E"/>
    <w:rsid w:val="00554066"/>
    <w:rsid w:val="00560FE6"/>
    <w:rsid w:val="0057257D"/>
    <w:rsid w:val="005818B2"/>
    <w:rsid w:val="00583C39"/>
    <w:rsid w:val="00587F28"/>
    <w:rsid w:val="005909CF"/>
    <w:rsid w:val="00591E71"/>
    <w:rsid w:val="005A0D41"/>
    <w:rsid w:val="005B6DB0"/>
    <w:rsid w:val="005C35BC"/>
    <w:rsid w:val="005D30CD"/>
    <w:rsid w:val="005D3270"/>
    <w:rsid w:val="005E211B"/>
    <w:rsid w:val="005F018E"/>
    <w:rsid w:val="006011A5"/>
    <w:rsid w:val="006065BE"/>
    <w:rsid w:val="00607BF1"/>
    <w:rsid w:val="0061369F"/>
    <w:rsid w:val="00620BBC"/>
    <w:rsid w:val="006232E1"/>
    <w:rsid w:val="00630D4D"/>
    <w:rsid w:val="00632A74"/>
    <w:rsid w:val="00635839"/>
    <w:rsid w:val="00635BEA"/>
    <w:rsid w:val="00643EC5"/>
    <w:rsid w:val="00651BA4"/>
    <w:rsid w:val="00655318"/>
    <w:rsid w:val="00655F8E"/>
    <w:rsid w:val="00655F99"/>
    <w:rsid w:val="006601F8"/>
    <w:rsid w:val="006724B3"/>
    <w:rsid w:val="00695D9F"/>
    <w:rsid w:val="006A0645"/>
    <w:rsid w:val="006A4655"/>
    <w:rsid w:val="006B2B3C"/>
    <w:rsid w:val="006C1D81"/>
    <w:rsid w:val="006C6A12"/>
    <w:rsid w:val="006C6E0A"/>
    <w:rsid w:val="006C7038"/>
    <w:rsid w:val="006D6AEF"/>
    <w:rsid w:val="006E334F"/>
    <w:rsid w:val="006E544A"/>
    <w:rsid w:val="006E73EF"/>
    <w:rsid w:val="006F3F14"/>
    <w:rsid w:val="00703832"/>
    <w:rsid w:val="00705722"/>
    <w:rsid w:val="00714D4D"/>
    <w:rsid w:val="007347FC"/>
    <w:rsid w:val="00736E7C"/>
    <w:rsid w:val="00737628"/>
    <w:rsid w:val="00750ACD"/>
    <w:rsid w:val="007604BB"/>
    <w:rsid w:val="00771D24"/>
    <w:rsid w:val="00774302"/>
    <w:rsid w:val="00775147"/>
    <w:rsid w:val="007847A0"/>
    <w:rsid w:val="00785232"/>
    <w:rsid w:val="00790C30"/>
    <w:rsid w:val="0079426F"/>
    <w:rsid w:val="007A21EB"/>
    <w:rsid w:val="007A6828"/>
    <w:rsid w:val="007B1A93"/>
    <w:rsid w:val="007C2892"/>
    <w:rsid w:val="007C36C9"/>
    <w:rsid w:val="007C5FE3"/>
    <w:rsid w:val="007D0B28"/>
    <w:rsid w:val="007D0FDC"/>
    <w:rsid w:val="007D5521"/>
    <w:rsid w:val="007D60B9"/>
    <w:rsid w:val="007D6401"/>
    <w:rsid w:val="007E01E4"/>
    <w:rsid w:val="007E4087"/>
    <w:rsid w:val="007E4608"/>
    <w:rsid w:val="007E6BBE"/>
    <w:rsid w:val="007F49C3"/>
    <w:rsid w:val="007F7107"/>
    <w:rsid w:val="00800D4C"/>
    <w:rsid w:val="0080151C"/>
    <w:rsid w:val="00805A4C"/>
    <w:rsid w:val="0081030F"/>
    <w:rsid w:val="00810F90"/>
    <w:rsid w:val="0082087D"/>
    <w:rsid w:val="00825BFD"/>
    <w:rsid w:val="00835771"/>
    <w:rsid w:val="00840D20"/>
    <w:rsid w:val="008413D4"/>
    <w:rsid w:val="00842933"/>
    <w:rsid w:val="0084590B"/>
    <w:rsid w:val="00847D0F"/>
    <w:rsid w:val="0086082C"/>
    <w:rsid w:val="00862288"/>
    <w:rsid w:val="00864ADC"/>
    <w:rsid w:val="00870A25"/>
    <w:rsid w:val="00880153"/>
    <w:rsid w:val="00880F97"/>
    <w:rsid w:val="0088133A"/>
    <w:rsid w:val="0089285E"/>
    <w:rsid w:val="0089436C"/>
    <w:rsid w:val="008A3F07"/>
    <w:rsid w:val="008B3B22"/>
    <w:rsid w:val="008C0C8C"/>
    <w:rsid w:val="008C70C2"/>
    <w:rsid w:val="008D2635"/>
    <w:rsid w:val="008D365C"/>
    <w:rsid w:val="008D4634"/>
    <w:rsid w:val="008E4EDF"/>
    <w:rsid w:val="009030BF"/>
    <w:rsid w:val="00903D69"/>
    <w:rsid w:val="0091032F"/>
    <w:rsid w:val="00914368"/>
    <w:rsid w:val="009148A8"/>
    <w:rsid w:val="00915219"/>
    <w:rsid w:val="00917EFA"/>
    <w:rsid w:val="00931076"/>
    <w:rsid w:val="009345D9"/>
    <w:rsid w:val="00934B15"/>
    <w:rsid w:val="00940C87"/>
    <w:rsid w:val="00940F5B"/>
    <w:rsid w:val="00942B62"/>
    <w:rsid w:val="009430B9"/>
    <w:rsid w:val="0095323B"/>
    <w:rsid w:val="00956A0C"/>
    <w:rsid w:val="00956BD9"/>
    <w:rsid w:val="00960347"/>
    <w:rsid w:val="009622C1"/>
    <w:rsid w:val="00962489"/>
    <w:rsid w:val="00973662"/>
    <w:rsid w:val="00980FA9"/>
    <w:rsid w:val="0098777B"/>
    <w:rsid w:val="00990C2C"/>
    <w:rsid w:val="0099700E"/>
    <w:rsid w:val="00997F0A"/>
    <w:rsid w:val="009A29E7"/>
    <w:rsid w:val="009B46DA"/>
    <w:rsid w:val="009C7092"/>
    <w:rsid w:val="009E1844"/>
    <w:rsid w:val="009F0D1B"/>
    <w:rsid w:val="009F2F8D"/>
    <w:rsid w:val="009F5164"/>
    <w:rsid w:val="009F696D"/>
    <w:rsid w:val="009F6BC6"/>
    <w:rsid w:val="00A01B39"/>
    <w:rsid w:val="00A04700"/>
    <w:rsid w:val="00A13054"/>
    <w:rsid w:val="00A16AE2"/>
    <w:rsid w:val="00A17328"/>
    <w:rsid w:val="00A211E0"/>
    <w:rsid w:val="00A23A20"/>
    <w:rsid w:val="00A268B9"/>
    <w:rsid w:val="00A2703A"/>
    <w:rsid w:val="00A33DFF"/>
    <w:rsid w:val="00A34346"/>
    <w:rsid w:val="00A345A2"/>
    <w:rsid w:val="00A35115"/>
    <w:rsid w:val="00A36D9A"/>
    <w:rsid w:val="00A42EA5"/>
    <w:rsid w:val="00A50134"/>
    <w:rsid w:val="00A554AB"/>
    <w:rsid w:val="00A56594"/>
    <w:rsid w:val="00A57062"/>
    <w:rsid w:val="00A766FA"/>
    <w:rsid w:val="00A876DE"/>
    <w:rsid w:val="00A9143A"/>
    <w:rsid w:val="00A92B53"/>
    <w:rsid w:val="00A94FA6"/>
    <w:rsid w:val="00AA49A0"/>
    <w:rsid w:val="00AA6710"/>
    <w:rsid w:val="00AA69E8"/>
    <w:rsid w:val="00AA6F57"/>
    <w:rsid w:val="00AB0681"/>
    <w:rsid w:val="00AC0058"/>
    <w:rsid w:val="00AC085A"/>
    <w:rsid w:val="00AC38F7"/>
    <w:rsid w:val="00AD4460"/>
    <w:rsid w:val="00AD520B"/>
    <w:rsid w:val="00AD72C0"/>
    <w:rsid w:val="00AE79CD"/>
    <w:rsid w:val="00B00927"/>
    <w:rsid w:val="00B060AF"/>
    <w:rsid w:val="00B10B0B"/>
    <w:rsid w:val="00B15D48"/>
    <w:rsid w:val="00B234D0"/>
    <w:rsid w:val="00B31B42"/>
    <w:rsid w:val="00B37B55"/>
    <w:rsid w:val="00B425C3"/>
    <w:rsid w:val="00B440AD"/>
    <w:rsid w:val="00B479BB"/>
    <w:rsid w:val="00B53E7E"/>
    <w:rsid w:val="00B62A8B"/>
    <w:rsid w:val="00B6342E"/>
    <w:rsid w:val="00B6374C"/>
    <w:rsid w:val="00B7113F"/>
    <w:rsid w:val="00B80AFD"/>
    <w:rsid w:val="00B82F0E"/>
    <w:rsid w:val="00B844C7"/>
    <w:rsid w:val="00B85D65"/>
    <w:rsid w:val="00B87C44"/>
    <w:rsid w:val="00B96158"/>
    <w:rsid w:val="00BA73B6"/>
    <w:rsid w:val="00BA7469"/>
    <w:rsid w:val="00BA7E27"/>
    <w:rsid w:val="00BB2603"/>
    <w:rsid w:val="00BB3853"/>
    <w:rsid w:val="00BB4383"/>
    <w:rsid w:val="00BB45F6"/>
    <w:rsid w:val="00BB4FCD"/>
    <w:rsid w:val="00BC04E9"/>
    <w:rsid w:val="00BC52EE"/>
    <w:rsid w:val="00BD13EA"/>
    <w:rsid w:val="00BD2987"/>
    <w:rsid w:val="00BE31DD"/>
    <w:rsid w:val="00BE3808"/>
    <w:rsid w:val="00BF3288"/>
    <w:rsid w:val="00C062E9"/>
    <w:rsid w:val="00C07B64"/>
    <w:rsid w:val="00C12BAA"/>
    <w:rsid w:val="00C13721"/>
    <w:rsid w:val="00C14FE4"/>
    <w:rsid w:val="00C24195"/>
    <w:rsid w:val="00C2428B"/>
    <w:rsid w:val="00C252A8"/>
    <w:rsid w:val="00C27D06"/>
    <w:rsid w:val="00C3066D"/>
    <w:rsid w:val="00C368AA"/>
    <w:rsid w:val="00C408C5"/>
    <w:rsid w:val="00C52416"/>
    <w:rsid w:val="00C543F4"/>
    <w:rsid w:val="00C62173"/>
    <w:rsid w:val="00C6291C"/>
    <w:rsid w:val="00C633CB"/>
    <w:rsid w:val="00C736B7"/>
    <w:rsid w:val="00C779D6"/>
    <w:rsid w:val="00C81B37"/>
    <w:rsid w:val="00C81D4A"/>
    <w:rsid w:val="00C84EE2"/>
    <w:rsid w:val="00C86D82"/>
    <w:rsid w:val="00C8762C"/>
    <w:rsid w:val="00C94066"/>
    <w:rsid w:val="00CA00F9"/>
    <w:rsid w:val="00CA2961"/>
    <w:rsid w:val="00CA63C1"/>
    <w:rsid w:val="00CA6650"/>
    <w:rsid w:val="00CB50D7"/>
    <w:rsid w:val="00CB5C9C"/>
    <w:rsid w:val="00CB6866"/>
    <w:rsid w:val="00CB7177"/>
    <w:rsid w:val="00CC1998"/>
    <w:rsid w:val="00CC4946"/>
    <w:rsid w:val="00CD1B26"/>
    <w:rsid w:val="00CD1F18"/>
    <w:rsid w:val="00CD2212"/>
    <w:rsid w:val="00CD7713"/>
    <w:rsid w:val="00CE75F8"/>
    <w:rsid w:val="00CF7821"/>
    <w:rsid w:val="00D149C7"/>
    <w:rsid w:val="00D14EC4"/>
    <w:rsid w:val="00D164B4"/>
    <w:rsid w:val="00D16CF1"/>
    <w:rsid w:val="00D2331E"/>
    <w:rsid w:val="00D270A4"/>
    <w:rsid w:val="00D3087F"/>
    <w:rsid w:val="00D30BD1"/>
    <w:rsid w:val="00D31FE9"/>
    <w:rsid w:val="00D32894"/>
    <w:rsid w:val="00D34E1B"/>
    <w:rsid w:val="00D376BA"/>
    <w:rsid w:val="00D438FC"/>
    <w:rsid w:val="00D45634"/>
    <w:rsid w:val="00D52740"/>
    <w:rsid w:val="00D5568A"/>
    <w:rsid w:val="00D56AFC"/>
    <w:rsid w:val="00D63D73"/>
    <w:rsid w:val="00D64452"/>
    <w:rsid w:val="00D66E1E"/>
    <w:rsid w:val="00D71BE6"/>
    <w:rsid w:val="00D75722"/>
    <w:rsid w:val="00D76DBC"/>
    <w:rsid w:val="00D80CF5"/>
    <w:rsid w:val="00D81943"/>
    <w:rsid w:val="00D870B1"/>
    <w:rsid w:val="00DA37B4"/>
    <w:rsid w:val="00DA5BBA"/>
    <w:rsid w:val="00DA61B7"/>
    <w:rsid w:val="00DB26D2"/>
    <w:rsid w:val="00DB5FD3"/>
    <w:rsid w:val="00DB67C9"/>
    <w:rsid w:val="00DC0C95"/>
    <w:rsid w:val="00DD0E1A"/>
    <w:rsid w:val="00DD6580"/>
    <w:rsid w:val="00DD692B"/>
    <w:rsid w:val="00DE5C61"/>
    <w:rsid w:val="00DF53FB"/>
    <w:rsid w:val="00E17C72"/>
    <w:rsid w:val="00E20133"/>
    <w:rsid w:val="00E21FC6"/>
    <w:rsid w:val="00E2400D"/>
    <w:rsid w:val="00E34A88"/>
    <w:rsid w:val="00E36348"/>
    <w:rsid w:val="00E431A9"/>
    <w:rsid w:val="00E507C7"/>
    <w:rsid w:val="00E51FD5"/>
    <w:rsid w:val="00E52F9B"/>
    <w:rsid w:val="00E54973"/>
    <w:rsid w:val="00E669E2"/>
    <w:rsid w:val="00E73D0E"/>
    <w:rsid w:val="00E76135"/>
    <w:rsid w:val="00E82F4F"/>
    <w:rsid w:val="00E85476"/>
    <w:rsid w:val="00E862EF"/>
    <w:rsid w:val="00E950CD"/>
    <w:rsid w:val="00EB576D"/>
    <w:rsid w:val="00EC2844"/>
    <w:rsid w:val="00EC5500"/>
    <w:rsid w:val="00EC55F5"/>
    <w:rsid w:val="00EC59F6"/>
    <w:rsid w:val="00EC7A68"/>
    <w:rsid w:val="00EC7F94"/>
    <w:rsid w:val="00ED18F8"/>
    <w:rsid w:val="00EE0438"/>
    <w:rsid w:val="00EE1FE1"/>
    <w:rsid w:val="00EE2B25"/>
    <w:rsid w:val="00EF0608"/>
    <w:rsid w:val="00EF6C6C"/>
    <w:rsid w:val="00F056FC"/>
    <w:rsid w:val="00F10476"/>
    <w:rsid w:val="00F10F24"/>
    <w:rsid w:val="00F135D8"/>
    <w:rsid w:val="00F1620D"/>
    <w:rsid w:val="00F231E3"/>
    <w:rsid w:val="00F248E4"/>
    <w:rsid w:val="00F27B19"/>
    <w:rsid w:val="00F31299"/>
    <w:rsid w:val="00F317F2"/>
    <w:rsid w:val="00F3534A"/>
    <w:rsid w:val="00F36F7D"/>
    <w:rsid w:val="00F4579B"/>
    <w:rsid w:val="00F47E57"/>
    <w:rsid w:val="00F51609"/>
    <w:rsid w:val="00F52276"/>
    <w:rsid w:val="00F617E3"/>
    <w:rsid w:val="00F6301E"/>
    <w:rsid w:val="00F6302D"/>
    <w:rsid w:val="00F71BF1"/>
    <w:rsid w:val="00F81006"/>
    <w:rsid w:val="00F85189"/>
    <w:rsid w:val="00F85325"/>
    <w:rsid w:val="00F86414"/>
    <w:rsid w:val="00F95CC7"/>
    <w:rsid w:val="00FA11CD"/>
    <w:rsid w:val="00FB28FF"/>
    <w:rsid w:val="00FB71C6"/>
    <w:rsid w:val="00FC0B15"/>
    <w:rsid w:val="00FC305C"/>
    <w:rsid w:val="00FC6FC7"/>
    <w:rsid w:val="00FD22B1"/>
    <w:rsid w:val="00FE2DC1"/>
    <w:rsid w:val="00FE5397"/>
    <w:rsid w:val="00FF111C"/>
    <w:rsid w:val="00FF4C1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footer" w:uiPriority="99"/>
    <w:lsdException w:name="Body Text" w:qFormat="1"/>
    <w:lsdException w:name="Subtitle"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24E8B"/>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link w:val="FooterChar"/>
    <w:uiPriority w:val="99"/>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rsid w:val="00C543F4"/>
  </w:style>
  <w:style w:type="paragraph" w:customStyle="1" w:styleId="HeaderOdd">
    <w:name w:val="Header Odd"/>
    <w:basedOn w:val="Header"/>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paragraph" w:styleId="CommentSubject">
    <w:name w:val="annotation subject"/>
    <w:basedOn w:val="CommentText"/>
    <w:next w:val="CommentText"/>
    <w:link w:val="CommentSubjectChar"/>
    <w:rsid w:val="004502B0"/>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4502B0"/>
    <w:rPr>
      <w:szCs w:val="24"/>
    </w:rPr>
  </w:style>
  <w:style w:type="character" w:customStyle="1" w:styleId="CommentSubjectChar">
    <w:name w:val="Comment Subject Char"/>
    <w:basedOn w:val="CommentTextChar"/>
    <w:link w:val="CommentSubject"/>
    <w:rsid w:val="004502B0"/>
    <w:rPr>
      <w:b/>
      <w:bCs/>
      <w:szCs w:val="24"/>
    </w:rPr>
  </w:style>
  <w:style w:type="character" w:customStyle="1" w:styleId="BodyTextChar">
    <w:name w:val="Body Text Char"/>
    <w:link w:val="BodyText"/>
    <w:locked/>
    <w:rsid w:val="00324E8B"/>
    <w:rPr>
      <w:sz w:val="26"/>
    </w:rPr>
  </w:style>
  <w:style w:type="character" w:customStyle="1" w:styleId="FooterChar">
    <w:name w:val="Footer Char"/>
    <w:basedOn w:val="DefaultParagraphFont"/>
    <w:link w:val="Footer"/>
    <w:uiPriority w:val="99"/>
    <w:rsid w:val="00324E8B"/>
    <w:rPr>
      <w:caps/>
      <w:spacing w:val="-4"/>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E184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149927">
      <w:bodyDiv w:val="1"/>
      <w:marLeft w:val="0"/>
      <w:marRight w:val="0"/>
      <w:marTop w:val="0"/>
      <w:marBottom w:val="0"/>
      <w:divBdr>
        <w:top w:val="none" w:sz="0" w:space="0" w:color="auto"/>
        <w:left w:val="none" w:sz="0" w:space="0" w:color="auto"/>
        <w:bottom w:val="none" w:sz="0" w:space="0" w:color="auto"/>
        <w:right w:val="none" w:sz="0" w:space="0" w:color="auto"/>
      </w:divBdr>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B477D-8F73-42AF-8314-41AAF0C96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1278</TotalTime>
  <Pages>8</Pages>
  <Words>2751</Words>
  <Characters>14854</Characters>
  <Application>Microsoft Office Word</Application>
  <DocSecurity>0</DocSecurity>
  <Lines>410</Lines>
  <Paragraphs>233</Paragraphs>
  <ScaleCrop>false</ScaleCrop>
  <HeadingPairs>
    <vt:vector size="2" baseType="variant">
      <vt:variant>
        <vt:lpstr>Title</vt:lpstr>
      </vt:variant>
      <vt:variant>
        <vt:i4>1</vt:i4>
      </vt:variant>
    </vt:vector>
  </HeadingPairs>
  <TitlesOfParts>
    <vt:vector size="1" baseType="lpstr">
      <vt:lpstr>Transitions as sequences</vt:lpstr>
    </vt:vector>
  </TitlesOfParts>
  <Company>Productivity Commission</Company>
  <LinksUpToDate>false</LinksUpToDate>
  <CharactersWithSpaces>17382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Transitions as sequences</dc:title>
  <dc:subject>Prevalence of Transition Pathways </dc:subject>
  <dc:creator>Productivity Commission</dc:creator>
  <cp:keywords/>
  <dc:description>2.</dc:description>
  <cp:lastModifiedBy>Productivity Commission</cp:lastModifiedBy>
  <cp:revision>95</cp:revision>
  <cp:lastPrinted>2013-08-08T23:54:00Z</cp:lastPrinted>
  <dcterms:created xsi:type="dcterms:W3CDTF">2013-05-15T23:36:00Z</dcterms:created>
  <dcterms:modified xsi:type="dcterms:W3CDTF">2013-08-27T01:34:00Z</dcterms:modified>
</cp:coreProperties>
</file>