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CA058D" w:rsidP="00CA058D">
      <w:pPr>
        <w:pStyle w:val="Heading1"/>
        <w:spacing w:before="0"/>
      </w:pPr>
      <w:bookmarkStart w:id="0" w:name="ChapterNumber"/>
      <w:bookmarkStart w:id="1" w:name="_GoBack"/>
      <w:bookmarkEnd w:id="1"/>
      <w:r>
        <w:t>3</w:t>
      </w:r>
      <w:bookmarkEnd w:id="0"/>
      <w:r>
        <w:tab/>
      </w:r>
      <w:bookmarkStart w:id="2" w:name="ChapterTitle"/>
      <w:r>
        <w:t>Pathways and estimates of prevalence</w:t>
      </w:r>
      <w:bookmarkEnd w:id="2"/>
    </w:p>
    <w:p w:rsidR="00CD3301" w:rsidRPr="009C6477" w:rsidRDefault="00CD3301" w:rsidP="00CD3301">
      <w:pPr>
        <w:pStyle w:val="BodyText"/>
      </w:pPr>
      <w:bookmarkStart w:id="3" w:name="begin"/>
      <w:bookmarkEnd w:id="3"/>
      <w:r>
        <w:t>To analyse labour market transitions as ordered sequences of activities, appropriate data are required. Pollock, Antcliff and Ralphs (2002) outline the characteristics of an ideal dataset for this purpose</w:t>
      </w:r>
      <w:r w:rsidR="008442F5">
        <w:t>. Specifically</w:t>
      </w:r>
      <w:r>
        <w:t xml:space="preserve">, the data </w:t>
      </w:r>
      <w:r w:rsidR="008442F5">
        <w:t>should be</w:t>
      </w:r>
      <w:r>
        <w:t xml:space="preserve"> at an individual level, record successive activities</w:t>
      </w:r>
      <w:r w:rsidR="008442F5">
        <w:t>,</w:t>
      </w:r>
      <w:r w:rsidR="008442F5" w:rsidDel="008442F5">
        <w:t xml:space="preserve"> </w:t>
      </w:r>
      <w:r>
        <w:t xml:space="preserve">the </w:t>
      </w:r>
      <w:r w:rsidR="008442F5">
        <w:t xml:space="preserve">dates and duration </w:t>
      </w:r>
      <w:r w:rsidR="00890851">
        <w:t xml:space="preserve">when </w:t>
      </w:r>
      <w:r>
        <w:t>they are undertaken</w:t>
      </w:r>
      <w:r w:rsidR="008442F5">
        <w:t>,</w:t>
      </w:r>
      <w:r>
        <w:t xml:space="preserve"> and cover an appropriate</w:t>
      </w:r>
      <w:r w:rsidR="008442F5">
        <w:t>ly</w:t>
      </w:r>
      <w:r>
        <w:t xml:space="preserve"> </w:t>
      </w:r>
      <w:r w:rsidR="008442F5">
        <w:t xml:space="preserve">long </w:t>
      </w:r>
      <w:r>
        <w:t>observation window. The data should also contain relevant supplementary information about the individuals and the activities</w:t>
      </w:r>
      <w:r w:rsidR="00E56627">
        <w:t xml:space="preserve">. This information </w:t>
      </w:r>
      <w:r w:rsidR="008442F5">
        <w:t>help</w:t>
      </w:r>
      <w:r w:rsidR="00E56627">
        <w:t>s</w:t>
      </w:r>
      <w:r w:rsidR="00384596" w:rsidRPr="009C6477">
        <w:t xml:space="preserve"> explain the patterns </w:t>
      </w:r>
      <w:r w:rsidR="009C6477" w:rsidRPr="009C6477">
        <w:t>uncovered in terms of</w:t>
      </w:r>
      <w:r w:rsidR="00384596" w:rsidRPr="009C6477">
        <w:t xml:space="preserve"> </w:t>
      </w:r>
      <w:r w:rsidR="009C6477" w:rsidRPr="009C6477">
        <w:t xml:space="preserve">the </w:t>
      </w:r>
      <w:r w:rsidR="00384596" w:rsidRPr="009C6477">
        <w:t>reasons</w:t>
      </w:r>
      <w:r w:rsidR="009C6477" w:rsidRPr="009C6477">
        <w:t xml:space="preserve"> or motivat</w:t>
      </w:r>
      <w:r w:rsidR="00E56627">
        <w:t>ing factors behind the observed</w:t>
      </w:r>
      <w:r w:rsidR="00384596" w:rsidRPr="009C6477">
        <w:t xml:space="preserve"> pattern</w:t>
      </w:r>
      <w:r w:rsidR="009C6477" w:rsidRPr="009C6477">
        <w:t>s</w:t>
      </w:r>
      <w:r w:rsidR="00E56627">
        <w:t>,</w:t>
      </w:r>
      <w:r w:rsidR="009C6477" w:rsidRPr="009C6477">
        <w:t xml:space="preserve"> and the characteristics </w:t>
      </w:r>
      <w:r w:rsidR="008442F5">
        <w:t>of</w:t>
      </w:r>
      <w:r w:rsidR="009C6477" w:rsidRPr="009C6477">
        <w:t xml:space="preserve"> individuals with those patterns.</w:t>
      </w:r>
    </w:p>
    <w:p w:rsidR="00CD3301" w:rsidRDefault="00CD3301" w:rsidP="00CD3301">
      <w:pPr>
        <w:pStyle w:val="BodyText"/>
      </w:pPr>
      <w:r>
        <w:t>For education and labour m</w:t>
      </w:r>
      <w:r w:rsidR="00E3683F">
        <w:t>arket activities of the working-</w:t>
      </w:r>
      <w:r>
        <w:t xml:space="preserve">age population in Australia, the </w:t>
      </w:r>
      <w:r w:rsidRPr="00053A84">
        <w:rPr>
          <w:i/>
        </w:rPr>
        <w:t>Household, Income and Labour Dynamics in Australia</w:t>
      </w:r>
      <w:r>
        <w:t xml:space="preserve"> (HILDA) </w:t>
      </w:r>
      <w:r w:rsidR="00FE36F5">
        <w:t>S</w:t>
      </w:r>
      <w:r>
        <w:t xml:space="preserve">urvey is the only data source </w:t>
      </w:r>
      <w:r w:rsidR="008442F5">
        <w:t>with these attributes</w:t>
      </w:r>
      <w:r>
        <w:t>. HILDA is a large, nationally</w:t>
      </w:r>
      <w:r w:rsidR="00914827">
        <w:noBreakHyphen/>
      </w:r>
      <w:r>
        <w:t>representative household panel survey that has been running since 2001. It contains both historical information about individuals when they are first interviewed and time</w:t>
      </w:r>
      <w:r w:rsidR="00914827">
        <w:noBreakHyphen/>
      </w:r>
      <w:r w:rsidR="00C8186B">
        <w:t>varying information</w:t>
      </w:r>
      <w:r>
        <w:t xml:space="preserve"> </w:t>
      </w:r>
      <w:r w:rsidR="00C8186B">
        <w:t xml:space="preserve">recorded </w:t>
      </w:r>
      <w:r>
        <w:t>at annual interviews. The first ten waves of data have been used in this study. Further details of HILDA are available in appendix</w:t>
      </w:r>
      <w:r w:rsidR="00327397">
        <w:t> </w:t>
      </w:r>
      <w:r>
        <w:t>A.</w:t>
      </w:r>
    </w:p>
    <w:p w:rsidR="00CD3301" w:rsidRDefault="00CD3301" w:rsidP="00CD3301">
      <w:pPr>
        <w:pStyle w:val="BodyText"/>
      </w:pPr>
      <w:r>
        <w:t xml:space="preserve">HILDA also contains a calendar </w:t>
      </w:r>
      <w:r w:rsidR="00C8186B">
        <w:t>where</w:t>
      </w:r>
      <w:r>
        <w:t xml:space="preserve"> individuals record their employment, job search and education</w:t>
      </w:r>
      <w:r w:rsidR="00FE36F5">
        <w:t>-</w:t>
      </w:r>
      <w:r>
        <w:t xml:space="preserve">related activities. The calendar is split into </w:t>
      </w:r>
      <w:r w:rsidR="00FE36F5">
        <w:t>‘</w:t>
      </w:r>
      <w:r>
        <w:t>month</w:t>
      </w:r>
      <w:r w:rsidR="008707D7">
        <w:t xml:space="preserve"> </w:t>
      </w:r>
      <w:r>
        <w:t>thirds</w:t>
      </w:r>
      <w:r w:rsidR="00FE36F5">
        <w:t>’</w:t>
      </w:r>
      <w:r>
        <w:t xml:space="preserve"> (corresponding to early, middle and late in the month) and individuals are asked to recall their activities since the beginning of the previous financial year. This information </w:t>
      </w:r>
      <w:r w:rsidR="000C62CB">
        <w:t>permits</w:t>
      </w:r>
      <w:r>
        <w:t xml:space="preserve"> track</w:t>
      </w:r>
      <w:r w:rsidR="000C62CB">
        <w:t>ing of</w:t>
      </w:r>
      <w:r>
        <w:t xml:space="preserve"> short</w:t>
      </w:r>
      <w:r w:rsidR="00914827">
        <w:noBreakHyphen/>
      </w:r>
      <w:r>
        <w:t>duration activities that occur throughout the year rather than being restricted to activities that coincide with the annual interviews.</w:t>
      </w:r>
      <w:r w:rsidR="00384596">
        <w:t xml:space="preserve"> </w:t>
      </w:r>
      <w:r w:rsidR="009C6477">
        <w:t xml:space="preserve">This allows some of the more </w:t>
      </w:r>
      <w:r w:rsidR="00C8186B">
        <w:t xml:space="preserve">diverse </w:t>
      </w:r>
      <w:r w:rsidR="009C6477">
        <w:t xml:space="preserve">experiences to </w:t>
      </w:r>
      <w:r w:rsidR="00C8186B">
        <w:t>be analysed.</w:t>
      </w:r>
    </w:p>
    <w:p w:rsidR="00CD3301" w:rsidRDefault="00CD3301" w:rsidP="00CD3301">
      <w:pPr>
        <w:pStyle w:val="BodyText"/>
      </w:pPr>
      <w:r>
        <w:t>In this study, the education and labour market activities are divided into the following five mutually exclusive and exhaustive groups:</w:t>
      </w:r>
    </w:p>
    <w:p w:rsidR="00CD3301" w:rsidRDefault="001E373C" w:rsidP="000A308F">
      <w:pPr>
        <w:pStyle w:val="ListNumber"/>
      </w:pPr>
      <w:r>
        <w:t>s</w:t>
      </w:r>
      <w:r w:rsidR="00CD3301">
        <w:t>tudy only, defined as enrolled in a school or educational course and not in employment (includes holidays while enrolled)</w:t>
      </w:r>
    </w:p>
    <w:p w:rsidR="00CD3301" w:rsidRDefault="001E373C" w:rsidP="000A308F">
      <w:pPr>
        <w:pStyle w:val="ListNumber"/>
      </w:pPr>
      <w:r>
        <w:t>s</w:t>
      </w:r>
      <w:r w:rsidR="00CD3301">
        <w:t>tudy and employment (includes holidays)</w:t>
      </w:r>
    </w:p>
    <w:p w:rsidR="00CD3301" w:rsidRDefault="001E373C" w:rsidP="000A308F">
      <w:pPr>
        <w:pStyle w:val="ListNumber"/>
      </w:pPr>
      <w:r>
        <w:t>e</w:t>
      </w:r>
      <w:r w:rsidR="00CD3301">
        <w:t>mployment only (employed but not enrolled in study)</w:t>
      </w:r>
    </w:p>
    <w:p w:rsidR="00CD3301" w:rsidRDefault="001E373C" w:rsidP="000A308F">
      <w:pPr>
        <w:pStyle w:val="ListNumber"/>
      </w:pPr>
      <w:r>
        <w:lastRenderedPageBreak/>
        <w:t>u</w:t>
      </w:r>
      <w:r w:rsidR="00CD3301">
        <w:t xml:space="preserve">nemployment only (not employed, not enrolled, </w:t>
      </w:r>
      <w:r w:rsidR="00890851">
        <w:t xml:space="preserve">but </w:t>
      </w:r>
      <w:r w:rsidR="00CD3301">
        <w:t>looking for work)</w:t>
      </w:r>
    </w:p>
    <w:p w:rsidR="00CD3301" w:rsidRDefault="001E373C" w:rsidP="000A308F">
      <w:pPr>
        <w:pStyle w:val="ListNumber"/>
      </w:pPr>
      <w:r>
        <w:t>n</w:t>
      </w:r>
      <w:r w:rsidR="00CD3301">
        <w:t>o</w:t>
      </w:r>
      <w:r w:rsidR="00C8186B">
        <w:t xml:space="preserve">t in the </w:t>
      </w:r>
      <w:r w:rsidR="00CD3301">
        <w:t>labour force (NILF) only (not employed, not looking for work and not enrolled in education).</w:t>
      </w:r>
      <w:r w:rsidR="003E12C9">
        <w:rPr>
          <w:rStyle w:val="FootnoteReference"/>
        </w:rPr>
        <w:footnoteReference w:id="1"/>
      </w:r>
    </w:p>
    <w:p w:rsidR="00BA4B40" w:rsidRDefault="00BA4B40" w:rsidP="001521F3">
      <w:pPr>
        <w:pStyle w:val="BodyText"/>
      </w:pPr>
      <w:r>
        <w:t>Individuals with incomplete sequences of activities were removed</w:t>
      </w:r>
      <w:r w:rsidR="00FE36F5">
        <w:t>.</w:t>
      </w:r>
      <w:r w:rsidR="00F00460">
        <w:t xml:space="preserve"> </w:t>
      </w:r>
      <w:r w:rsidR="00FE36F5">
        <w:t xml:space="preserve">For those remaining, </w:t>
      </w:r>
      <w:r w:rsidR="00F00460">
        <w:t>activity information was aggregated from month</w:t>
      </w:r>
      <w:r w:rsidR="008707D7">
        <w:t xml:space="preserve"> </w:t>
      </w:r>
      <w:r w:rsidR="00F00460">
        <w:t>thirds to months (appendix</w:t>
      </w:r>
      <w:r w:rsidR="00327397">
        <w:t> </w:t>
      </w:r>
      <w:r w:rsidR="00F00460">
        <w:t>A). This</w:t>
      </w:r>
      <w:r>
        <w:t xml:space="preserve"> le</w:t>
      </w:r>
      <w:r w:rsidR="00F00460">
        <w:t>ft</w:t>
      </w:r>
      <w:r>
        <w:t xml:space="preserve"> a sample of 6566 individuals</w:t>
      </w:r>
      <w:r w:rsidR="00204950">
        <w:t xml:space="preserve"> with activities tracked each month from July 2000 to June 2010</w:t>
      </w:r>
      <w:r>
        <w:t>.</w:t>
      </w:r>
      <w:r w:rsidR="00F00460">
        <w:t xml:space="preserve"> </w:t>
      </w:r>
      <w:r w:rsidR="007D571C">
        <w:t xml:space="preserve">Sample weights have not been applied </w:t>
      </w:r>
      <w:r w:rsidR="007C2FE8">
        <w:t>in the following analysis.</w:t>
      </w:r>
    </w:p>
    <w:p w:rsidR="00D76CD9" w:rsidRDefault="00204950" w:rsidP="001521F3">
      <w:pPr>
        <w:pStyle w:val="BodyText"/>
      </w:pPr>
      <w:r>
        <w:t>This chapter provides a summary of the pathways identified (section</w:t>
      </w:r>
      <w:r w:rsidR="00327397">
        <w:t> </w:t>
      </w:r>
      <w:r w:rsidR="00121B7F">
        <w:t>3.1</w:t>
      </w:r>
      <w:r>
        <w:t>). Several pathways are analysed in some detail (section</w:t>
      </w:r>
      <w:r w:rsidR="00327397">
        <w:t> </w:t>
      </w:r>
      <w:r w:rsidR="00121B7F">
        <w:t>3.2</w:t>
      </w:r>
      <w:r>
        <w:t>), with results for the remaining pathways contained in appendix</w:t>
      </w:r>
      <w:r w:rsidR="00327397">
        <w:t> </w:t>
      </w:r>
      <w:r>
        <w:t>C.</w:t>
      </w:r>
    </w:p>
    <w:p w:rsidR="00CA20BB" w:rsidRDefault="00121B7F" w:rsidP="00F11ADE">
      <w:pPr>
        <w:pStyle w:val="Heading2"/>
      </w:pPr>
      <w:bookmarkStart w:id="4" w:name="OLE_LINK29"/>
      <w:r>
        <w:t>3.</w:t>
      </w:r>
      <w:r w:rsidR="00C42746">
        <w:rPr>
          <w:noProof/>
        </w:rPr>
        <w:t>1</w:t>
      </w:r>
      <w:bookmarkEnd w:id="4"/>
      <w:r w:rsidR="00F11ADE">
        <w:tab/>
      </w:r>
      <w:r w:rsidR="00CA20BB">
        <w:t>Pathway summary</w:t>
      </w:r>
    </w:p>
    <w:p w:rsidR="009300B2" w:rsidRDefault="00E76595" w:rsidP="00F11ADE">
      <w:pPr>
        <w:pStyle w:val="BodyText"/>
      </w:pPr>
      <w:r>
        <w:t xml:space="preserve">After splitting </w:t>
      </w:r>
      <w:r w:rsidR="00F00460">
        <w:t xml:space="preserve">the sample </w:t>
      </w:r>
      <w:r w:rsidR="00FD38DB">
        <w:t>into age segments (box</w:t>
      </w:r>
      <w:r w:rsidR="00327397">
        <w:t> </w:t>
      </w:r>
      <w:r w:rsidR="00121B7F">
        <w:t>3.1</w:t>
      </w:r>
      <w:r>
        <w:t>),</w:t>
      </w:r>
      <w:r w:rsidR="00BA1158">
        <w:t xml:space="preserve"> </w:t>
      </w:r>
      <w:r w:rsidR="008707D7">
        <w:t>o</w:t>
      </w:r>
      <w:r w:rsidR="00F00460">
        <w:t xml:space="preserve">ptimal </w:t>
      </w:r>
      <w:r w:rsidR="008707D7">
        <w:t>m</w:t>
      </w:r>
      <w:r w:rsidR="00F00460">
        <w:t xml:space="preserve">atching and </w:t>
      </w:r>
      <w:r w:rsidR="008707D7">
        <w:t>c</w:t>
      </w:r>
      <w:r w:rsidR="00F00460">
        <w:t xml:space="preserve">luster </w:t>
      </w:r>
      <w:r w:rsidR="008707D7">
        <w:t>a</w:t>
      </w:r>
      <w:r w:rsidR="00F00460">
        <w:t>nalysis (</w:t>
      </w:r>
      <w:r w:rsidR="00FD38DB">
        <w:t>box</w:t>
      </w:r>
      <w:r w:rsidR="00327397">
        <w:t> </w:t>
      </w:r>
      <w:r w:rsidR="00121B7F">
        <w:t>3.2</w:t>
      </w:r>
      <w:r w:rsidR="00FD38DB">
        <w:t>)</w:t>
      </w:r>
      <w:r w:rsidR="00BA1158">
        <w:t xml:space="preserve"> </w:t>
      </w:r>
      <w:r>
        <w:t>were</w:t>
      </w:r>
      <w:r w:rsidR="00F00460">
        <w:t xml:space="preserve"> used </w:t>
      </w:r>
      <w:r w:rsidR="00BA1158">
        <w:t xml:space="preserve">to </w:t>
      </w:r>
      <w:r w:rsidR="006B45A5">
        <w:t>identify</w:t>
      </w:r>
      <w:r w:rsidR="00AE39E9">
        <w:t xml:space="preserve"> groups </w:t>
      </w:r>
      <w:r w:rsidR="006B45A5">
        <w:t xml:space="preserve">of similar </w:t>
      </w:r>
      <w:r w:rsidR="00F34DA7">
        <w:t xml:space="preserve">sequences </w:t>
      </w:r>
      <w:r w:rsidR="000C62CB">
        <w:t>within</w:t>
      </w:r>
      <w:r>
        <w:t xml:space="preserve"> each age segment. Each group represents</w:t>
      </w:r>
      <w:r w:rsidR="00F34DA7">
        <w:t xml:space="preserve"> a pathway</w:t>
      </w:r>
      <w:r>
        <w:t xml:space="preserve">, and subsequent analysis of characteristics of the individuals and their sequences </w:t>
      </w:r>
      <w:r w:rsidR="00C6491B">
        <w:t>suggested a descriptive label</w:t>
      </w:r>
      <w:r>
        <w:t xml:space="preserve"> for each pathway</w:t>
      </w:r>
      <w:r w:rsidR="00BA1158">
        <w:t>.</w:t>
      </w:r>
      <w:r w:rsidR="006A78C5">
        <w:t xml:space="preserve"> </w:t>
      </w:r>
      <w:r w:rsidR="009D5407">
        <w:t>Appendix</w:t>
      </w:r>
      <w:r w:rsidR="00327397">
        <w:t> </w:t>
      </w:r>
      <w:r w:rsidR="006A78C5">
        <w:t>B provides technical details.</w:t>
      </w:r>
    </w:p>
    <w:p w:rsidR="009300B2" w:rsidRDefault="009300B2">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9300B2">
        <w:tc>
          <w:tcPr>
            <w:tcW w:w="8771" w:type="dxa"/>
            <w:tcBorders>
              <w:top w:val="single" w:sz="6" w:space="0" w:color="auto"/>
              <w:bottom w:val="nil"/>
            </w:tcBorders>
          </w:tcPr>
          <w:p w:rsidR="009300B2" w:rsidRDefault="009300B2">
            <w:pPr>
              <w:pStyle w:val="BoxTitle"/>
            </w:pPr>
            <w:r>
              <w:rPr>
                <w:b w:val="0"/>
              </w:rPr>
              <w:t xml:space="preserve">Box </w:t>
            </w:r>
            <w:bookmarkStart w:id="5" w:name="OLE_LINK5"/>
            <w:r w:rsidR="00121B7F">
              <w:rPr>
                <w:b w:val="0"/>
              </w:rPr>
              <w:t>3.</w:t>
            </w:r>
            <w:r w:rsidR="00C42746">
              <w:rPr>
                <w:b w:val="0"/>
                <w:noProof/>
              </w:rPr>
              <w:t>1</w:t>
            </w:r>
            <w:bookmarkEnd w:id="5"/>
            <w:r>
              <w:tab/>
            </w:r>
            <w:r w:rsidRPr="009300B2">
              <w:t>Age segments</w:t>
            </w:r>
          </w:p>
        </w:tc>
      </w:tr>
      <w:tr w:rsidR="009300B2">
        <w:trPr>
          <w:cantSplit/>
        </w:trPr>
        <w:tc>
          <w:tcPr>
            <w:tcW w:w="8771" w:type="dxa"/>
            <w:tcBorders>
              <w:top w:val="nil"/>
              <w:left w:val="single" w:sz="6" w:space="0" w:color="auto"/>
              <w:bottom w:val="nil"/>
              <w:right w:val="single" w:sz="6" w:space="0" w:color="auto"/>
            </w:tcBorders>
          </w:tcPr>
          <w:p w:rsidR="009300B2" w:rsidRDefault="00E3683F" w:rsidP="009300B2">
            <w:pPr>
              <w:pStyle w:val="Box"/>
            </w:pPr>
            <w:r>
              <w:t>The working-</w:t>
            </w:r>
            <w:r w:rsidR="009300B2">
              <w:t xml:space="preserve">age population includes individuals at different ‘life stages’. These life stages are likely to affect the types of activity patterns observed for different age groups. For example, younger people </w:t>
            </w:r>
            <w:r w:rsidR="009D5407">
              <w:t>are</w:t>
            </w:r>
            <w:r w:rsidR="009300B2">
              <w:t xml:space="preserve"> more likely to be engaged in prolonged periods of study than older people. Females who spend time outside the labour force m</w:t>
            </w:r>
            <w:r w:rsidR="009D5407">
              <w:t>ay</w:t>
            </w:r>
            <w:r w:rsidR="009300B2">
              <w:t xml:space="preserve"> be raising children if </w:t>
            </w:r>
            <w:r w:rsidR="009D5407">
              <w:t xml:space="preserve">they are </w:t>
            </w:r>
            <w:r w:rsidR="009300B2">
              <w:t>young</w:t>
            </w:r>
            <w:r w:rsidR="006A78C5">
              <w:t>,</w:t>
            </w:r>
            <w:r w:rsidR="009300B2">
              <w:t xml:space="preserve"> or retired if </w:t>
            </w:r>
            <w:r w:rsidR="009D5407">
              <w:t xml:space="preserve">they are </w:t>
            </w:r>
            <w:r w:rsidR="009300B2">
              <w:t xml:space="preserve">older. </w:t>
            </w:r>
          </w:p>
          <w:p w:rsidR="009300B2" w:rsidRDefault="009300B2" w:rsidP="009300B2">
            <w:pPr>
              <w:pStyle w:val="Box"/>
            </w:pPr>
            <w:r>
              <w:t>Since a particular activity pattern can have different interpretations (and relevance) for different age groups, the working</w:t>
            </w:r>
            <w:r w:rsidR="00E3683F">
              <w:t>-</w:t>
            </w:r>
            <w:r>
              <w:t>age population is divided into segments for analysis. These segments are defined according to age in 2001 (at the first interview):</w:t>
            </w:r>
          </w:p>
          <w:p w:rsidR="009300B2" w:rsidRDefault="001E373C" w:rsidP="00EF54D7">
            <w:pPr>
              <w:pStyle w:val="BoxListBullet"/>
            </w:pPr>
            <w:r>
              <w:t>y</w:t>
            </w:r>
            <w:r w:rsidR="009300B2">
              <w:t>ouths, aged 15–24 (877 individuals)</w:t>
            </w:r>
          </w:p>
          <w:p w:rsidR="009300B2" w:rsidRDefault="001E373C" w:rsidP="00EF54D7">
            <w:pPr>
              <w:pStyle w:val="BoxListBullet"/>
            </w:pPr>
            <w:r>
              <w:t>y</w:t>
            </w:r>
            <w:r w:rsidR="009300B2">
              <w:t>oung adults, aged 25–39 (2289 individuals)</w:t>
            </w:r>
          </w:p>
          <w:p w:rsidR="009300B2" w:rsidRDefault="001E373C" w:rsidP="00EF54D7">
            <w:pPr>
              <w:pStyle w:val="BoxListBullet"/>
            </w:pPr>
            <w:r>
              <w:t>m</w:t>
            </w:r>
            <w:r w:rsidR="009300B2">
              <w:t>ature adults, aged 40–54 (2354 individuals)</w:t>
            </w:r>
          </w:p>
          <w:p w:rsidR="009300B2" w:rsidRDefault="001E373C" w:rsidP="00EF54D7">
            <w:pPr>
              <w:pStyle w:val="BoxListBullet"/>
            </w:pPr>
            <w:r>
              <w:t>s</w:t>
            </w:r>
            <w:r w:rsidR="009300B2">
              <w:t>eniors, aged 55–64 (1046 individuals).</w:t>
            </w:r>
          </w:p>
        </w:tc>
      </w:tr>
      <w:tr w:rsidR="009300B2">
        <w:trPr>
          <w:cantSplit/>
        </w:trPr>
        <w:tc>
          <w:tcPr>
            <w:tcW w:w="8771" w:type="dxa"/>
            <w:tcBorders>
              <w:top w:val="nil"/>
              <w:left w:val="single" w:sz="6" w:space="0" w:color="auto"/>
              <w:bottom w:val="single" w:sz="6" w:space="0" w:color="auto"/>
              <w:right w:val="single" w:sz="6" w:space="0" w:color="auto"/>
            </w:tcBorders>
          </w:tcPr>
          <w:p w:rsidR="009300B2" w:rsidRDefault="009300B2">
            <w:pPr>
              <w:pStyle w:val="Box"/>
              <w:spacing w:before="0" w:line="120" w:lineRule="exact"/>
            </w:pPr>
          </w:p>
        </w:tc>
      </w:tr>
      <w:tr w:rsidR="009300B2" w:rsidRPr="000863A5">
        <w:tc>
          <w:tcPr>
            <w:tcW w:w="8771" w:type="dxa"/>
            <w:tcBorders>
              <w:top w:val="nil"/>
              <w:left w:val="nil"/>
              <w:bottom w:val="nil"/>
              <w:right w:val="nil"/>
            </w:tcBorders>
          </w:tcPr>
          <w:p w:rsidR="009300B2" w:rsidRPr="00626D32" w:rsidRDefault="009300B2" w:rsidP="009300B2">
            <w:pPr>
              <w:pStyle w:val="BoxSpaceBelow"/>
            </w:pPr>
          </w:p>
        </w:tc>
      </w:tr>
    </w:tbl>
    <w:p w:rsidR="009300B2" w:rsidRDefault="009300B2">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9300B2">
        <w:tc>
          <w:tcPr>
            <w:tcW w:w="8771" w:type="dxa"/>
            <w:tcBorders>
              <w:top w:val="single" w:sz="6" w:space="0" w:color="auto"/>
              <w:bottom w:val="nil"/>
            </w:tcBorders>
          </w:tcPr>
          <w:p w:rsidR="009300B2" w:rsidRDefault="009300B2" w:rsidP="008707D7">
            <w:pPr>
              <w:pStyle w:val="BoxTitle"/>
            </w:pPr>
            <w:r>
              <w:rPr>
                <w:b w:val="0"/>
              </w:rPr>
              <w:t xml:space="preserve">Box </w:t>
            </w:r>
            <w:bookmarkStart w:id="6" w:name="OLE_LINK6"/>
            <w:r w:rsidR="00121B7F">
              <w:rPr>
                <w:b w:val="0"/>
              </w:rPr>
              <w:t>3.</w:t>
            </w:r>
            <w:r w:rsidR="00C42746">
              <w:rPr>
                <w:b w:val="0"/>
                <w:noProof/>
              </w:rPr>
              <w:t>2</w:t>
            </w:r>
            <w:bookmarkEnd w:id="6"/>
            <w:r>
              <w:tab/>
            </w:r>
            <w:r w:rsidR="00C974A2">
              <w:t xml:space="preserve">Grouping similar activity sequences using </w:t>
            </w:r>
            <w:r w:rsidR="008707D7">
              <w:t>o</w:t>
            </w:r>
            <w:r w:rsidR="00C974A2">
              <w:t xml:space="preserve">ptimal </w:t>
            </w:r>
            <w:r w:rsidR="008707D7">
              <w:t>m</w:t>
            </w:r>
            <w:r w:rsidR="00C974A2">
              <w:t xml:space="preserve">atching and </w:t>
            </w:r>
            <w:r w:rsidR="008707D7">
              <w:t>c</w:t>
            </w:r>
            <w:r w:rsidR="00C974A2">
              <w:t xml:space="preserve">luster </w:t>
            </w:r>
            <w:r w:rsidR="008707D7">
              <w:t>a</w:t>
            </w:r>
            <w:r w:rsidR="00C974A2">
              <w:t>nalysis</w:t>
            </w:r>
          </w:p>
        </w:tc>
      </w:tr>
      <w:tr w:rsidR="009300B2">
        <w:trPr>
          <w:cantSplit/>
        </w:trPr>
        <w:tc>
          <w:tcPr>
            <w:tcW w:w="8771" w:type="dxa"/>
            <w:tcBorders>
              <w:top w:val="nil"/>
              <w:left w:val="single" w:sz="6" w:space="0" w:color="auto"/>
              <w:bottom w:val="nil"/>
              <w:right w:val="single" w:sz="6" w:space="0" w:color="auto"/>
            </w:tcBorders>
          </w:tcPr>
          <w:p w:rsidR="00C974A2" w:rsidRDefault="00C974A2" w:rsidP="00C974A2">
            <w:pPr>
              <w:pStyle w:val="Box"/>
            </w:pPr>
            <w:r>
              <w:t xml:space="preserve">Sequences </w:t>
            </w:r>
            <w:r w:rsidR="006A78C5">
              <w:t xml:space="preserve">of activities </w:t>
            </w:r>
            <w:r>
              <w:t>can be described in various ways, such as by the proportion of time spent in each activity state or by the (temporal) ordering of activities. However, a richer picture becomes available when both the order and duration of activities are considered as part of a pattern.</w:t>
            </w:r>
          </w:p>
          <w:p w:rsidR="009C6477" w:rsidRDefault="00C974A2" w:rsidP="00C974A2">
            <w:pPr>
              <w:pStyle w:val="Box"/>
            </w:pPr>
            <w:r>
              <w:t xml:space="preserve">Optimal </w:t>
            </w:r>
            <w:r w:rsidR="008707D7">
              <w:t>m</w:t>
            </w:r>
            <w:r>
              <w:t xml:space="preserve">atching and </w:t>
            </w:r>
            <w:r w:rsidR="008707D7">
              <w:t>c</w:t>
            </w:r>
            <w:r>
              <w:t xml:space="preserve">luster </w:t>
            </w:r>
            <w:r w:rsidR="008707D7">
              <w:t>a</w:t>
            </w:r>
            <w:r>
              <w:t xml:space="preserve">nalysis (OMCA) are two techniques that, when </w:t>
            </w:r>
            <w:r w:rsidR="009D5407">
              <w:t>used in tandem</w:t>
            </w:r>
            <w:r>
              <w:t xml:space="preserve">, provide a </w:t>
            </w:r>
            <w:r w:rsidR="009D5407">
              <w:t xml:space="preserve">systematic </w:t>
            </w:r>
            <w:r>
              <w:t>way to compare activity sequences and group together those with similar patterns. These techniques are data driven and designed to be exploratory (describing what is) rather than confirmatory (formulating statistical models and testing hypotheses). Appendix</w:t>
            </w:r>
            <w:r w:rsidR="00327397">
              <w:t> </w:t>
            </w:r>
            <w:r>
              <w:t>B contains more details about the techniques</w:t>
            </w:r>
            <w:r w:rsidR="00A962D9">
              <w:t>.</w:t>
            </w:r>
            <w:r w:rsidR="009C6477">
              <w:t xml:space="preserve"> </w:t>
            </w:r>
          </w:p>
          <w:p w:rsidR="00C974A2" w:rsidRDefault="00C974A2" w:rsidP="00C974A2">
            <w:pPr>
              <w:pStyle w:val="Box"/>
            </w:pPr>
            <w:r>
              <w:t xml:space="preserve">Optimal </w:t>
            </w:r>
            <w:r w:rsidR="008707D7">
              <w:t>m</w:t>
            </w:r>
            <w:r>
              <w:t xml:space="preserve">atching </w:t>
            </w:r>
            <w:r w:rsidR="008707D7">
              <w:t xml:space="preserve">(OM) </w:t>
            </w:r>
            <w:r>
              <w:t xml:space="preserve">provides a means of quantifying </w:t>
            </w:r>
            <w:r w:rsidR="002E2902">
              <w:t xml:space="preserve">the extent of </w:t>
            </w:r>
            <w:r>
              <w:t xml:space="preserve">pattern similarity (or difference) between large numbers of potentially quite complex sequences. </w:t>
            </w:r>
            <w:r w:rsidR="002E2902">
              <w:t xml:space="preserve">Rather than using a simple ternary classification of patterns (exactly the same, completely different, anything in between), </w:t>
            </w:r>
            <w:r w:rsidR="00D85469">
              <w:t>p</w:t>
            </w:r>
            <w:r>
              <w:t xml:space="preserve">attern similarity </w:t>
            </w:r>
            <w:r w:rsidR="00D85469">
              <w:t xml:space="preserve">in OM </w:t>
            </w:r>
            <w:r>
              <w:t xml:space="preserve">(the distance) </w:t>
            </w:r>
            <w:r w:rsidR="00D85469">
              <w:t xml:space="preserve">has a sliding scale that </w:t>
            </w:r>
            <w:r>
              <w:t xml:space="preserve">is determined according to the number and type of changes required to make one pattern look identical to another. Each </w:t>
            </w:r>
            <w:r w:rsidR="00A962D9">
              <w:t xml:space="preserve">type of </w:t>
            </w:r>
            <w:r>
              <w:t xml:space="preserve">change </w:t>
            </w:r>
            <w:r w:rsidR="00A962D9">
              <w:t xml:space="preserve">is given a particular </w:t>
            </w:r>
            <w:r w:rsidR="006A78C5">
              <w:t>‘</w:t>
            </w:r>
            <w:r>
              <w:t>cost</w:t>
            </w:r>
            <w:r w:rsidR="006A78C5">
              <w:t>’</w:t>
            </w:r>
            <w:r>
              <w:t xml:space="preserve"> and the distance between two sequences represents the total of these co</w:t>
            </w:r>
            <w:r w:rsidR="00A962D9">
              <w:t>sts for that pair of sequences.</w:t>
            </w:r>
            <w:r w:rsidR="002E2902">
              <w:t xml:space="preserve"> </w:t>
            </w:r>
            <w:r>
              <w:t>The OM procedure creates a matrix of the distances between each sequence in the dataset, with smaller distances representing greater similarity.</w:t>
            </w:r>
            <w:r w:rsidR="002E2902">
              <w:t xml:space="preserve"> </w:t>
            </w:r>
          </w:p>
          <w:p w:rsidR="009300B2" w:rsidRDefault="00C974A2" w:rsidP="008707D7">
            <w:pPr>
              <w:pStyle w:val="Box"/>
            </w:pPr>
            <w:r>
              <w:t xml:space="preserve">Cluster </w:t>
            </w:r>
            <w:r w:rsidR="008707D7">
              <w:t>a</w:t>
            </w:r>
            <w:r>
              <w:t xml:space="preserve">nalysis is a technique for identifying groups in data. Using the distance matrix from OM as an input to </w:t>
            </w:r>
            <w:r w:rsidR="008707D7">
              <w:t>c</w:t>
            </w:r>
            <w:r>
              <w:t xml:space="preserve">luster </w:t>
            </w:r>
            <w:r w:rsidR="008707D7">
              <w:t>a</w:t>
            </w:r>
            <w:r>
              <w:t xml:space="preserve">nalysis provides a means of combining similar sequences together and </w:t>
            </w:r>
            <w:r w:rsidR="009D5407">
              <w:t xml:space="preserve">distinguishing </w:t>
            </w:r>
            <w:r>
              <w:t>different sequences. The basic idea is to form groups that maximise within</w:t>
            </w:r>
            <w:r w:rsidR="00914827">
              <w:noBreakHyphen/>
            </w:r>
            <w:r>
              <w:t>cluster similarity and minimise between</w:t>
            </w:r>
            <w:r w:rsidR="00914827">
              <w:noBreakHyphen/>
            </w:r>
            <w:r>
              <w:t>cluster similarity.</w:t>
            </w:r>
            <w:r w:rsidR="002E2902">
              <w:t xml:space="preserve"> In this study, each cluster </w:t>
            </w:r>
            <w:r w:rsidR="009D5407">
              <w:t xml:space="preserve">is </w:t>
            </w:r>
            <w:r w:rsidR="002E2902">
              <w:t>refer</w:t>
            </w:r>
            <w:r w:rsidR="009D5407">
              <w:t>red</w:t>
            </w:r>
            <w:r w:rsidR="002E2902">
              <w:t xml:space="preserve"> to </w:t>
            </w:r>
            <w:r w:rsidR="009D5407">
              <w:t xml:space="preserve">as </w:t>
            </w:r>
            <w:r w:rsidR="002E2902">
              <w:t>a pathway.</w:t>
            </w:r>
          </w:p>
        </w:tc>
      </w:tr>
      <w:tr w:rsidR="009300B2">
        <w:trPr>
          <w:cantSplit/>
        </w:trPr>
        <w:tc>
          <w:tcPr>
            <w:tcW w:w="8771" w:type="dxa"/>
            <w:tcBorders>
              <w:top w:val="nil"/>
              <w:left w:val="single" w:sz="6" w:space="0" w:color="auto"/>
              <w:bottom w:val="single" w:sz="6" w:space="0" w:color="auto"/>
              <w:right w:val="single" w:sz="6" w:space="0" w:color="auto"/>
            </w:tcBorders>
          </w:tcPr>
          <w:p w:rsidR="009300B2" w:rsidRDefault="009300B2">
            <w:pPr>
              <w:pStyle w:val="Box"/>
              <w:spacing w:before="0" w:line="120" w:lineRule="exact"/>
            </w:pPr>
          </w:p>
        </w:tc>
      </w:tr>
      <w:tr w:rsidR="009300B2" w:rsidRPr="000863A5">
        <w:tc>
          <w:tcPr>
            <w:tcW w:w="8771" w:type="dxa"/>
            <w:tcBorders>
              <w:top w:val="nil"/>
              <w:left w:val="nil"/>
              <w:bottom w:val="nil"/>
              <w:right w:val="nil"/>
            </w:tcBorders>
          </w:tcPr>
          <w:p w:rsidR="009300B2" w:rsidRPr="00626D32" w:rsidRDefault="009300B2" w:rsidP="009300B2">
            <w:pPr>
              <w:pStyle w:val="BoxSpaceBelow"/>
            </w:pPr>
          </w:p>
        </w:tc>
      </w:tr>
    </w:tbl>
    <w:p w:rsidR="00BF29A7" w:rsidRDefault="00061566" w:rsidP="00BF29A7">
      <w:pPr>
        <w:pStyle w:val="BodyText"/>
      </w:pPr>
      <w:r>
        <w:lastRenderedPageBreak/>
        <w:t>For each age segment, four or five pathways were identified</w:t>
      </w:r>
      <w:r w:rsidR="009300B2">
        <w:t xml:space="preserve"> </w:t>
      </w:r>
      <w:r w:rsidR="00BF29A7">
        <w:t>(table </w:t>
      </w:r>
      <w:r w:rsidR="00121B7F">
        <w:t>3.1</w:t>
      </w:r>
      <w:r w:rsidR="00BF29A7">
        <w:t>)</w:t>
      </w:r>
      <w:r>
        <w:t>.</w:t>
      </w:r>
      <w:r w:rsidR="00AD640C">
        <w:rPr>
          <w:rStyle w:val="FootnoteReference"/>
        </w:rPr>
        <w:footnoteReference w:id="2"/>
      </w:r>
      <w:r>
        <w:t xml:space="preserve"> </w:t>
      </w:r>
      <w:r w:rsidR="00BF29A7">
        <w:t xml:space="preserve">Some pathways with similar characteristics, such as those labelled </w:t>
      </w:r>
      <w:r w:rsidR="00BF29A7" w:rsidRPr="00AD640C">
        <w:rPr>
          <w:i/>
        </w:rPr>
        <w:t>Work</w:t>
      </w:r>
      <w:r w:rsidR="00BF29A7">
        <w:t xml:space="preserve"> or </w:t>
      </w:r>
      <w:r w:rsidR="00BF29A7" w:rsidRPr="00AD640C">
        <w:rPr>
          <w:i/>
        </w:rPr>
        <w:t>Prolonged NILF</w:t>
      </w:r>
      <w:r w:rsidR="00BF29A7">
        <w:t xml:space="preserve">, were identified in several age segments. Within each age segment, the most prevalent pathways (that is, the pathways followed by the most individuals in that age segment) were those associated with work, except among seniors for whom the </w:t>
      </w:r>
      <w:r w:rsidR="00BF29A7" w:rsidRPr="0042044F">
        <w:rPr>
          <w:i/>
        </w:rPr>
        <w:t>NILF</w:t>
      </w:r>
      <w:r w:rsidR="00BF29A7">
        <w:t xml:space="preserve"> pathway was most prevalent. All three pathways associated with education — </w:t>
      </w:r>
      <w:r w:rsidR="00BF29A7" w:rsidRPr="006871FC">
        <w:rPr>
          <w:i/>
        </w:rPr>
        <w:t xml:space="preserve">Education to </w:t>
      </w:r>
      <w:r w:rsidR="00BF29A7">
        <w:rPr>
          <w:i/>
        </w:rPr>
        <w:t>W</w:t>
      </w:r>
      <w:r w:rsidR="00BF29A7" w:rsidRPr="006871FC">
        <w:rPr>
          <w:i/>
        </w:rPr>
        <w:t>ork</w:t>
      </w:r>
      <w:r w:rsidR="00BF29A7">
        <w:t xml:space="preserve">, </w:t>
      </w:r>
      <w:r w:rsidR="00BF29A7" w:rsidRPr="006871FC">
        <w:rPr>
          <w:i/>
        </w:rPr>
        <w:t xml:space="preserve">Work and </w:t>
      </w:r>
      <w:r w:rsidR="00BF29A7">
        <w:rPr>
          <w:i/>
        </w:rPr>
        <w:t>S</w:t>
      </w:r>
      <w:r w:rsidR="00BF29A7" w:rsidRPr="006871FC">
        <w:rPr>
          <w:i/>
        </w:rPr>
        <w:t xml:space="preserve">tudy to </w:t>
      </w:r>
      <w:r w:rsidR="00BF29A7">
        <w:rPr>
          <w:i/>
        </w:rPr>
        <w:t>W</w:t>
      </w:r>
      <w:r w:rsidR="00BF29A7" w:rsidRPr="006871FC">
        <w:rPr>
          <w:i/>
        </w:rPr>
        <w:t>ork</w:t>
      </w:r>
      <w:r w:rsidR="00BF29A7">
        <w:t xml:space="preserve">, and </w:t>
      </w:r>
      <w:r w:rsidR="00BF29A7" w:rsidRPr="006871FC">
        <w:rPr>
          <w:i/>
        </w:rPr>
        <w:t>Work</w:t>
      </w:r>
      <w:r w:rsidR="00BF29A7">
        <w:rPr>
          <w:i/>
        </w:rPr>
        <w:t>,</w:t>
      </w:r>
      <w:r w:rsidR="00BF29A7" w:rsidRPr="006871FC">
        <w:rPr>
          <w:i/>
        </w:rPr>
        <w:t xml:space="preserve"> with or without </w:t>
      </w:r>
      <w:r w:rsidR="00BF29A7">
        <w:rPr>
          <w:i/>
        </w:rPr>
        <w:t>S</w:t>
      </w:r>
      <w:r w:rsidR="00BF29A7" w:rsidRPr="006871FC">
        <w:rPr>
          <w:i/>
        </w:rPr>
        <w:t>tudy</w:t>
      </w:r>
      <w:r w:rsidR="00BF29A7">
        <w:t xml:space="preserve"> — were identified for youths and, in the latter case, young adults (although this does not mean all individuals in other pathways or age segments did not undertake any education).</w:t>
      </w:r>
    </w:p>
    <w:p w:rsidR="00BF29A7" w:rsidRDefault="00BF29A7" w:rsidP="00BF29A7">
      <w:pPr>
        <w:pStyle w:val="TableTitle"/>
      </w:pPr>
      <w:r>
        <w:rPr>
          <w:b w:val="0"/>
        </w:rPr>
        <w:t xml:space="preserve">Table </w:t>
      </w:r>
      <w:bookmarkStart w:id="7" w:name="OLE_LINK1"/>
      <w:r w:rsidR="00121B7F">
        <w:rPr>
          <w:b w:val="0"/>
        </w:rPr>
        <w:t>3.</w:t>
      </w:r>
      <w:r w:rsidR="00C42746">
        <w:rPr>
          <w:b w:val="0"/>
          <w:noProof/>
        </w:rPr>
        <w:t>1</w:t>
      </w:r>
      <w:bookmarkEnd w:id="7"/>
      <w:r>
        <w:tab/>
        <w:t>Pathways and prevalence by age segment</w:t>
      </w:r>
    </w:p>
    <w:p w:rsidR="00BF29A7" w:rsidRDefault="00BF29A7" w:rsidP="00BF29A7">
      <w:pPr>
        <w:pStyle w:val="Subtitle"/>
      </w:pPr>
      <w:r>
        <w:t>Per cent of age segment</w:t>
      </w:r>
      <w:r w:rsidRPr="00DE4890">
        <w:rPr>
          <w:rStyle w:val="NoteLabel"/>
        </w:rPr>
        <w:t>a</w:t>
      </w:r>
    </w:p>
    <w:tbl>
      <w:tblPr>
        <w:tblW w:w="8789" w:type="dxa"/>
        <w:tblLayout w:type="fixed"/>
        <w:tblCellMar>
          <w:left w:w="0" w:type="dxa"/>
          <w:right w:w="0" w:type="dxa"/>
        </w:tblCellMar>
        <w:tblLook w:val="0000" w:firstRow="0" w:lastRow="0" w:firstColumn="0" w:lastColumn="0" w:noHBand="0" w:noVBand="0"/>
      </w:tblPr>
      <w:tblGrid>
        <w:gridCol w:w="2552"/>
        <w:gridCol w:w="992"/>
        <w:gridCol w:w="1275"/>
        <w:gridCol w:w="1276"/>
        <w:gridCol w:w="1276"/>
        <w:gridCol w:w="1418"/>
      </w:tblGrid>
      <w:tr w:rsidR="00BF29A7" w:rsidTr="002B66E0">
        <w:tc>
          <w:tcPr>
            <w:tcW w:w="2552" w:type="dxa"/>
            <w:tcBorders>
              <w:top w:val="single" w:sz="6" w:space="0" w:color="auto"/>
              <w:bottom w:val="single" w:sz="6" w:space="0" w:color="auto"/>
            </w:tcBorders>
            <w:shd w:val="clear" w:color="auto" w:fill="auto"/>
            <w:vAlign w:val="bottom"/>
          </w:tcPr>
          <w:p w:rsidR="00BF29A7" w:rsidRDefault="00BF29A7" w:rsidP="002B66E0">
            <w:pPr>
              <w:pStyle w:val="TableColumnHeading"/>
              <w:jc w:val="left"/>
            </w:pPr>
            <w:r>
              <w:t>Pathway</w:t>
            </w:r>
          </w:p>
        </w:tc>
        <w:tc>
          <w:tcPr>
            <w:tcW w:w="992" w:type="dxa"/>
            <w:tcBorders>
              <w:top w:val="single" w:sz="6" w:space="0" w:color="auto"/>
              <w:bottom w:val="single" w:sz="6" w:space="0" w:color="auto"/>
            </w:tcBorders>
            <w:shd w:val="clear" w:color="auto" w:fill="auto"/>
            <w:vAlign w:val="bottom"/>
          </w:tcPr>
          <w:p w:rsidR="00BF29A7" w:rsidRDefault="00BF29A7" w:rsidP="002B66E0">
            <w:pPr>
              <w:pStyle w:val="TableColumnHeading"/>
              <w:ind w:right="32"/>
            </w:pPr>
            <w:r>
              <w:t>Youths</w:t>
            </w:r>
          </w:p>
        </w:tc>
        <w:tc>
          <w:tcPr>
            <w:tcW w:w="1275" w:type="dxa"/>
            <w:tcBorders>
              <w:top w:val="single" w:sz="6" w:space="0" w:color="auto"/>
              <w:bottom w:val="single" w:sz="6" w:space="0" w:color="auto"/>
            </w:tcBorders>
            <w:shd w:val="clear" w:color="auto" w:fill="auto"/>
            <w:vAlign w:val="bottom"/>
          </w:tcPr>
          <w:p w:rsidR="00BF29A7" w:rsidRDefault="00BF29A7" w:rsidP="002B66E0">
            <w:pPr>
              <w:pStyle w:val="TableColumnHeading"/>
              <w:ind w:right="49"/>
            </w:pPr>
            <w:r>
              <w:t>Young  adults</w:t>
            </w:r>
          </w:p>
        </w:tc>
        <w:tc>
          <w:tcPr>
            <w:tcW w:w="1276" w:type="dxa"/>
            <w:tcBorders>
              <w:top w:val="single" w:sz="6" w:space="0" w:color="auto"/>
              <w:bottom w:val="single" w:sz="6" w:space="0" w:color="auto"/>
            </w:tcBorders>
            <w:shd w:val="clear" w:color="auto" w:fill="auto"/>
            <w:vAlign w:val="bottom"/>
          </w:tcPr>
          <w:p w:rsidR="00BF29A7" w:rsidRDefault="00BF29A7" w:rsidP="002B66E0">
            <w:pPr>
              <w:pStyle w:val="TableColumnHeading"/>
              <w:ind w:right="42"/>
            </w:pPr>
            <w:r>
              <w:t>Mature  adults</w:t>
            </w:r>
          </w:p>
        </w:tc>
        <w:tc>
          <w:tcPr>
            <w:tcW w:w="1276" w:type="dxa"/>
            <w:tcBorders>
              <w:top w:val="single" w:sz="6" w:space="0" w:color="auto"/>
              <w:bottom w:val="single" w:sz="6" w:space="0" w:color="auto"/>
            </w:tcBorders>
            <w:vAlign w:val="bottom"/>
          </w:tcPr>
          <w:p w:rsidR="00BF29A7" w:rsidRDefault="00BF29A7" w:rsidP="002B66E0">
            <w:pPr>
              <w:pStyle w:val="TableColumnHeading"/>
              <w:ind w:right="28"/>
            </w:pPr>
            <w:r>
              <w:t>Seniors</w:t>
            </w:r>
          </w:p>
        </w:tc>
        <w:tc>
          <w:tcPr>
            <w:tcW w:w="1418" w:type="dxa"/>
            <w:tcBorders>
              <w:top w:val="single" w:sz="6" w:space="0" w:color="auto"/>
              <w:bottom w:val="single" w:sz="6" w:space="0" w:color="auto"/>
            </w:tcBorders>
            <w:shd w:val="clear" w:color="auto" w:fill="auto"/>
            <w:vAlign w:val="bottom"/>
          </w:tcPr>
          <w:p w:rsidR="00BF29A7" w:rsidRDefault="00BF29A7" w:rsidP="002B66E0">
            <w:pPr>
              <w:pStyle w:val="TableColumnHeading"/>
              <w:ind w:right="0"/>
            </w:pPr>
            <w:r>
              <w:t>All      segments</w:t>
            </w:r>
            <w:r w:rsidRPr="008A155F">
              <w:rPr>
                <w:rStyle w:val="NoteLabel"/>
                <w:i w:val="0"/>
              </w:rPr>
              <w:t>b</w:t>
            </w:r>
          </w:p>
        </w:tc>
      </w:tr>
      <w:tr w:rsidR="00BF29A7" w:rsidTr="002B66E0">
        <w:tc>
          <w:tcPr>
            <w:tcW w:w="2552" w:type="dxa"/>
            <w:tcBorders>
              <w:top w:val="single" w:sz="6" w:space="0" w:color="auto"/>
            </w:tcBorders>
            <w:vAlign w:val="bottom"/>
          </w:tcPr>
          <w:p w:rsidR="00BF29A7" w:rsidRDefault="00BF29A7" w:rsidP="002B66E0">
            <w:pPr>
              <w:pStyle w:val="TableBodyText"/>
              <w:spacing w:before="80"/>
              <w:jc w:val="left"/>
            </w:pPr>
            <w:r>
              <w:t>Education to Work</w:t>
            </w:r>
          </w:p>
        </w:tc>
        <w:tc>
          <w:tcPr>
            <w:tcW w:w="992" w:type="dxa"/>
            <w:tcBorders>
              <w:top w:val="single" w:sz="6" w:space="0" w:color="auto"/>
            </w:tcBorders>
            <w:vAlign w:val="bottom"/>
          </w:tcPr>
          <w:p w:rsidR="00BF29A7" w:rsidRDefault="00BF29A7" w:rsidP="002B66E0">
            <w:pPr>
              <w:pStyle w:val="TableBodyText"/>
              <w:spacing w:before="80"/>
              <w:ind w:right="32"/>
            </w:pPr>
            <w:r>
              <w:t>8.2</w:t>
            </w:r>
          </w:p>
        </w:tc>
        <w:tc>
          <w:tcPr>
            <w:tcW w:w="1275" w:type="dxa"/>
            <w:tcBorders>
              <w:top w:val="single" w:sz="6" w:space="0" w:color="auto"/>
            </w:tcBorders>
            <w:vAlign w:val="bottom"/>
          </w:tcPr>
          <w:p w:rsidR="00BF29A7" w:rsidRDefault="00BF29A7" w:rsidP="002B66E0">
            <w:pPr>
              <w:pStyle w:val="TableBodyText"/>
              <w:spacing w:before="80"/>
              <w:ind w:right="49"/>
            </w:pPr>
          </w:p>
        </w:tc>
        <w:tc>
          <w:tcPr>
            <w:tcW w:w="1276" w:type="dxa"/>
            <w:tcBorders>
              <w:top w:val="single" w:sz="6" w:space="0" w:color="auto"/>
            </w:tcBorders>
            <w:vAlign w:val="bottom"/>
          </w:tcPr>
          <w:p w:rsidR="00BF29A7" w:rsidRDefault="00BF29A7" w:rsidP="002B66E0">
            <w:pPr>
              <w:pStyle w:val="TableBodyText"/>
              <w:spacing w:before="80"/>
              <w:ind w:right="42"/>
            </w:pPr>
          </w:p>
        </w:tc>
        <w:tc>
          <w:tcPr>
            <w:tcW w:w="1276" w:type="dxa"/>
            <w:tcBorders>
              <w:top w:val="single" w:sz="6" w:space="0" w:color="auto"/>
            </w:tcBorders>
            <w:vAlign w:val="bottom"/>
          </w:tcPr>
          <w:p w:rsidR="00BF29A7" w:rsidRDefault="00BF29A7" w:rsidP="002B66E0">
            <w:pPr>
              <w:pStyle w:val="TableBodyText"/>
              <w:spacing w:before="80"/>
              <w:ind w:right="28"/>
            </w:pPr>
          </w:p>
        </w:tc>
        <w:tc>
          <w:tcPr>
            <w:tcW w:w="1418" w:type="dxa"/>
            <w:tcBorders>
              <w:top w:val="single" w:sz="6" w:space="0" w:color="auto"/>
            </w:tcBorders>
            <w:vAlign w:val="bottom"/>
          </w:tcPr>
          <w:p w:rsidR="00BF29A7" w:rsidRDefault="00BF29A7" w:rsidP="002B66E0">
            <w:pPr>
              <w:pStyle w:val="TableBodyText"/>
              <w:spacing w:before="80"/>
              <w:ind w:right="96"/>
            </w:pPr>
            <w:r>
              <w:t>1.1</w:t>
            </w:r>
          </w:p>
        </w:tc>
      </w:tr>
      <w:tr w:rsidR="00BF29A7" w:rsidTr="002B66E0">
        <w:tc>
          <w:tcPr>
            <w:tcW w:w="2552" w:type="dxa"/>
            <w:vAlign w:val="bottom"/>
          </w:tcPr>
          <w:p w:rsidR="00BF29A7" w:rsidRDefault="00BF29A7" w:rsidP="002B66E0">
            <w:pPr>
              <w:pStyle w:val="TableBodyText"/>
              <w:jc w:val="left"/>
            </w:pPr>
            <w:r>
              <w:t>Work and Study to Work</w:t>
            </w:r>
          </w:p>
        </w:tc>
        <w:tc>
          <w:tcPr>
            <w:tcW w:w="992" w:type="dxa"/>
            <w:vAlign w:val="bottom"/>
          </w:tcPr>
          <w:p w:rsidR="00BF29A7" w:rsidRDefault="00BF29A7" w:rsidP="002B66E0">
            <w:pPr>
              <w:pStyle w:val="TableBodyText"/>
              <w:ind w:right="32"/>
            </w:pPr>
            <w:r>
              <w:t>13.9</w:t>
            </w:r>
          </w:p>
        </w:tc>
        <w:tc>
          <w:tcPr>
            <w:tcW w:w="1275" w:type="dxa"/>
            <w:vAlign w:val="bottom"/>
          </w:tcPr>
          <w:p w:rsidR="00BF29A7" w:rsidRDefault="00BF29A7" w:rsidP="002B66E0">
            <w:pPr>
              <w:pStyle w:val="TableBodyText"/>
              <w:ind w:right="49"/>
            </w:pPr>
          </w:p>
        </w:tc>
        <w:tc>
          <w:tcPr>
            <w:tcW w:w="1276" w:type="dxa"/>
            <w:vAlign w:val="bottom"/>
          </w:tcPr>
          <w:p w:rsidR="00BF29A7" w:rsidRDefault="00BF29A7" w:rsidP="002B66E0">
            <w:pPr>
              <w:pStyle w:val="TableBodyText"/>
              <w:ind w:right="42"/>
            </w:pPr>
          </w:p>
        </w:tc>
        <w:tc>
          <w:tcPr>
            <w:tcW w:w="1276" w:type="dxa"/>
            <w:vAlign w:val="bottom"/>
          </w:tcPr>
          <w:p w:rsidR="00BF29A7" w:rsidRDefault="00BF29A7" w:rsidP="002B66E0">
            <w:pPr>
              <w:pStyle w:val="TableBodyText"/>
              <w:ind w:right="28"/>
            </w:pPr>
          </w:p>
        </w:tc>
        <w:tc>
          <w:tcPr>
            <w:tcW w:w="1418" w:type="dxa"/>
            <w:vAlign w:val="bottom"/>
          </w:tcPr>
          <w:p w:rsidR="00BF29A7" w:rsidRDefault="00BF29A7" w:rsidP="002B66E0">
            <w:pPr>
              <w:pStyle w:val="TableBodyText"/>
              <w:ind w:right="96"/>
            </w:pPr>
            <w:r>
              <w:t>1.9</w:t>
            </w:r>
          </w:p>
        </w:tc>
      </w:tr>
      <w:tr w:rsidR="00BF29A7" w:rsidTr="002B66E0">
        <w:tc>
          <w:tcPr>
            <w:tcW w:w="2552" w:type="dxa"/>
            <w:vAlign w:val="bottom"/>
          </w:tcPr>
          <w:p w:rsidR="00BF29A7" w:rsidRDefault="00BF29A7" w:rsidP="002B66E0">
            <w:pPr>
              <w:pStyle w:val="TableBodyText"/>
              <w:jc w:val="left"/>
            </w:pPr>
            <w:r>
              <w:t>Churning with Work</w:t>
            </w:r>
          </w:p>
        </w:tc>
        <w:tc>
          <w:tcPr>
            <w:tcW w:w="992" w:type="dxa"/>
            <w:vAlign w:val="bottom"/>
          </w:tcPr>
          <w:p w:rsidR="00BF29A7" w:rsidRDefault="00BF29A7" w:rsidP="002B66E0">
            <w:pPr>
              <w:pStyle w:val="TableBodyText"/>
              <w:ind w:right="32"/>
            </w:pPr>
            <w:r>
              <w:t>51.7</w:t>
            </w:r>
          </w:p>
        </w:tc>
        <w:tc>
          <w:tcPr>
            <w:tcW w:w="1275" w:type="dxa"/>
            <w:vAlign w:val="bottom"/>
          </w:tcPr>
          <w:p w:rsidR="00BF29A7" w:rsidRDefault="00BF29A7" w:rsidP="002B66E0">
            <w:pPr>
              <w:pStyle w:val="TableBodyText"/>
              <w:ind w:right="49"/>
            </w:pPr>
          </w:p>
        </w:tc>
        <w:tc>
          <w:tcPr>
            <w:tcW w:w="1276" w:type="dxa"/>
            <w:vAlign w:val="bottom"/>
          </w:tcPr>
          <w:p w:rsidR="00BF29A7" w:rsidRDefault="00BF29A7" w:rsidP="002B66E0">
            <w:pPr>
              <w:pStyle w:val="TableBodyText"/>
              <w:ind w:right="42"/>
            </w:pPr>
          </w:p>
        </w:tc>
        <w:tc>
          <w:tcPr>
            <w:tcW w:w="1276" w:type="dxa"/>
            <w:vAlign w:val="bottom"/>
          </w:tcPr>
          <w:p w:rsidR="00BF29A7" w:rsidRDefault="00BF29A7" w:rsidP="002B66E0">
            <w:pPr>
              <w:pStyle w:val="TableBodyText"/>
              <w:ind w:right="28"/>
            </w:pPr>
          </w:p>
        </w:tc>
        <w:tc>
          <w:tcPr>
            <w:tcW w:w="1418" w:type="dxa"/>
            <w:vAlign w:val="bottom"/>
          </w:tcPr>
          <w:p w:rsidR="00BF29A7" w:rsidRDefault="00BF29A7" w:rsidP="002B66E0">
            <w:pPr>
              <w:pStyle w:val="TableBodyText"/>
              <w:ind w:right="96"/>
            </w:pPr>
            <w:r>
              <w:t>6.6</w:t>
            </w:r>
          </w:p>
        </w:tc>
      </w:tr>
      <w:tr w:rsidR="00BF29A7" w:rsidTr="002B66E0">
        <w:tc>
          <w:tcPr>
            <w:tcW w:w="2552" w:type="dxa"/>
            <w:vAlign w:val="bottom"/>
          </w:tcPr>
          <w:p w:rsidR="00BF29A7" w:rsidRDefault="00BF29A7" w:rsidP="002B66E0">
            <w:pPr>
              <w:pStyle w:val="TableBodyText"/>
              <w:ind w:right="0"/>
              <w:jc w:val="left"/>
            </w:pPr>
            <w:r>
              <w:t>Work, with or without Study</w:t>
            </w:r>
          </w:p>
        </w:tc>
        <w:tc>
          <w:tcPr>
            <w:tcW w:w="992" w:type="dxa"/>
            <w:vAlign w:val="bottom"/>
          </w:tcPr>
          <w:p w:rsidR="00BF29A7" w:rsidRDefault="00BF29A7" w:rsidP="002B66E0">
            <w:pPr>
              <w:pStyle w:val="TableBodyText"/>
              <w:ind w:right="32"/>
            </w:pPr>
            <w:r>
              <w:t>16.8</w:t>
            </w:r>
          </w:p>
        </w:tc>
        <w:tc>
          <w:tcPr>
            <w:tcW w:w="1275" w:type="dxa"/>
            <w:vAlign w:val="bottom"/>
          </w:tcPr>
          <w:p w:rsidR="00BF29A7" w:rsidRDefault="00BF29A7" w:rsidP="002B66E0">
            <w:pPr>
              <w:pStyle w:val="TableBodyText"/>
              <w:ind w:right="49"/>
            </w:pPr>
            <w:r>
              <w:t>12.4</w:t>
            </w:r>
          </w:p>
        </w:tc>
        <w:tc>
          <w:tcPr>
            <w:tcW w:w="1276" w:type="dxa"/>
            <w:vAlign w:val="bottom"/>
          </w:tcPr>
          <w:p w:rsidR="00BF29A7" w:rsidRDefault="00BF29A7" w:rsidP="002B66E0">
            <w:pPr>
              <w:pStyle w:val="TableBodyText"/>
              <w:ind w:right="42"/>
            </w:pPr>
          </w:p>
        </w:tc>
        <w:tc>
          <w:tcPr>
            <w:tcW w:w="1276" w:type="dxa"/>
            <w:vAlign w:val="bottom"/>
          </w:tcPr>
          <w:p w:rsidR="00BF29A7" w:rsidRDefault="00BF29A7" w:rsidP="002B66E0">
            <w:pPr>
              <w:pStyle w:val="TableBodyText"/>
              <w:ind w:right="28"/>
            </w:pPr>
          </w:p>
        </w:tc>
        <w:tc>
          <w:tcPr>
            <w:tcW w:w="1418" w:type="dxa"/>
            <w:vAlign w:val="bottom"/>
          </w:tcPr>
          <w:p w:rsidR="00BF29A7" w:rsidRDefault="00BF29A7" w:rsidP="002B66E0">
            <w:pPr>
              <w:pStyle w:val="TableBodyText"/>
              <w:ind w:right="0"/>
            </w:pPr>
            <w:r>
              <w:t>6.6</w:t>
            </w:r>
            <w:r w:rsidR="002B66E0">
              <w:rPr>
                <w:rStyle w:val="NoteLabel"/>
              </w:rPr>
              <w:t>c</w:t>
            </w:r>
          </w:p>
        </w:tc>
      </w:tr>
      <w:tr w:rsidR="00BF29A7" w:rsidTr="002B66E0">
        <w:tc>
          <w:tcPr>
            <w:tcW w:w="2552" w:type="dxa"/>
            <w:vAlign w:val="bottom"/>
          </w:tcPr>
          <w:p w:rsidR="00BF29A7" w:rsidRDefault="00BF29A7" w:rsidP="002B66E0">
            <w:pPr>
              <w:pStyle w:val="TableBodyText"/>
              <w:jc w:val="left"/>
            </w:pPr>
            <w:r>
              <w:t>Work</w:t>
            </w:r>
          </w:p>
        </w:tc>
        <w:tc>
          <w:tcPr>
            <w:tcW w:w="992" w:type="dxa"/>
            <w:vAlign w:val="bottom"/>
          </w:tcPr>
          <w:p w:rsidR="00BF29A7" w:rsidRDefault="00BF29A7" w:rsidP="002B66E0">
            <w:pPr>
              <w:pStyle w:val="TableBodyText"/>
              <w:ind w:right="32"/>
            </w:pPr>
          </w:p>
        </w:tc>
        <w:tc>
          <w:tcPr>
            <w:tcW w:w="1275" w:type="dxa"/>
            <w:vAlign w:val="bottom"/>
          </w:tcPr>
          <w:p w:rsidR="00BF29A7" w:rsidRDefault="00BF29A7" w:rsidP="002B66E0">
            <w:pPr>
              <w:pStyle w:val="TableBodyText"/>
              <w:ind w:right="49"/>
            </w:pPr>
            <w:r>
              <w:t>63.4</w:t>
            </w:r>
          </w:p>
        </w:tc>
        <w:tc>
          <w:tcPr>
            <w:tcW w:w="1276" w:type="dxa"/>
            <w:vAlign w:val="bottom"/>
          </w:tcPr>
          <w:p w:rsidR="00BF29A7" w:rsidRDefault="00BF29A7" w:rsidP="002B66E0">
            <w:pPr>
              <w:pStyle w:val="TableBodyText"/>
              <w:ind w:right="42"/>
            </w:pPr>
            <w:r>
              <w:t>69.2</w:t>
            </w:r>
          </w:p>
        </w:tc>
        <w:tc>
          <w:tcPr>
            <w:tcW w:w="1276" w:type="dxa"/>
            <w:vAlign w:val="bottom"/>
          </w:tcPr>
          <w:p w:rsidR="00BF29A7" w:rsidRDefault="00BF29A7" w:rsidP="002B66E0">
            <w:pPr>
              <w:pStyle w:val="TableBodyText"/>
              <w:ind w:right="28"/>
            </w:pPr>
            <w:r>
              <w:t>21.5</w:t>
            </w:r>
          </w:p>
        </w:tc>
        <w:tc>
          <w:tcPr>
            <w:tcW w:w="1418" w:type="dxa"/>
            <w:vAlign w:val="bottom"/>
          </w:tcPr>
          <w:p w:rsidR="00BF29A7" w:rsidRDefault="00BF29A7" w:rsidP="002B66E0">
            <w:pPr>
              <w:pStyle w:val="TableBodyText"/>
              <w:ind w:right="96"/>
            </w:pPr>
            <w:r>
              <w:t>50.4</w:t>
            </w:r>
          </w:p>
        </w:tc>
      </w:tr>
      <w:tr w:rsidR="00BF29A7" w:rsidTr="002B66E0">
        <w:tc>
          <w:tcPr>
            <w:tcW w:w="2552" w:type="dxa"/>
            <w:vAlign w:val="bottom"/>
          </w:tcPr>
          <w:p w:rsidR="00BF29A7" w:rsidRDefault="00BF29A7" w:rsidP="002B66E0">
            <w:pPr>
              <w:pStyle w:val="TableBodyText"/>
              <w:jc w:val="left"/>
            </w:pPr>
            <w:r>
              <w:t>Prolonged NILF</w:t>
            </w:r>
          </w:p>
        </w:tc>
        <w:tc>
          <w:tcPr>
            <w:tcW w:w="992" w:type="dxa"/>
            <w:vAlign w:val="bottom"/>
          </w:tcPr>
          <w:p w:rsidR="00BF29A7" w:rsidRDefault="00BF29A7" w:rsidP="002B66E0">
            <w:pPr>
              <w:pStyle w:val="TableBodyText"/>
              <w:ind w:right="32"/>
            </w:pPr>
            <w:r>
              <w:t>9.5</w:t>
            </w:r>
          </w:p>
        </w:tc>
        <w:tc>
          <w:tcPr>
            <w:tcW w:w="1275" w:type="dxa"/>
            <w:vAlign w:val="bottom"/>
          </w:tcPr>
          <w:p w:rsidR="00BF29A7" w:rsidRDefault="00BF29A7" w:rsidP="002B66E0">
            <w:pPr>
              <w:pStyle w:val="TableBodyText"/>
              <w:ind w:right="49"/>
            </w:pPr>
            <w:r>
              <w:t>12.0</w:t>
            </w:r>
          </w:p>
        </w:tc>
        <w:tc>
          <w:tcPr>
            <w:tcW w:w="1276" w:type="dxa"/>
            <w:vAlign w:val="bottom"/>
          </w:tcPr>
          <w:p w:rsidR="00BF29A7" w:rsidRDefault="00BF29A7" w:rsidP="002B66E0">
            <w:pPr>
              <w:pStyle w:val="TableBodyText"/>
              <w:ind w:right="42"/>
            </w:pPr>
            <w:r>
              <w:t>13.3</w:t>
            </w:r>
          </w:p>
        </w:tc>
        <w:tc>
          <w:tcPr>
            <w:tcW w:w="1276" w:type="dxa"/>
            <w:vAlign w:val="bottom"/>
          </w:tcPr>
          <w:p w:rsidR="00BF29A7" w:rsidRDefault="00BF29A7" w:rsidP="002B66E0">
            <w:pPr>
              <w:pStyle w:val="TableBodyText"/>
              <w:ind w:right="28"/>
            </w:pPr>
          </w:p>
        </w:tc>
        <w:tc>
          <w:tcPr>
            <w:tcW w:w="1418" w:type="dxa"/>
            <w:vAlign w:val="bottom"/>
          </w:tcPr>
          <w:p w:rsidR="00BF29A7" w:rsidRDefault="00BF29A7" w:rsidP="002B66E0">
            <w:pPr>
              <w:pStyle w:val="TableBodyText"/>
              <w:ind w:right="96"/>
            </w:pPr>
            <w:r>
              <w:t>10.2</w:t>
            </w:r>
          </w:p>
        </w:tc>
      </w:tr>
      <w:tr w:rsidR="00BF29A7" w:rsidTr="002B66E0">
        <w:tc>
          <w:tcPr>
            <w:tcW w:w="2552" w:type="dxa"/>
            <w:vAlign w:val="bottom"/>
          </w:tcPr>
          <w:p w:rsidR="00BF29A7" w:rsidRDefault="00BF29A7" w:rsidP="002B66E0">
            <w:pPr>
              <w:pStyle w:val="TableBodyText"/>
              <w:jc w:val="left"/>
            </w:pPr>
            <w:r>
              <w:t>NILF</w:t>
            </w:r>
          </w:p>
        </w:tc>
        <w:tc>
          <w:tcPr>
            <w:tcW w:w="992" w:type="dxa"/>
            <w:vAlign w:val="bottom"/>
          </w:tcPr>
          <w:p w:rsidR="00BF29A7" w:rsidRDefault="00BF29A7" w:rsidP="002B66E0">
            <w:pPr>
              <w:pStyle w:val="TableBodyText"/>
              <w:ind w:right="32"/>
            </w:pPr>
          </w:p>
        </w:tc>
        <w:tc>
          <w:tcPr>
            <w:tcW w:w="1275" w:type="dxa"/>
            <w:vAlign w:val="bottom"/>
          </w:tcPr>
          <w:p w:rsidR="00BF29A7" w:rsidRDefault="00BF29A7" w:rsidP="002B66E0">
            <w:pPr>
              <w:pStyle w:val="TableBodyText"/>
              <w:ind w:right="49"/>
            </w:pPr>
          </w:p>
        </w:tc>
        <w:tc>
          <w:tcPr>
            <w:tcW w:w="1276" w:type="dxa"/>
            <w:vAlign w:val="bottom"/>
          </w:tcPr>
          <w:p w:rsidR="00BF29A7" w:rsidRDefault="00BF29A7" w:rsidP="002B66E0">
            <w:pPr>
              <w:pStyle w:val="TableBodyText"/>
              <w:ind w:right="42"/>
            </w:pPr>
          </w:p>
        </w:tc>
        <w:tc>
          <w:tcPr>
            <w:tcW w:w="1276" w:type="dxa"/>
            <w:vAlign w:val="bottom"/>
          </w:tcPr>
          <w:p w:rsidR="00BF29A7" w:rsidRDefault="00BF29A7" w:rsidP="002B66E0">
            <w:pPr>
              <w:pStyle w:val="TableBodyText"/>
              <w:ind w:right="28"/>
            </w:pPr>
            <w:r>
              <w:t>51.2</w:t>
            </w:r>
          </w:p>
        </w:tc>
        <w:tc>
          <w:tcPr>
            <w:tcW w:w="1418" w:type="dxa"/>
            <w:vAlign w:val="bottom"/>
          </w:tcPr>
          <w:p w:rsidR="00BF29A7" w:rsidRDefault="00BF29A7" w:rsidP="002B66E0">
            <w:pPr>
              <w:pStyle w:val="TableBodyText"/>
              <w:ind w:right="96"/>
            </w:pPr>
            <w:r>
              <w:t>8.2</w:t>
            </w:r>
          </w:p>
        </w:tc>
      </w:tr>
      <w:tr w:rsidR="00BF29A7" w:rsidTr="002B66E0">
        <w:tc>
          <w:tcPr>
            <w:tcW w:w="2552" w:type="dxa"/>
            <w:vAlign w:val="bottom"/>
          </w:tcPr>
          <w:p w:rsidR="00BF29A7" w:rsidRDefault="00BF29A7" w:rsidP="002B66E0">
            <w:pPr>
              <w:pStyle w:val="TableBodyText"/>
              <w:jc w:val="left"/>
            </w:pPr>
            <w:r>
              <w:t>NILF to Work</w:t>
            </w:r>
          </w:p>
        </w:tc>
        <w:tc>
          <w:tcPr>
            <w:tcW w:w="992" w:type="dxa"/>
            <w:vAlign w:val="bottom"/>
          </w:tcPr>
          <w:p w:rsidR="00BF29A7" w:rsidRDefault="00BF29A7" w:rsidP="002B66E0">
            <w:pPr>
              <w:pStyle w:val="TableBodyText"/>
              <w:ind w:right="32"/>
            </w:pPr>
          </w:p>
        </w:tc>
        <w:tc>
          <w:tcPr>
            <w:tcW w:w="1275" w:type="dxa"/>
            <w:vAlign w:val="bottom"/>
          </w:tcPr>
          <w:p w:rsidR="00BF29A7" w:rsidRDefault="00BF29A7" w:rsidP="002B66E0">
            <w:pPr>
              <w:pStyle w:val="TableBodyText"/>
              <w:ind w:right="49"/>
            </w:pPr>
            <w:r>
              <w:t>12.2</w:t>
            </w:r>
          </w:p>
        </w:tc>
        <w:tc>
          <w:tcPr>
            <w:tcW w:w="1276" w:type="dxa"/>
            <w:vAlign w:val="bottom"/>
          </w:tcPr>
          <w:p w:rsidR="00BF29A7" w:rsidRDefault="00BF29A7" w:rsidP="002B66E0">
            <w:pPr>
              <w:pStyle w:val="TableBodyText"/>
              <w:ind w:right="42"/>
            </w:pPr>
            <w:r>
              <w:t>8.2</w:t>
            </w:r>
          </w:p>
        </w:tc>
        <w:tc>
          <w:tcPr>
            <w:tcW w:w="1276" w:type="dxa"/>
            <w:vAlign w:val="bottom"/>
          </w:tcPr>
          <w:p w:rsidR="00BF29A7" w:rsidRDefault="00BF29A7" w:rsidP="002B66E0">
            <w:pPr>
              <w:pStyle w:val="TableBodyText"/>
              <w:ind w:right="28"/>
            </w:pPr>
          </w:p>
        </w:tc>
        <w:tc>
          <w:tcPr>
            <w:tcW w:w="1418" w:type="dxa"/>
            <w:vAlign w:val="bottom"/>
          </w:tcPr>
          <w:p w:rsidR="00BF29A7" w:rsidRDefault="00BF29A7" w:rsidP="002B66E0">
            <w:pPr>
              <w:pStyle w:val="TableBodyText"/>
              <w:ind w:right="96"/>
            </w:pPr>
            <w:r>
              <w:t>7.2</w:t>
            </w:r>
          </w:p>
        </w:tc>
      </w:tr>
      <w:tr w:rsidR="00BF29A7" w:rsidTr="002B66E0">
        <w:tc>
          <w:tcPr>
            <w:tcW w:w="2552" w:type="dxa"/>
            <w:vAlign w:val="bottom"/>
          </w:tcPr>
          <w:p w:rsidR="00BF29A7" w:rsidRDefault="00BF29A7" w:rsidP="002B66E0">
            <w:pPr>
              <w:pStyle w:val="TableBodyText"/>
              <w:jc w:val="left"/>
            </w:pPr>
            <w:r>
              <w:t>Work to NILF</w:t>
            </w:r>
          </w:p>
        </w:tc>
        <w:tc>
          <w:tcPr>
            <w:tcW w:w="992" w:type="dxa"/>
            <w:vAlign w:val="bottom"/>
          </w:tcPr>
          <w:p w:rsidR="00BF29A7" w:rsidRDefault="00BF29A7" w:rsidP="002B66E0">
            <w:pPr>
              <w:pStyle w:val="TableBodyText"/>
              <w:ind w:right="32"/>
            </w:pPr>
          </w:p>
        </w:tc>
        <w:tc>
          <w:tcPr>
            <w:tcW w:w="1275" w:type="dxa"/>
            <w:vAlign w:val="bottom"/>
          </w:tcPr>
          <w:p w:rsidR="00BF29A7" w:rsidRDefault="00BF29A7" w:rsidP="002B66E0">
            <w:pPr>
              <w:pStyle w:val="TableBodyText"/>
              <w:ind w:right="49"/>
            </w:pPr>
          </w:p>
        </w:tc>
        <w:tc>
          <w:tcPr>
            <w:tcW w:w="1276" w:type="dxa"/>
            <w:vAlign w:val="bottom"/>
          </w:tcPr>
          <w:p w:rsidR="00BF29A7" w:rsidRDefault="00BF29A7" w:rsidP="002B66E0">
            <w:pPr>
              <w:pStyle w:val="TableBodyText"/>
              <w:ind w:right="42"/>
            </w:pPr>
            <w:r>
              <w:t>9.2</w:t>
            </w:r>
          </w:p>
        </w:tc>
        <w:tc>
          <w:tcPr>
            <w:tcW w:w="1276" w:type="dxa"/>
            <w:vAlign w:val="bottom"/>
          </w:tcPr>
          <w:p w:rsidR="00BF29A7" w:rsidRDefault="00BF29A7" w:rsidP="002B66E0">
            <w:pPr>
              <w:pStyle w:val="TableBodyText"/>
              <w:ind w:right="28"/>
            </w:pPr>
          </w:p>
        </w:tc>
        <w:tc>
          <w:tcPr>
            <w:tcW w:w="1418" w:type="dxa"/>
            <w:vAlign w:val="bottom"/>
          </w:tcPr>
          <w:p w:rsidR="00BF29A7" w:rsidRDefault="00BF29A7" w:rsidP="002B66E0">
            <w:pPr>
              <w:pStyle w:val="TableBodyText"/>
              <w:ind w:right="96"/>
            </w:pPr>
            <w:r>
              <w:t>3.3</w:t>
            </w:r>
          </w:p>
        </w:tc>
      </w:tr>
      <w:tr w:rsidR="00BF29A7" w:rsidTr="002B66E0">
        <w:tc>
          <w:tcPr>
            <w:tcW w:w="2552" w:type="dxa"/>
            <w:vAlign w:val="bottom"/>
          </w:tcPr>
          <w:p w:rsidR="00BF29A7" w:rsidRDefault="00BF29A7" w:rsidP="002B66E0">
            <w:pPr>
              <w:pStyle w:val="TableBodyText"/>
              <w:jc w:val="left"/>
            </w:pPr>
            <w:r>
              <w:t xml:space="preserve">Early Work to NILF </w:t>
            </w:r>
          </w:p>
        </w:tc>
        <w:tc>
          <w:tcPr>
            <w:tcW w:w="992" w:type="dxa"/>
            <w:vAlign w:val="bottom"/>
          </w:tcPr>
          <w:p w:rsidR="00BF29A7" w:rsidRDefault="00BF29A7" w:rsidP="002B66E0">
            <w:pPr>
              <w:pStyle w:val="TableBodyText"/>
              <w:ind w:right="32"/>
            </w:pPr>
          </w:p>
        </w:tc>
        <w:tc>
          <w:tcPr>
            <w:tcW w:w="1275" w:type="dxa"/>
            <w:vAlign w:val="bottom"/>
          </w:tcPr>
          <w:p w:rsidR="00BF29A7" w:rsidRDefault="00BF29A7" w:rsidP="002B66E0">
            <w:pPr>
              <w:pStyle w:val="TableBodyText"/>
              <w:ind w:right="49"/>
            </w:pPr>
          </w:p>
        </w:tc>
        <w:tc>
          <w:tcPr>
            <w:tcW w:w="1276" w:type="dxa"/>
            <w:vAlign w:val="bottom"/>
          </w:tcPr>
          <w:p w:rsidR="00BF29A7" w:rsidRDefault="00BF29A7" w:rsidP="002B66E0">
            <w:pPr>
              <w:pStyle w:val="TableBodyText"/>
              <w:ind w:right="42"/>
            </w:pPr>
          </w:p>
        </w:tc>
        <w:tc>
          <w:tcPr>
            <w:tcW w:w="1276" w:type="dxa"/>
            <w:vAlign w:val="bottom"/>
          </w:tcPr>
          <w:p w:rsidR="00BF29A7" w:rsidRDefault="00BF29A7" w:rsidP="002B66E0">
            <w:pPr>
              <w:pStyle w:val="TableBodyText"/>
              <w:ind w:right="28"/>
            </w:pPr>
            <w:r>
              <w:t>13.5</w:t>
            </w:r>
          </w:p>
        </w:tc>
        <w:tc>
          <w:tcPr>
            <w:tcW w:w="1418" w:type="dxa"/>
            <w:vAlign w:val="bottom"/>
          </w:tcPr>
          <w:p w:rsidR="00BF29A7" w:rsidRDefault="00BF29A7" w:rsidP="002B66E0">
            <w:pPr>
              <w:pStyle w:val="TableBodyText"/>
              <w:ind w:right="96"/>
            </w:pPr>
            <w:r>
              <w:t>2.1</w:t>
            </w:r>
          </w:p>
        </w:tc>
      </w:tr>
      <w:tr w:rsidR="00BF29A7" w:rsidTr="002B66E0">
        <w:tc>
          <w:tcPr>
            <w:tcW w:w="2552" w:type="dxa"/>
            <w:shd w:val="clear" w:color="auto" w:fill="auto"/>
            <w:vAlign w:val="bottom"/>
          </w:tcPr>
          <w:p w:rsidR="00BF29A7" w:rsidRDefault="00BF29A7" w:rsidP="002B66E0">
            <w:pPr>
              <w:pStyle w:val="TableBodyText"/>
              <w:jc w:val="left"/>
            </w:pPr>
            <w:r>
              <w:t>Later Work to NILF</w:t>
            </w:r>
          </w:p>
        </w:tc>
        <w:tc>
          <w:tcPr>
            <w:tcW w:w="992" w:type="dxa"/>
            <w:shd w:val="clear" w:color="auto" w:fill="auto"/>
            <w:vAlign w:val="bottom"/>
          </w:tcPr>
          <w:p w:rsidR="00BF29A7" w:rsidRDefault="00BF29A7" w:rsidP="002B66E0">
            <w:pPr>
              <w:pStyle w:val="TableBodyText"/>
              <w:ind w:right="32"/>
            </w:pPr>
          </w:p>
        </w:tc>
        <w:tc>
          <w:tcPr>
            <w:tcW w:w="1275" w:type="dxa"/>
            <w:shd w:val="clear" w:color="auto" w:fill="auto"/>
            <w:vAlign w:val="bottom"/>
          </w:tcPr>
          <w:p w:rsidR="00BF29A7" w:rsidRDefault="00BF29A7" w:rsidP="002B66E0">
            <w:pPr>
              <w:pStyle w:val="TableBodyText"/>
              <w:ind w:right="49"/>
            </w:pPr>
          </w:p>
        </w:tc>
        <w:tc>
          <w:tcPr>
            <w:tcW w:w="1276" w:type="dxa"/>
            <w:shd w:val="clear" w:color="auto" w:fill="auto"/>
            <w:vAlign w:val="bottom"/>
          </w:tcPr>
          <w:p w:rsidR="00BF29A7" w:rsidRDefault="00BF29A7" w:rsidP="002B66E0">
            <w:pPr>
              <w:pStyle w:val="TableBodyText"/>
              <w:ind w:right="42"/>
            </w:pPr>
          </w:p>
        </w:tc>
        <w:tc>
          <w:tcPr>
            <w:tcW w:w="1276" w:type="dxa"/>
            <w:vAlign w:val="bottom"/>
          </w:tcPr>
          <w:p w:rsidR="00BF29A7" w:rsidRDefault="00BF29A7" w:rsidP="002B66E0">
            <w:pPr>
              <w:pStyle w:val="TableBodyText"/>
              <w:ind w:right="28"/>
            </w:pPr>
            <w:r>
              <w:t>13.8</w:t>
            </w:r>
          </w:p>
        </w:tc>
        <w:tc>
          <w:tcPr>
            <w:tcW w:w="1418" w:type="dxa"/>
            <w:shd w:val="clear" w:color="auto" w:fill="auto"/>
            <w:vAlign w:val="bottom"/>
          </w:tcPr>
          <w:p w:rsidR="00BF29A7" w:rsidRDefault="00BF29A7" w:rsidP="002B66E0">
            <w:pPr>
              <w:pStyle w:val="TableBodyText"/>
              <w:ind w:right="96"/>
            </w:pPr>
            <w:r>
              <w:t>2.2</w:t>
            </w:r>
          </w:p>
        </w:tc>
      </w:tr>
      <w:tr w:rsidR="00BF29A7" w:rsidTr="002B66E0">
        <w:tc>
          <w:tcPr>
            <w:tcW w:w="2552" w:type="dxa"/>
            <w:tcBorders>
              <w:bottom w:val="single" w:sz="6" w:space="0" w:color="auto"/>
            </w:tcBorders>
            <w:shd w:val="clear" w:color="auto" w:fill="auto"/>
            <w:vAlign w:val="bottom"/>
          </w:tcPr>
          <w:p w:rsidR="00BF29A7" w:rsidRDefault="00BF29A7" w:rsidP="002B66E0">
            <w:pPr>
              <w:pStyle w:val="TableBodyText"/>
              <w:jc w:val="left"/>
            </w:pPr>
            <w:r>
              <w:t>Total</w:t>
            </w:r>
          </w:p>
        </w:tc>
        <w:tc>
          <w:tcPr>
            <w:tcW w:w="992" w:type="dxa"/>
            <w:tcBorders>
              <w:bottom w:val="single" w:sz="6" w:space="0" w:color="auto"/>
            </w:tcBorders>
            <w:shd w:val="clear" w:color="auto" w:fill="auto"/>
            <w:vAlign w:val="bottom"/>
          </w:tcPr>
          <w:p w:rsidR="00BF29A7" w:rsidRDefault="00BF29A7" w:rsidP="002B66E0">
            <w:pPr>
              <w:pStyle w:val="TableBodyText"/>
              <w:ind w:right="32"/>
            </w:pPr>
            <w:r>
              <w:t>100.0</w:t>
            </w:r>
          </w:p>
        </w:tc>
        <w:tc>
          <w:tcPr>
            <w:tcW w:w="1275" w:type="dxa"/>
            <w:tcBorders>
              <w:bottom w:val="single" w:sz="6" w:space="0" w:color="auto"/>
            </w:tcBorders>
            <w:shd w:val="clear" w:color="auto" w:fill="auto"/>
            <w:vAlign w:val="bottom"/>
          </w:tcPr>
          <w:p w:rsidR="00BF29A7" w:rsidRDefault="00BF29A7" w:rsidP="002B66E0">
            <w:pPr>
              <w:pStyle w:val="TableBodyText"/>
              <w:ind w:right="49"/>
            </w:pPr>
            <w:r>
              <w:t>100.0</w:t>
            </w:r>
          </w:p>
        </w:tc>
        <w:tc>
          <w:tcPr>
            <w:tcW w:w="1276" w:type="dxa"/>
            <w:tcBorders>
              <w:bottom w:val="single" w:sz="6" w:space="0" w:color="auto"/>
            </w:tcBorders>
            <w:shd w:val="clear" w:color="auto" w:fill="auto"/>
            <w:vAlign w:val="bottom"/>
          </w:tcPr>
          <w:p w:rsidR="00BF29A7" w:rsidRDefault="00BF29A7" w:rsidP="002B66E0">
            <w:pPr>
              <w:pStyle w:val="TableBodyText"/>
              <w:ind w:right="42"/>
            </w:pPr>
            <w:r>
              <w:t>100.0</w:t>
            </w:r>
          </w:p>
        </w:tc>
        <w:tc>
          <w:tcPr>
            <w:tcW w:w="1276" w:type="dxa"/>
            <w:tcBorders>
              <w:bottom w:val="single" w:sz="6" w:space="0" w:color="auto"/>
            </w:tcBorders>
            <w:vAlign w:val="bottom"/>
          </w:tcPr>
          <w:p w:rsidR="00BF29A7" w:rsidRDefault="00BF29A7" w:rsidP="002B66E0">
            <w:pPr>
              <w:pStyle w:val="TableBodyText"/>
              <w:ind w:right="28"/>
            </w:pPr>
            <w:r>
              <w:t>100.0</w:t>
            </w:r>
          </w:p>
        </w:tc>
        <w:tc>
          <w:tcPr>
            <w:tcW w:w="1418" w:type="dxa"/>
            <w:tcBorders>
              <w:bottom w:val="single" w:sz="6" w:space="0" w:color="auto"/>
            </w:tcBorders>
            <w:shd w:val="clear" w:color="auto" w:fill="auto"/>
            <w:vAlign w:val="bottom"/>
          </w:tcPr>
          <w:p w:rsidR="00BF29A7" w:rsidRDefault="00BF29A7" w:rsidP="002B66E0">
            <w:pPr>
              <w:pStyle w:val="TableBodyText"/>
              <w:ind w:right="96"/>
            </w:pPr>
            <w:r>
              <w:t>100.0</w:t>
            </w:r>
          </w:p>
        </w:tc>
      </w:tr>
    </w:tbl>
    <w:p w:rsidR="00BF29A7" w:rsidRDefault="00BF29A7" w:rsidP="00BF29A7">
      <w:pPr>
        <w:pStyle w:val="Note"/>
        <w:keepNext/>
      </w:pPr>
      <w:r>
        <w:rPr>
          <w:rStyle w:val="NoteLabel"/>
        </w:rPr>
        <w:t>a</w:t>
      </w:r>
      <w:r>
        <w:t> For some age segments, pathway shares may not add to 100 due to rounding.  </w:t>
      </w:r>
      <w:r>
        <w:rPr>
          <w:rStyle w:val="NoteLabel"/>
        </w:rPr>
        <w:t>b</w:t>
      </w:r>
      <w:r>
        <w:t> Pathway share (combining all four age segments) in the total sample.</w:t>
      </w:r>
      <w:r w:rsidRPr="00917A4F">
        <w:t xml:space="preserve"> </w:t>
      </w:r>
      <w:r>
        <w:t>  </w:t>
      </w:r>
      <w:r>
        <w:rPr>
          <w:rStyle w:val="NoteLabel"/>
        </w:rPr>
        <w:t>c</w:t>
      </w:r>
      <w:r>
        <w:t> This pathway is likely to represent transitions from education to work for youths, and (subsequent) re-entry to education for young adults.</w:t>
      </w:r>
    </w:p>
    <w:p w:rsidR="00BF29A7" w:rsidRDefault="00BF29A7" w:rsidP="00BF29A7">
      <w:pPr>
        <w:pStyle w:val="Source"/>
      </w:pPr>
      <w:r>
        <w:rPr>
          <w:i/>
        </w:rPr>
        <w:t>Source</w:t>
      </w:r>
      <w:r>
        <w:t xml:space="preserve">: </w:t>
      </w:r>
      <w:r w:rsidR="005C3704">
        <w:t xml:space="preserve">Authors’ estimates </w:t>
      </w:r>
      <w:r>
        <w:t>based on HILDA waves 1–10.</w:t>
      </w:r>
    </w:p>
    <w:p w:rsidR="002B66E0" w:rsidRDefault="00F86B1E" w:rsidP="00BF29A7">
      <w:pPr>
        <w:pStyle w:val="BodyText"/>
      </w:pPr>
      <w:r>
        <w:t>The p</w:t>
      </w:r>
      <w:r w:rsidR="00BF29A7">
        <w:t xml:space="preserve">athways in each age segment have distinct characteristics in terms of how much </w:t>
      </w:r>
      <w:r>
        <w:t xml:space="preserve">of the ten-year period </w:t>
      </w:r>
      <w:r w:rsidR="00BF29A7">
        <w:t>individuals spent in each activity (figure </w:t>
      </w:r>
      <w:r w:rsidR="00121B7F">
        <w:t>3.1</w:t>
      </w:r>
      <w:r w:rsidR="00BF29A7">
        <w:t xml:space="preserve">). </w:t>
      </w:r>
      <w:r w:rsidR="002B66E0">
        <w:t>More detailed results show that:</w:t>
      </w:r>
    </w:p>
    <w:p w:rsidR="002B66E0" w:rsidRDefault="00FA5C96" w:rsidP="002B66E0">
      <w:pPr>
        <w:pStyle w:val="ListBullet"/>
      </w:pPr>
      <w:r>
        <w:t xml:space="preserve">For youths, three pathways </w:t>
      </w:r>
      <w:r w:rsidR="002B66E0">
        <w:t>are</w:t>
      </w:r>
      <w:r>
        <w:t xml:space="preserve"> associated with transitions from education to work, one is characterised by work (although for many youth</w:t>
      </w:r>
      <w:r w:rsidR="00126565">
        <w:t>s</w:t>
      </w:r>
      <w:r>
        <w:t xml:space="preserve"> there is instability as spells of work are often interspersed with other activities — referred to as </w:t>
      </w:r>
      <w:r w:rsidR="009D5407">
        <w:t>‘</w:t>
      </w:r>
      <w:r>
        <w:t>churning</w:t>
      </w:r>
      <w:r w:rsidR="009D5407">
        <w:t>’</w:t>
      </w:r>
      <w:r>
        <w:t xml:space="preserve">), and one pathway consists of prolonged periods of NILF. </w:t>
      </w:r>
    </w:p>
    <w:p w:rsidR="002B66E0" w:rsidRDefault="002B66E0" w:rsidP="002B66E0">
      <w:pPr>
        <w:pStyle w:val="ListBullet"/>
      </w:pPr>
      <w:r>
        <w:lastRenderedPageBreak/>
        <w:t>Of the f</w:t>
      </w:r>
      <w:r w:rsidR="00FA5C96">
        <w:t>our pathways identified for young adults</w:t>
      </w:r>
      <w:r>
        <w:t>,</w:t>
      </w:r>
      <w:r w:rsidR="00FA5C96">
        <w:t xml:space="preserve"> two </w:t>
      </w:r>
      <w:r>
        <w:t xml:space="preserve">are </w:t>
      </w:r>
      <w:r w:rsidR="009D5407">
        <w:t xml:space="preserve">characterised </w:t>
      </w:r>
      <w:r w:rsidR="00FA5C96">
        <w:t xml:space="preserve">by work, one </w:t>
      </w:r>
      <w:r>
        <w:t xml:space="preserve">is </w:t>
      </w:r>
      <w:r w:rsidR="00FA5C96">
        <w:t xml:space="preserve">associated with prolonged periods </w:t>
      </w:r>
      <w:r w:rsidR="00CF5E09">
        <w:t>of</w:t>
      </w:r>
      <w:r w:rsidR="00FA5C96">
        <w:t xml:space="preserve"> NILF and one involv</w:t>
      </w:r>
      <w:r>
        <w:t>es</w:t>
      </w:r>
      <w:r w:rsidR="00FA5C96">
        <w:t xml:space="preserve"> transition</w:t>
      </w:r>
      <w:r>
        <w:t>s</w:t>
      </w:r>
      <w:r w:rsidR="00FA5C96">
        <w:t xml:space="preserve"> from NILF to work.</w:t>
      </w:r>
      <w:r w:rsidR="00C848D6">
        <w:t xml:space="preserve"> </w:t>
      </w:r>
    </w:p>
    <w:p w:rsidR="002B66E0" w:rsidRDefault="00C848D6" w:rsidP="002B66E0">
      <w:pPr>
        <w:pStyle w:val="ListBullet"/>
      </w:pPr>
      <w:r>
        <w:t xml:space="preserve">Mature adults </w:t>
      </w:r>
      <w:r w:rsidR="002B66E0">
        <w:t>are</w:t>
      </w:r>
      <w:r>
        <w:t xml:space="preserve"> grouped into four pathways associated with work, NILF or a transition between the two. </w:t>
      </w:r>
    </w:p>
    <w:p w:rsidR="00C848D6" w:rsidRDefault="00C848D6" w:rsidP="002B66E0">
      <w:pPr>
        <w:pStyle w:val="ListBullet"/>
      </w:pPr>
      <w:r>
        <w:t xml:space="preserve">The four pathways for seniors </w:t>
      </w:r>
      <w:r w:rsidR="002B66E0">
        <w:t>a</w:t>
      </w:r>
      <w:r>
        <w:t>re associated with work, NILF or a transition from work to NILF.</w:t>
      </w:r>
    </w:p>
    <w:p w:rsidR="00846982" w:rsidRDefault="00846982" w:rsidP="00846982">
      <w:pPr>
        <w:pStyle w:val="FigureTitle"/>
      </w:pPr>
      <w:r>
        <w:rPr>
          <w:b w:val="0"/>
        </w:rPr>
        <w:t xml:space="preserve">Figure </w:t>
      </w:r>
      <w:bookmarkStart w:id="8" w:name="OLE_LINK19"/>
      <w:r w:rsidR="00121B7F">
        <w:rPr>
          <w:b w:val="0"/>
        </w:rPr>
        <w:t>3.</w:t>
      </w:r>
      <w:r w:rsidR="00C42746">
        <w:rPr>
          <w:b w:val="0"/>
          <w:noProof/>
        </w:rPr>
        <w:t>1</w:t>
      </w:r>
      <w:bookmarkEnd w:id="8"/>
      <w:r>
        <w:tab/>
        <w:t>Average time allocation, by activity, pathway and age segment</w:t>
      </w:r>
    </w:p>
    <w:p w:rsidR="00846982" w:rsidRDefault="00846982" w:rsidP="00846982">
      <w:pPr>
        <w:pStyle w:val="Subtitle"/>
      </w:pPr>
      <w:r>
        <w:t>Per cent of time</w:t>
      </w:r>
      <w:r>
        <w:rPr>
          <w:rStyle w:val="NoteLabel"/>
        </w:rPr>
        <w:t>a</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846982" w:rsidTr="002B66E0">
        <w:tc>
          <w:tcPr>
            <w:tcW w:w="8777" w:type="dxa"/>
          </w:tcPr>
          <w:p w:rsidR="00846982" w:rsidRDefault="008B4735" w:rsidP="002B66E0">
            <w:pPr>
              <w:pStyle w:val="Figure"/>
            </w:pPr>
            <w:r>
              <w:rPr>
                <w:noProof/>
              </w:rPr>
              <w:drawing>
                <wp:inline distT="0" distB="0" distL="0" distR="0" wp14:anchorId="3D373395" wp14:editId="09C2ABD5">
                  <wp:extent cx="5133976" cy="5256838"/>
                  <wp:effectExtent l="0" t="0" r="0" b="0"/>
                  <wp:docPr id="3" name="Picture 3" descr="Figure 3.1. Average time allocation, by activity, pathway and age seg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3976" cy="5256838"/>
                          </a:xfrm>
                          <a:prstGeom prst="rect">
                            <a:avLst/>
                          </a:prstGeom>
                          <a:noFill/>
                          <a:ln>
                            <a:noFill/>
                          </a:ln>
                        </pic:spPr>
                      </pic:pic>
                    </a:graphicData>
                  </a:graphic>
                </wp:inline>
              </w:drawing>
            </w:r>
          </w:p>
        </w:tc>
      </w:tr>
    </w:tbl>
    <w:p w:rsidR="00846982" w:rsidRDefault="00846982" w:rsidP="00846982">
      <w:pPr>
        <w:pStyle w:val="Note"/>
      </w:pPr>
      <w:r>
        <w:rPr>
          <w:rStyle w:val="NoteLabel"/>
        </w:rPr>
        <w:t>a</w:t>
      </w:r>
      <w:r>
        <w:t xml:space="preserve"> </w:t>
      </w:r>
      <w:r w:rsidR="00E226CA">
        <w:t>T</w:t>
      </w:r>
      <w:r>
        <w:t xml:space="preserve">he time allocation for </w:t>
      </w:r>
      <w:r w:rsidR="00A01107">
        <w:t xml:space="preserve">each activity </w:t>
      </w:r>
      <w:r>
        <w:t xml:space="preserve">represents </w:t>
      </w:r>
      <w:r w:rsidR="00A01107">
        <w:t>the total percentage of the ten-year period spent undertaking that activity, averaged over individuals in that age segment and pathway. The average time that individuals spent on an activity is not necessarily one continuous stretch</w:t>
      </w:r>
      <w:r w:rsidR="002B66E0">
        <w:t xml:space="preserve"> and the ordering of activities shown is not related to the underlying patterns in the sequences</w:t>
      </w:r>
      <w:r w:rsidR="00A01107">
        <w:t>.</w:t>
      </w:r>
      <w:r w:rsidR="00E226CA">
        <w:t xml:space="preserve"> Pathway prevalence (table 3.1) shown in brackets.</w:t>
      </w:r>
    </w:p>
    <w:p w:rsidR="00846982" w:rsidRDefault="00846982" w:rsidP="00846982">
      <w:pPr>
        <w:pStyle w:val="Source"/>
      </w:pPr>
      <w:r>
        <w:rPr>
          <w:i/>
        </w:rPr>
        <w:t>Data source</w:t>
      </w:r>
      <w:r w:rsidRPr="00167F06">
        <w:t xml:space="preserve">: </w:t>
      </w:r>
      <w:r w:rsidR="005C3704">
        <w:t>Authors’</w:t>
      </w:r>
      <w:r>
        <w:t xml:space="preserve"> estimates based on HILDA waves 1–10.</w:t>
      </w:r>
    </w:p>
    <w:p w:rsidR="002B66E0" w:rsidRDefault="002B66E0" w:rsidP="00FB1964">
      <w:pPr>
        <w:pStyle w:val="BodyText"/>
      </w:pPr>
      <w:bookmarkStart w:id="9" w:name="OLE_LINK3"/>
      <w:r>
        <w:lastRenderedPageBreak/>
        <w:t>More generally</w:t>
      </w:r>
      <w:r w:rsidR="00FB1964">
        <w:t xml:space="preserve">, the pathways showed there were several key patterns in activities among the working-age population. </w:t>
      </w:r>
      <w:r w:rsidR="007E66C2">
        <w:t>Some individuals spent ten years continuously in the same activity. For example, although still of working age, 8 per cent of the sample were already retired in 2000 (last column, table 3.1).</w:t>
      </w:r>
      <w:r w:rsidR="005719B7">
        <w:t xml:space="preserve"> Another 51</w:t>
      </w:r>
      <w:r w:rsidR="007E66C2">
        <w:t xml:space="preserve"> per cent spent most of their time in work; comprising 21 per cent (not shown) who were always in employment and 30 per cent </w:t>
      </w:r>
      <w:r w:rsidR="005719B7">
        <w:t xml:space="preserve">(not shown) </w:t>
      </w:r>
      <w:r w:rsidR="007E66C2">
        <w:t xml:space="preserve">who undertook other activities some of the time. </w:t>
      </w:r>
      <w:r w:rsidR="000017D9">
        <w:t>Other key patterns were</w:t>
      </w:r>
      <w:r w:rsidR="007E66C2">
        <w:t>:</w:t>
      </w:r>
    </w:p>
    <w:p w:rsidR="007E66C2" w:rsidRDefault="000017D9" w:rsidP="007E66C2">
      <w:pPr>
        <w:pStyle w:val="ListBullet"/>
      </w:pPr>
      <w:r>
        <w:t>7 per cent of</w:t>
      </w:r>
      <w:r w:rsidR="00FB1964">
        <w:t xml:space="preserve"> individuals had a tenuous attachment to the labour force, churning frequently </w:t>
      </w:r>
      <w:r w:rsidR="007E66C2">
        <w:t>in and out of the labour force</w:t>
      </w:r>
    </w:p>
    <w:p w:rsidR="007E66C2" w:rsidRDefault="00FB1964" w:rsidP="007E66C2">
      <w:pPr>
        <w:pStyle w:val="ListBullet"/>
      </w:pPr>
      <w:r>
        <w:t>5</w:t>
      </w:r>
      <w:r w:rsidR="007E66C2">
        <w:t xml:space="preserve"> </w:t>
      </w:r>
      <w:r>
        <w:t>per</w:t>
      </w:r>
      <w:r w:rsidR="007E66C2">
        <w:t xml:space="preserve"> </w:t>
      </w:r>
      <w:r>
        <w:t>cen</w:t>
      </w:r>
      <w:r w:rsidR="007E66C2">
        <w:t>t moved from education to work</w:t>
      </w:r>
    </w:p>
    <w:p w:rsidR="007E66C2" w:rsidRDefault="00FB1964" w:rsidP="007E66C2">
      <w:pPr>
        <w:pStyle w:val="ListBullet"/>
      </w:pPr>
      <w:r>
        <w:t>4 per cent returned to education and spent long</w:t>
      </w:r>
      <w:r w:rsidR="007E66C2">
        <w:t xml:space="preserve"> periods studying while working</w:t>
      </w:r>
    </w:p>
    <w:p w:rsidR="007E66C2" w:rsidRDefault="00FB1964" w:rsidP="007E66C2">
      <w:pPr>
        <w:pStyle w:val="ListBullet"/>
      </w:pPr>
      <w:r>
        <w:t>10 per cent spent several years outside the labour force (mostly raising ch</w:t>
      </w:r>
      <w:r w:rsidR="007E66C2">
        <w:t>ildren)</w:t>
      </w:r>
    </w:p>
    <w:p w:rsidR="007E66C2" w:rsidRDefault="007E66C2" w:rsidP="007E66C2">
      <w:pPr>
        <w:pStyle w:val="ListBullet"/>
      </w:pPr>
      <w:r>
        <w:t xml:space="preserve">7 per cent </w:t>
      </w:r>
      <w:r w:rsidR="000017D9">
        <w:t>transitioned to work, having been outside the labour force</w:t>
      </w:r>
    </w:p>
    <w:p w:rsidR="00FB1964" w:rsidRPr="00FB1964" w:rsidRDefault="00FB1964" w:rsidP="007E66C2">
      <w:pPr>
        <w:pStyle w:val="ListBullet"/>
      </w:pPr>
      <w:r>
        <w:t>8</w:t>
      </w:r>
      <w:r w:rsidR="007E66C2">
        <w:t xml:space="preserve"> </w:t>
      </w:r>
      <w:r>
        <w:t>per cent transitioned to retirement</w:t>
      </w:r>
      <w:r w:rsidR="000017D9">
        <w:t xml:space="preserve"> (table 3.1)</w:t>
      </w:r>
      <w:r>
        <w:t>.</w:t>
      </w:r>
    </w:p>
    <w:p w:rsidR="007852B8" w:rsidRDefault="00121B7F" w:rsidP="00F11ADE">
      <w:pPr>
        <w:pStyle w:val="Heading2"/>
      </w:pPr>
      <w:bookmarkStart w:id="10" w:name="OLE_LINK7"/>
      <w:r>
        <w:t>3.</w:t>
      </w:r>
      <w:r w:rsidR="00C42746">
        <w:rPr>
          <w:noProof/>
        </w:rPr>
        <w:t>2</w:t>
      </w:r>
      <w:bookmarkEnd w:id="9"/>
      <w:bookmarkEnd w:id="10"/>
      <w:r w:rsidR="00F11ADE">
        <w:tab/>
      </w:r>
      <w:r w:rsidR="009B4168">
        <w:t>Selected pathways</w:t>
      </w:r>
    </w:p>
    <w:p w:rsidR="00436C53" w:rsidRDefault="000827CA" w:rsidP="00C231D7">
      <w:pPr>
        <w:pStyle w:val="BodyText"/>
      </w:pPr>
      <w:r>
        <w:t xml:space="preserve">For each of the 17 pathways identified, detailed results </w:t>
      </w:r>
      <w:r w:rsidR="00B369B6">
        <w:t xml:space="preserve">describing characteristics of the individuals and their activity patterns </w:t>
      </w:r>
      <w:r>
        <w:t>provide an interesting story of labour market transitions and interactions with the education syste</w:t>
      </w:r>
      <w:r w:rsidR="00B369B6">
        <w:t xml:space="preserve">m. </w:t>
      </w:r>
      <w:r w:rsidR="00993CAC">
        <w:t xml:space="preserve">As an illustration, </w:t>
      </w:r>
      <w:r w:rsidR="001C6C5B">
        <w:t xml:space="preserve">six of the pathways are </w:t>
      </w:r>
      <w:r w:rsidR="00993CAC">
        <w:t>consider</w:t>
      </w:r>
      <w:r w:rsidR="001C6C5B">
        <w:t>ed</w:t>
      </w:r>
      <w:r w:rsidR="00993CAC">
        <w:t xml:space="preserve"> in detail</w:t>
      </w:r>
      <w:r w:rsidR="00436C53">
        <w:t>:</w:t>
      </w:r>
    </w:p>
    <w:p w:rsidR="00436C53" w:rsidRDefault="001E373C" w:rsidP="00436C53">
      <w:pPr>
        <w:pStyle w:val="ListBullet"/>
      </w:pPr>
      <w:r>
        <w:t>y</w:t>
      </w:r>
      <w:r w:rsidR="00436C53">
        <w:t xml:space="preserve">ouths in </w:t>
      </w:r>
      <w:r w:rsidR="00436C53" w:rsidRPr="003B21DA">
        <w:rPr>
          <w:i/>
        </w:rPr>
        <w:t>Work and Study to Work</w:t>
      </w:r>
      <w:r w:rsidR="00436C53">
        <w:t xml:space="preserve"> </w:t>
      </w:r>
      <w:r w:rsidR="003C2423">
        <w:t xml:space="preserve">and </w:t>
      </w:r>
      <w:r w:rsidR="003C2423" w:rsidRPr="003C2423">
        <w:rPr>
          <w:i/>
        </w:rPr>
        <w:t>C</w:t>
      </w:r>
      <w:r w:rsidR="003C2423">
        <w:rPr>
          <w:i/>
        </w:rPr>
        <w:t>hurning with W</w:t>
      </w:r>
      <w:r w:rsidR="003C2423" w:rsidRPr="003C2423">
        <w:rPr>
          <w:i/>
        </w:rPr>
        <w:t>ork</w:t>
      </w:r>
    </w:p>
    <w:p w:rsidR="00436C53" w:rsidRDefault="001E373C" w:rsidP="00436C53">
      <w:pPr>
        <w:pStyle w:val="ListBullet"/>
      </w:pPr>
      <w:r>
        <w:t>y</w:t>
      </w:r>
      <w:r w:rsidR="00436C53">
        <w:t xml:space="preserve">oung adults in </w:t>
      </w:r>
      <w:r w:rsidR="003C2423" w:rsidRPr="003C2423">
        <w:rPr>
          <w:i/>
        </w:rPr>
        <w:t>Work</w:t>
      </w:r>
      <w:r w:rsidR="003C2423">
        <w:t xml:space="preserve"> and </w:t>
      </w:r>
      <w:r w:rsidR="003C2423" w:rsidRPr="003C2423">
        <w:rPr>
          <w:i/>
        </w:rPr>
        <w:t>NILF to Work</w:t>
      </w:r>
      <w:r w:rsidR="003C2423">
        <w:t xml:space="preserve"> </w:t>
      </w:r>
    </w:p>
    <w:p w:rsidR="00436C53" w:rsidRDefault="001E373C" w:rsidP="00436C53">
      <w:pPr>
        <w:pStyle w:val="ListBullet"/>
      </w:pPr>
      <w:r>
        <w:t>m</w:t>
      </w:r>
      <w:r w:rsidR="003C2423">
        <w:t>ature adults</w:t>
      </w:r>
      <w:r w:rsidR="00436C53">
        <w:t xml:space="preserve"> in </w:t>
      </w:r>
      <w:r w:rsidR="003C2423" w:rsidRPr="003C2423">
        <w:rPr>
          <w:i/>
        </w:rPr>
        <w:t>Work to NILF</w:t>
      </w:r>
      <w:r w:rsidR="003C2423">
        <w:t xml:space="preserve"> </w:t>
      </w:r>
    </w:p>
    <w:p w:rsidR="00436C53" w:rsidRDefault="001E373C" w:rsidP="00436C53">
      <w:pPr>
        <w:pStyle w:val="ListBullet"/>
      </w:pPr>
      <w:r>
        <w:t>s</w:t>
      </w:r>
      <w:r w:rsidR="00436C53">
        <w:t xml:space="preserve">eniors in </w:t>
      </w:r>
      <w:r w:rsidR="003C2423" w:rsidRPr="003C2423">
        <w:rPr>
          <w:i/>
        </w:rPr>
        <w:t>Work</w:t>
      </w:r>
      <w:r w:rsidR="003C2423">
        <w:t>.</w:t>
      </w:r>
    </w:p>
    <w:p w:rsidR="00C231D7" w:rsidRDefault="00C231D7" w:rsidP="00C231D7">
      <w:pPr>
        <w:pStyle w:val="BodyText"/>
      </w:pPr>
      <w:r>
        <w:t xml:space="preserve">Results for the other </w:t>
      </w:r>
      <w:r w:rsidR="005F7E02">
        <w:t xml:space="preserve">11 </w:t>
      </w:r>
      <w:r>
        <w:t>pathways are contained in appendix</w:t>
      </w:r>
      <w:r w:rsidR="00327397">
        <w:t> </w:t>
      </w:r>
      <w:r>
        <w:t>C.</w:t>
      </w:r>
    </w:p>
    <w:p w:rsidR="00384A66" w:rsidRDefault="00B369B6" w:rsidP="00E11B3E">
      <w:pPr>
        <w:pStyle w:val="BodyText"/>
      </w:pPr>
      <w:r>
        <w:t xml:space="preserve">For each pathway, two charts and two tables are </w:t>
      </w:r>
      <w:r w:rsidR="005F7E02">
        <w:t>presented</w:t>
      </w:r>
      <w:r>
        <w:t>.</w:t>
      </w:r>
      <w:r w:rsidR="00C231D7">
        <w:t xml:space="preserve"> The first type of chart </w:t>
      </w:r>
      <w:r w:rsidR="00E11B3E">
        <w:t xml:space="preserve">— labelled </w:t>
      </w:r>
      <w:r w:rsidR="00E11B3E" w:rsidRPr="00E11B3E">
        <w:rPr>
          <w:i/>
        </w:rPr>
        <w:t xml:space="preserve">(A) </w:t>
      </w:r>
      <w:r w:rsidR="006B45A5">
        <w:rPr>
          <w:i/>
        </w:rPr>
        <w:t>Activity sequences</w:t>
      </w:r>
      <w:r w:rsidR="006B45A5" w:rsidRPr="00E11B3E">
        <w:rPr>
          <w:i/>
        </w:rPr>
        <w:t xml:space="preserve"> </w:t>
      </w:r>
      <w:r w:rsidR="00E11B3E" w:rsidRPr="00E11B3E">
        <w:rPr>
          <w:i/>
        </w:rPr>
        <w:t>by individual</w:t>
      </w:r>
      <w:r w:rsidR="00E11B3E">
        <w:t xml:space="preserve"> — </w:t>
      </w:r>
      <w:r w:rsidR="00C231D7">
        <w:t xml:space="preserve">is called a </w:t>
      </w:r>
      <w:r w:rsidR="00AF1E2E">
        <w:t>s</w:t>
      </w:r>
      <w:r w:rsidR="00C231D7">
        <w:t xml:space="preserve">equence </w:t>
      </w:r>
      <w:r w:rsidR="008707D7">
        <w:t>i</w:t>
      </w:r>
      <w:r w:rsidR="00C231D7">
        <w:t>ndex plot</w:t>
      </w:r>
      <w:r w:rsidR="00DA0FC7">
        <w:t xml:space="preserve"> and shows the data</w:t>
      </w:r>
      <w:r w:rsidR="00BC6790">
        <w:t xml:space="preserve"> (box</w:t>
      </w:r>
      <w:r w:rsidR="00327397">
        <w:t> </w:t>
      </w:r>
      <w:r w:rsidR="00121B7F">
        <w:t>3.3</w:t>
      </w:r>
      <w:r w:rsidR="00BC6790">
        <w:t>)</w:t>
      </w:r>
      <w:r w:rsidR="000E571A">
        <w:t xml:space="preserve">. </w:t>
      </w:r>
      <w:r w:rsidR="00707F41" w:rsidRPr="006E3DC0">
        <w:t xml:space="preserve">Sequence </w:t>
      </w:r>
      <w:r w:rsidR="008707D7">
        <w:t>i</w:t>
      </w:r>
      <w:r w:rsidR="00707F41" w:rsidRPr="006E3DC0">
        <w:t xml:space="preserve">ndex plots can show the effects of major changes in the economy and </w:t>
      </w:r>
      <w:r w:rsidR="00707F41">
        <w:t xml:space="preserve">economic </w:t>
      </w:r>
      <w:r w:rsidR="00707F41" w:rsidRPr="006E3DC0">
        <w:t>polic</w:t>
      </w:r>
      <w:r w:rsidR="00707F41">
        <w:t>ies</w:t>
      </w:r>
      <w:r w:rsidR="00707F41" w:rsidRPr="006E3DC0">
        <w:t xml:space="preserve"> during the 2000s on the activities of individuals. Since the sequence of activities for each individual represents the same calendar period, plots of these sequences will show whether or not particular changes appear to have affected the pattern of activities at particular points in time through large common ‘blocks’ of activity. For example, the global financial crisis (GFC) might have affected decisions of retired seniors by inducing them to return to </w:t>
      </w:r>
      <w:r w:rsidR="00707F41" w:rsidRPr="006E3DC0">
        <w:lastRenderedPageBreak/>
        <w:t>work or begin looking for work from mid</w:t>
      </w:r>
      <w:r w:rsidR="00914827">
        <w:noBreakHyphen/>
      </w:r>
      <w:r w:rsidR="00707F41" w:rsidRPr="006E3DC0">
        <w:t>2008</w:t>
      </w:r>
      <w:r w:rsidR="005F7E02">
        <w:t xml:space="preserve"> or 2009</w:t>
      </w:r>
      <w:r w:rsidR="00707F41" w:rsidRPr="006E3DC0">
        <w:t>. Similarly, any post</w:t>
      </w:r>
      <w:r w:rsidR="00914827">
        <w:noBreakHyphen/>
      </w:r>
      <w:r w:rsidR="00707F41" w:rsidRPr="006E3DC0">
        <w:t>GFC rise in youth unemployment should be apparent.</w:t>
      </w:r>
      <w:r w:rsidR="009D5204">
        <w:rPr>
          <w:rStyle w:val="FootnoteReference"/>
        </w:rPr>
        <w:footnoteReference w:id="3"/>
      </w:r>
      <w:r w:rsidR="00707F41" w:rsidRPr="006E3DC0">
        <w:t xml:space="preserve"> </w:t>
      </w:r>
      <w:r w:rsidR="005F7E02">
        <w:t>Likewise, if</w:t>
      </w:r>
      <w:r w:rsidR="00707F41" w:rsidRPr="006E3DC0">
        <w:t xml:space="preserve"> the introduction of the baby bonus in 2002 influenced the fertility decisions of young women, there might be an increase in withdrawal from, or prolonged absence from, the labour force a</w:t>
      </w:r>
      <w:r w:rsidR="00707F41">
        <w:t>fter</w:t>
      </w:r>
      <w:r w:rsidR="00707F41" w:rsidRPr="006E3DC0">
        <w:t xml:space="preserve"> that time.</w:t>
      </w:r>
      <w:r w:rsidR="0091052B">
        <w:t xml:space="preserve"> </w:t>
      </w:r>
      <w:r w:rsidR="0091052B" w:rsidRPr="0091052B">
        <w:t xml:space="preserve">Neither of these </w:t>
      </w:r>
      <w:r w:rsidR="0091052B">
        <w:t>changes</w:t>
      </w:r>
      <w:r w:rsidR="0091052B" w:rsidRPr="0091052B">
        <w:t xml:space="preserve"> appears to have affected the patterns in this analysis in a significant way. This is not to say that these effects could not appear in </w:t>
      </w:r>
      <w:r w:rsidR="0091052B">
        <w:t>a finer analysis of these data.</w:t>
      </w:r>
    </w:p>
    <w:p w:rsidR="000E571A" w:rsidRDefault="000E571A">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0E571A">
        <w:tc>
          <w:tcPr>
            <w:tcW w:w="8771" w:type="dxa"/>
            <w:tcBorders>
              <w:top w:val="single" w:sz="6" w:space="0" w:color="auto"/>
              <w:bottom w:val="nil"/>
            </w:tcBorders>
          </w:tcPr>
          <w:p w:rsidR="000E571A" w:rsidRDefault="000E571A" w:rsidP="00B94DF1">
            <w:pPr>
              <w:pStyle w:val="BoxTitle"/>
            </w:pPr>
            <w:r>
              <w:rPr>
                <w:b w:val="0"/>
              </w:rPr>
              <w:t xml:space="preserve">Box </w:t>
            </w:r>
            <w:bookmarkStart w:id="11" w:name="OLE_LINK9"/>
            <w:r w:rsidR="00121B7F">
              <w:rPr>
                <w:b w:val="0"/>
              </w:rPr>
              <w:t>3.</w:t>
            </w:r>
            <w:r w:rsidR="00C42746">
              <w:rPr>
                <w:b w:val="0"/>
                <w:noProof/>
              </w:rPr>
              <w:t>3</w:t>
            </w:r>
            <w:bookmarkEnd w:id="11"/>
            <w:r>
              <w:tab/>
              <w:t xml:space="preserve">The </w:t>
            </w:r>
            <w:r w:rsidR="00B94DF1">
              <w:t>s</w:t>
            </w:r>
            <w:r>
              <w:t xml:space="preserve">equence </w:t>
            </w:r>
            <w:r w:rsidR="008707D7">
              <w:t>i</w:t>
            </w:r>
            <w:r>
              <w:t>ndex plot</w:t>
            </w:r>
          </w:p>
        </w:tc>
      </w:tr>
      <w:tr w:rsidR="000E571A">
        <w:trPr>
          <w:cantSplit/>
        </w:trPr>
        <w:tc>
          <w:tcPr>
            <w:tcW w:w="8771" w:type="dxa"/>
            <w:tcBorders>
              <w:top w:val="nil"/>
              <w:left w:val="single" w:sz="6" w:space="0" w:color="auto"/>
              <w:bottom w:val="nil"/>
              <w:right w:val="single" w:sz="6" w:space="0" w:color="auto"/>
            </w:tcBorders>
          </w:tcPr>
          <w:p w:rsidR="000E571A" w:rsidRDefault="000E571A">
            <w:pPr>
              <w:pStyle w:val="Box"/>
            </w:pPr>
            <w:r>
              <w:t xml:space="preserve">In a </w:t>
            </w:r>
            <w:r w:rsidR="00AF1E2E">
              <w:t>s</w:t>
            </w:r>
            <w:r>
              <w:t xml:space="preserve">equence </w:t>
            </w:r>
            <w:r w:rsidR="008707D7">
              <w:t>i</w:t>
            </w:r>
            <w:r>
              <w:t>ndex plot, individuals are numbered along the vertical axis and time is shown on the horizontal axis. The activity sequence for each individual in the pathway is represented by a horizontal series of coloured markers, with each type of activity represented by a different colour: a change in colour from one period to the next represents a transition</w:t>
            </w:r>
            <w:r w:rsidR="005F7E02">
              <w:t xml:space="preserve"> to another activity</w:t>
            </w:r>
            <w:r>
              <w:t>. Individual sequences are ordered according to their similarity to the most common sequence for the age segment, with those most similar along the top of the plot.</w:t>
            </w:r>
          </w:p>
          <w:p w:rsidR="000E571A" w:rsidRDefault="000E571A" w:rsidP="00EA6B16">
            <w:pPr>
              <w:pStyle w:val="Box"/>
            </w:pPr>
            <w:r>
              <w:rPr>
                <w:u w:val="single"/>
              </w:rPr>
              <w:t xml:space="preserve">A </w:t>
            </w:r>
            <w:r w:rsidR="005F7E02">
              <w:rPr>
                <w:u w:val="single"/>
              </w:rPr>
              <w:t>cautionary note</w:t>
            </w:r>
            <w:r w:rsidRPr="00E11B3E">
              <w:rPr>
                <w:u w:val="single"/>
              </w:rPr>
              <w:t xml:space="preserve"> on </w:t>
            </w:r>
            <w:r w:rsidR="008707D7">
              <w:rPr>
                <w:u w:val="single"/>
              </w:rPr>
              <w:t>sequence index</w:t>
            </w:r>
            <w:r w:rsidRPr="00E11B3E">
              <w:rPr>
                <w:u w:val="single"/>
              </w:rPr>
              <w:t xml:space="preserve"> plots</w:t>
            </w:r>
            <w:r w:rsidR="005F7E02">
              <w:rPr>
                <w:u w:val="single"/>
              </w:rPr>
              <w:t>.</w:t>
            </w:r>
            <w:r>
              <w:t xml:space="preserve"> When there are many individuals and/or time periods, a </w:t>
            </w:r>
            <w:r w:rsidR="00551A6E">
              <w:t>s</w:t>
            </w:r>
            <w:r w:rsidRPr="006E3DC0">
              <w:t xml:space="preserve">equence </w:t>
            </w:r>
            <w:r w:rsidR="008707D7">
              <w:t>i</w:t>
            </w:r>
            <w:r w:rsidRPr="006E3DC0">
              <w:t>ndex</w:t>
            </w:r>
            <w:r>
              <w:t xml:space="preserve"> plot can be subject to </w:t>
            </w:r>
            <w:r w:rsidR="00EA6B16">
              <w:t>‘</w:t>
            </w:r>
            <w:r>
              <w:t>overplotting</w:t>
            </w:r>
            <w:r w:rsidR="00EA6B16">
              <w:t>’</w:t>
            </w:r>
            <w:r>
              <w:t xml:space="preserve">, as the markers for each type of activity are successively overlaid on the chart. Some information is obscured, and the visual impression gained from a </w:t>
            </w:r>
            <w:r w:rsidR="00AF1E2E">
              <w:t>s</w:t>
            </w:r>
            <w:r w:rsidRPr="006E3DC0">
              <w:t xml:space="preserve">equence </w:t>
            </w:r>
            <w:r w:rsidR="008707D7">
              <w:t>i</w:t>
            </w:r>
            <w:r w:rsidRPr="006E3DC0">
              <w:t>ndex</w:t>
            </w:r>
            <w:r>
              <w:t xml:space="preserve"> plot can change with the order in which the activities are plotted. This can mean that one or two individuals spending one or two periods in a different activity </w:t>
            </w:r>
            <w:r w:rsidR="00EA6B16">
              <w:t>are</w:t>
            </w:r>
            <w:r>
              <w:t xml:space="preserve"> not easily seen. In the </w:t>
            </w:r>
            <w:r w:rsidR="00AF1E2E">
              <w:t>s</w:t>
            </w:r>
            <w:r w:rsidRPr="006E3DC0">
              <w:t xml:space="preserve">equence </w:t>
            </w:r>
            <w:r w:rsidR="008707D7">
              <w:t>i</w:t>
            </w:r>
            <w:r w:rsidRPr="006E3DC0">
              <w:t>ndex</w:t>
            </w:r>
            <w:r>
              <w:t xml:space="preserve"> plots produced for this study, more frequently occurring activities for an age segment are plotted before less frequently occurring activities.</w:t>
            </w:r>
          </w:p>
        </w:tc>
      </w:tr>
      <w:tr w:rsidR="000E571A">
        <w:trPr>
          <w:cantSplit/>
        </w:trPr>
        <w:tc>
          <w:tcPr>
            <w:tcW w:w="8771" w:type="dxa"/>
            <w:tcBorders>
              <w:top w:val="nil"/>
              <w:left w:val="single" w:sz="6" w:space="0" w:color="auto"/>
              <w:bottom w:val="single" w:sz="6" w:space="0" w:color="auto"/>
              <w:right w:val="single" w:sz="6" w:space="0" w:color="auto"/>
            </w:tcBorders>
          </w:tcPr>
          <w:p w:rsidR="000E571A" w:rsidRDefault="000E571A">
            <w:pPr>
              <w:pStyle w:val="Box"/>
              <w:spacing w:before="0" w:line="120" w:lineRule="exact"/>
            </w:pPr>
          </w:p>
        </w:tc>
      </w:tr>
      <w:tr w:rsidR="000E571A" w:rsidRPr="000863A5">
        <w:tc>
          <w:tcPr>
            <w:tcW w:w="8771" w:type="dxa"/>
            <w:tcBorders>
              <w:top w:val="nil"/>
              <w:left w:val="nil"/>
              <w:bottom w:val="nil"/>
              <w:right w:val="nil"/>
            </w:tcBorders>
          </w:tcPr>
          <w:p w:rsidR="000E571A" w:rsidRPr="00626D32" w:rsidRDefault="000E571A" w:rsidP="000E571A">
            <w:pPr>
              <w:pStyle w:val="BoxSpaceBelow"/>
            </w:pPr>
          </w:p>
        </w:tc>
      </w:tr>
    </w:tbl>
    <w:p w:rsidR="008B6DA4" w:rsidRDefault="00CD1EFF" w:rsidP="008B6DA4">
      <w:pPr>
        <w:pStyle w:val="BodyText"/>
      </w:pPr>
      <w:r>
        <w:t xml:space="preserve">The second type of chart — labelled </w:t>
      </w:r>
      <w:r w:rsidRPr="00E11B3E">
        <w:rPr>
          <w:i/>
        </w:rPr>
        <w:t>(</w:t>
      </w:r>
      <w:r>
        <w:rPr>
          <w:i/>
        </w:rPr>
        <w:t xml:space="preserve">B) </w:t>
      </w:r>
      <w:r w:rsidR="006B45A5" w:rsidRPr="00E11B3E">
        <w:rPr>
          <w:i/>
        </w:rPr>
        <w:t xml:space="preserve">Activities </w:t>
      </w:r>
      <w:r w:rsidRPr="00E11B3E">
        <w:rPr>
          <w:i/>
        </w:rPr>
        <w:t xml:space="preserve">by </w:t>
      </w:r>
      <w:r>
        <w:rPr>
          <w:i/>
        </w:rPr>
        <w:t>monthly share</w:t>
      </w:r>
      <w:r>
        <w:t xml:space="preserve"> — is called a </w:t>
      </w:r>
      <w:r w:rsidR="008707D7">
        <w:t>c</w:t>
      </w:r>
      <w:r>
        <w:t xml:space="preserve">hronograph and shows the distribution of activities across individuals </w:t>
      </w:r>
      <w:r w:rsidR="005F7E02">
        <w:t xml:space="preserve">for </w:t>
      </w:r>
      <w:r>
        <w:t xml:space="preserve">each month. The </w:t>
      </w:r>
      <w:r w:rsidR="008707D7">
        <w:t>c</w:t>
      </w:r>
      <w:r w:rsidR="008B6DA4">
        <w:t>hronograph show</w:t>
      </w:r>
      <w:r w:rsidR="005F7E02">
        <w:t>s</w:t>
      </w:r>
      <w:r w:rsidR="008B6DA4">
        <w:t xml:space="preserve"> the share of individuals undertaking each activity each month (</w:t>
      </w:r>
      <w:r w:rsidR="005F7E02">
        <w:t xml:space="preserve">in essence, </w:t>
      </w:r>
      <w:r w:rsidR="008B6DA4">
        <w:t xml:space="preserve">a time series of </w:t>
      </w:r>
      <w:r>
        <w:t xml:space="preserve">activity </w:t>
      </w:r>
      <w:r w:rsidR="008B6DA4">
        <w:t>participation rates). It does not provide any information on activity duration but give</w:t>
      </w:r>
      <w:r w:rsidR="005F7E02">
        <w:t>s</w:t>
      </w:r>
      <w:r w:rsidR="008B6DA4">
        <w:t xml:space="preserve"> another perspective on the activities that might not </w:t>
      </w:r>
      <w:r>
        <w:t>be apparent</w:t>
      </w:r>
      <w:r w:rsidR="008B6DA4">
        <w:t xml:space="preserve"> </w:t>
      </w:r>
      <w:r>
        <w:t>from</w:t>
      </w:r>
      <w:r w:rsidR="008B6DA4">
        <w:t xml:space="preserve"> the </w:t>
      </w:r>
      <w:r w:rsidR="00551A6E">
        <w:t>s</w:t>
      </w:r>
      <w:r w:rsidR="008B6DA4">
        <w:t xml:space="preserve">equence </w:t>
      </w:r>
      <w:r w:rsidR="008707D7">
        <w:t>i</w:t>
      </w:r>
      <w:r w:rsidR="008B6DA4">
        <w:t xml:space="preserve">ndex </w:t>
      </w:r>
      <w:r>
        <w:t>p</w:t>
      </w:r>
      <w:r w:rsidR="008B6DA4">
        <w:t>lot.</w:t>
      </w:r>
    </w:p>
    <w:p w:rsidR="00436C53" w:rsidRDefault="00CD1EFF" w:rsidP="00F11ADE">
      <w:pPr>
        <w:pStyle w:val="BodyText"/>
      </w:pPr>
      <w:r>
        <w:lastRenderedPageBreak/>
        <w:t>The first table shows characteristics of individuals in a particular pathway</w:t>
      </w:r>
      <w:r w:rsidR="0042044F">
        <w:t xml:space="preserve">. </w:t>
      </w:r>
      <w:r w:rsidR="00BE099C">
        <w:t xml:space="preserve">Characteristics of individuals in all pathways for that age segment are provided for comparison. </w:t>
      </w:r>
      <w:r w:rsidR="0042044F">
        <w:t xml:space="preserve">These characteristics relate to the time at </w:t>
      </w:r>
      <w:r w:rsidR="00BE099C">
        <w:t xml:space="preserve">which the survey was conducted </w:t>
      </w:r>
      <w:r w:rsidR="0042044F">
        <w:t xml:space="preserve">in 2001 and 2010 </w:t>
      </w:r>
      <w:r w:rsidR="00BE099C">
        <w:t xml:space="preserve">and do not come from the calendar. </w:t>
      </w:r>
      <w:r w:rsidR="00D922BD">
        <w:t>C</w:t>
      </w:r>
      <w:r w:rsidR="00BE099C">
        <w:t>onsequen</w:t>
      </w:r>
      <w:r w:rsidR="00D922BD">
        <w:t>tly</w:t>
      </w:r>
      <w:r w:rsidR="00BE099C">
        <w:t xml:space="preserve">, the extent of unemployment and NILF </w:t>
      </w:r>
      <w:r w:rsidR="00436C53">
        <w:t xml:space="preserve">may not appear the same as </w:t>
      </w:r>
      <w:r w:rsidR="00BE099C">
        <w:t xml:space="preserve">that in the </w:t>
      </w:r>
      <w:r w:rsidR="008707D7">
        <w:t>c</w:t>
      </w:r>
      <w:r w:rsidR="00BE099C">
        <w:t xml:space="preserve">hronograph </w:t>
      </w:r>
      <w:r w:rsidR="00436C53">
        <w:t>(box</w:t>
      </w:r>
      <w:r w:rsidR="00327397">
        <w:t> </w:t>
      </w:r>
      <w:r w:rsidR="00121B7F">
        <w:t>3.4</w:t>
      </w:r>
      <w:r w:rsidR="00436C53">
        <w:t>).</w:t>
      </w:r>
      <w:r w:rsidR="00BE099C">
        <w:t xml:space="preserve"> The second table uses the calendar data to describe characteristics of the activity sequences in the pathway</w:t>
      </w:r>
      <w:r w:rsidR="00903D20">
        <w:t>, in terms of time spent in each activity, numbers of spells of each activity and spell duration</w:t>
      </w:r>
      <w:r w:rsidR="00BE099C">
        <w:t>.</w:t>
      </w:r>
      <w:r w:rsidR="00903D20">
        <w:rPr>
          <w:rStyle w:val="FootnoteReference"/>
        </w:rPr>
        <w:footnoteReference w:id="4"/>
      </w:r>
    </w:p>
    <w:p w:rsidR="003C2423" w:rsidRDefault="003C2423">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3C2423">
        <w:tc>
          <w:tcPr>
            <w:tcW w:w="8771" w:type="dxa"/>
            <w:tcBorders>
              <w:top w:val="single" w:sz="6" w:space="0" w:color="auto"/>
              <w:bottom w:val="nil"/>
            </w:tcBorders>
          </w:tcPr>
          <w:p w:rsidR="003C2423" w:rsidRDefault="003C2423" w:rsidP="0049750E">
            <w:pPr>
              <w:pStyle w:val="BoxTitle"/>
            </w:pPr>
            <w:r>
              <w:rPr>
                <w:b w:val="0"/>
              </w:rPr>
              <w:t xml:space="preserve">Box </w:t>
            </w:r>
            <w:bookmarkStart w:id="12" w:name="OLE_LINK8"/>
            <w:r w:rsidR="00121B7F">
              <w:rPr>
                <w:b w:val="0"/>
              </w:rPr>
              <w:t>3.</w:t>
            </w:r>
            <w:r w:rsidR="00C42746">
              <w:rPr>
                <w:b w:val="0"/>
                <w:noProof/>
              </w:rPr>
              <w:t>4</w:t>
            </w:r>
            <w:bookmarkEnd w:id="12"/>
            <w:r>
              <w:tab/>
            </w:r>
            <w:r w:rsidRPr="003C2423">
              <w:t xml:space="preserve">Reconciling calendar and </w:t>
            </w:r>
            <w:r w:rsidR="0049750E">
              <w:t>time-of-survey</w:t>
            </w:r>
            <w:r w:rsidRPr="003C2423">
              <w:t xml:space="preserve"> </w:t>
            </w:r>
            <w:r>
              <w:t>data</w:t>
            </w:r>
            <w:r w:rsidR="00354742">
              <w:t>:</w:t>
            </w:r>
            <w:r w:rsidRPr="003C2423">
              <w:t xml:space="preserve"> unemployment and NILF</w:t>
            </w:r>
          </w:p>
        </w:tc>
      </w:tr>
      <w:tr w:rsidR="003C2423">
        <w:trPr>
          <w:cantSplit/>
        </w:trPr>
        <w:tc>
          <w:tcPr>
            <w:tcW w:w="8771" w:type="dxa"/>
            <w:tcBorders>
              <w:top w:val="nil"/>
              <w:left w:val="single" w:sz="6" w:space="0" w:color="auto"/>
              <w:bottom w:val="nil"/>
              <w:right w:val="single" w:sz="6" w:space="0" w:color="auto"/>
            </w:tcBorders>
          </w:tcPr>
          <w:p w:rsidR="00533E78" w:rsidRDefault="00533E78" w:rsidP="00533E78">
            <w:pPr>
              <w:pStyle w:val="Box"/>
            </w:pPr>
            <w:r>
              <w:t xml:space="preserve">In HILDA, there are two sources of information on the activities undertaken by individuals: variables for labour force status and other characteristics pertaining to the time of the survey (TOS), and variables </w:t>
            </w:r>
            <w:r w:rsidR="00A874C0">
              <w:t xml:space="preserve">from the employment and education calendar </w:t>
            </w:r>
            <w:r>
              <w:t xml:space="preserve">that refer to </w:t>
            </w:r>
            <w:r w:rsidR="00A874C0">
              <w:t xml:space="preserve">activities during </w:t>
            </w:r>
            <w:r>
              <w:t>the 12–18 months prior to the interview (appen</w:t>
            </w:r>
            <w:r w:rsidR="00D90AED">
              <w:t>dix</w:t>
            </w:r>
            <w:r w:rsidR="00327397">
              <w:t> </w:t>
            </w:r>
            <w:r w:rsidR="00D90AED">
              <w:t>A).</w:t>
            </w:r>
          </w:p>
          <w:p w:rsidR="00533E78" w:rsidRDefault="00533E78" w:rsidP="00533E78">
            <w:pPr>
              <w:pStyle w:val="Box"/>
            </w:pPr>
            <w:r>
              <w:t>TOS information can be used to supplement information available in the calendar. For example, calendar information can be used to identify individuals who have undertaken study between two interviews while TOS information can provide more detail on the level and area of study and whether the qualification was completed. Similarly, TOS information on the reason for being outside the labour force at the time of the interview can be used to impute reasons for other individuals who — according to the calendar — were NILF between interviews.</w:t>
            </w:r>
          </w:p>
          <w:p w:rsidR="00C56121" w:rsidRDefault="00C56121" w:rsidP="00533E78">
            <w:pPr>
              <w:pStyle w:val="Box"/>
            </w:pPr>
            <w:r>
              <w:t xml:space="preserve">In this study, the prevalence of unemployment and NILF at the time of the survey </w:t>
            </w:r>
            <w:r w:rsidR="0043632D">
              <w:t>can be calculated from calendar or TOS information</w:t>
            </w:r>
            <w:r>
              <w:t xml:space="preserve">. </w:t>
            </w:r>
            <w:r w:rsidR="0043632D">
              <w:t xml:space="preserve">However, calculations using the two sources </w:t>
            </w:r>
            <w:r w:rsidR="00FD1C34">
              <w:t xml:space="preserve">frequently </w:t>
            </w:r>
            <w:r w:rsidR="0043632D">
              <w:t xml:space="preserve">give different answers. </w:t>
            </w:r>
            <w:r w:rsidR="00330B91">
              <w:t xml:space="preserve">There are two reasons for </w:t>
            </w:r>
            <w:r w:rsidR="00FD1C34">
              <w:t>this</w:t>
            </w:r>
            <w:r w:rsidR="00330B91">
              <w:t>.</w:t>
            </w:r>
          </w:p>
          <w:p w:rsidR="003C2423" w:rsidRDefault="00330B91" w:rsidP="00CB734C">
            <w:pPr>
              <w:pStyle w:val="Box"/>
            </w:pPr>
            <w:r>
              <w:t>First</w:t>
            </w:r>
            <w:r w:rsidR="0043632D">
              <w:t xml:space="preserve">, </w:t>
            </w:r>
            <w:r w:rsidR="00533E78">
              <w:t>the</w:t>
            </w:r>
            <w:r>
              <w:t>re are (subtle) differences in the split between unemployment and NILF in</w:t>
            </w:r>
            <w:r w:rsidR="00533E78">
              <w:t xml:space="preserve"> the two sources</w:t>
            </w:r>
            <w:r w:rsidR="00D90AED">
              <w:t xml:space="preserve"> </w:t>
            </w:r>
            <w:r w:rsidR="0043632D">
              <w:t>in HILDA.</w:t>
            </w:r>
            <w:r>
              <w:t xml:space="preserve"> TOS labour force status uses the </w:t>
            </w:r>
            <w:r w:rsidR="00BF7496">
              <w:t xml:space="preserve">ABS </w:t>
            </w:r>
            <w:r>
              <w:t xml:space="preserve">definition of unemployment (actively seeking work, available to start work and not waiting to start a job). Individuals who were marginally attached to the labour force (that is, </w:t>
            </w:r>
            <w:r w:rsidR="00FD1C34">
              <w:t xml:space="preserve">those </w:t>
            </w:r>
            <w:r w:rsidR="00126565">
              <w:t>who</w:t>
            </w:r>
            <w:r w:rsidR="00FD1C34">
              <w:t xml:space="preserve"> </w:t>
            </w:r>
            <w:r>
              <w:t>wanted to work and were either actively looking for work but were not able to start work at the time, or were not actively looking, but available to start work) are defined as NILF.</w:t>
            </w:r>
            <w:r w:rsidR="00C646A2">
              <w:t xml:space="preserve"> </w:t>
            </w:r>
            <w:r>
              <w:t xml:space="preserve">In contrast, calendar information implicitly defines unemployment using a broader definition of ‘looking for work’. This leads to the marginally attached being classified as unemployed rather than </w:t>
            </w:r>
            <w:r w:rsidR="00FD1C34">
              <w:t xml:space="preserve">being </w:t>
            </w:r>
            <w:r>
              <w:t>NILF</w:t>
            </w:r>
            <w:r w:rsidR="00A018E8">
              <w:t>, inflating the prevalence of unemployment based on the calendar.</w:t>
            </w:r>
          </w:p>
        </w:tc>
      </w:tr>
      <w:tr w:rsidR="00B523FB" w:rsidTr="00B523FB">
        <w:trPr>
          <w:cantSplit/>
        </w:trPr>
        <w:tc>
          <w:tcPr>
            <w:tcW w:w="8771" w:type="dxa"/>
            <w:tcBorders>
              <w:top w:val="nil"/>
              <w:left w:val="single" w:sz="6" w:space="0" w:color="auto"/>
              <w:bottom w:val="nil"/>
              <w:right w:val="single" w:sz="6" w:space="0" w:color="auto"/>
            </w:tcBorders>
          </w:tcPr>
          <w:p w:rsidR="00B523FB" w:rsidRDefault="00B523FB" w:rsidP="00B523FB">
            <w:pPr>
              <w:pStyle w:val="Continued"/>
            </w:pPr>
            <w:r>
              <w:t>(Continued next page)</w:t>
            </w:r>
          </w:p>
        </w:tc>
      </w:tr>
      <w:tr w:rsidR="003C2423">
        <w:trPr>
          <w:cantSplit/>
        </w:trPr>
        <w:tc>
          <w:tcPr>
            <w:tcW w:w="8771" w:type="dxa"/>
            <w:tcBorders>
              <w:top w:val="nil"/>
              <w:left w:val="single" w:sz="6" w:space="0" w:color="auto"/>
              <w:bottom w:val="single" w:sz="6" w:space="0" w:color="auto"/>
              <w:right w:val="single" w:sz="6" w:space="0" w:color="auto"/>
            </w:tcBorders>
          </w:tcPr>
          <w:p w:rsidR="003C2423" w:rsidRDefault="003C2423">
            <w:pPr>
              <w:pStyle w:val="Box"/>
              <w:spacing w:before="0" w:line="120" w:lineRule="exact"/>
            </w:pPr>
          </w:p>
        </w:tc>
      </w:tr>
      <w:tr w:rsidR="003C2423" w:rsidRPr="000863A5">
        <w:tc>
          <w:tcPr>
            <w:tcW w:w="8771" w:type="dxa"/>
            <w:tcBorders>
              <w:top w:val="nil"/>
              <w:left w:val="nil"/>
              <w:bottom w:val="nil"/>
              <w:right w:val="nil"/>
            </w:tcBorders>
          </w:tcPr>
          <w:p w:rsidR="003C2423" w:rsidRPr="00626D32" w:rsidRDefault="003C2423" w:rsidP="003C2423">
            <w:pPr>
              <w:pStyle w:val="BoxSpaceBelow"/>
            </w:pPr>
          </w:p>
        </w:tc>
      </w:tr>
    </w:tbl>
    <w:p w:rsidR="007D6D11" w:rsidRDefault="007D6D11">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7D6D11">
        <w:tc>
          <w:tcPr>
            <w:tcW w:w="8771" w:type="dxa"/>
            <w:tcBorders>
              <w:top w:val="single" w:sz="6" w:space="0" w:color="auto"/>
              <w:bottom w:val="nil"/>
            </w:tcBorders>
          </w:tcPr>
          <w:p w:rsidR="007D6D11" w:rsidRDefault="007D6D11" w:rsidP="00E8018E">
            <w:pPr>
              <w:pStyle w:val="BoxTitle"/>
            </w:pPr>
            <w:r>
              <w:rPr>
                <w:b w:val="0"/>
              </w:rPr>
              <w:t xml:space="preserve">Box </w:t>
            </w:r>
            <w:r w:rsidR="00121B7F" w:rsidRPr="00121B7F">
              <w:rPr>
                <w:b w:val="0"/>
              </w:rPr>
              <w:t>3.4</w:t>
            </w:r>
            <w:r>
              <w:tab/>
            </w:r>
            <w:r w:rsidRPr="004537A5">
              <w:rPr>
                <w:b w:val="0"/>
                <w:sz w:val="18"/>
                <w:szCs w:val="18"/>
              </w:rPr>
              <w:t>(continued)</w:t>
            </w:r>
          </w:p>
        </w:tc>
      </w:tr>
      <w:tr w:rsidR="007D6D11">
        <w:trPr>
          <w:cantSplit/>
        </w:trPr>
        <w:tc>
          <w:tcPr>
            <w:tcW w:w="8771" w:type="dxa"/>
            <w:tcBorders>
              <w:top w:val="nil"/>
              <w:left w:val="single" w:sz="6" w:space="0" w:color="auto"/>
              <w:bottom w:val="nil"/>
              <w:right w:val="single" w:sz="6" w:space="0" w:color="auto"/>
            </w:tcBorders>
          </w:tcPr>
          <w:p w:rsidR="00CB734C" w:rsidRDefault="00CB734C" w:rsidP="007D6D11">
            <w:pPr>
              <w:pStyle w:val="Box"/>
            </w:pPr>
            <w:r>
              <w:t>Second, there are differences that arise from the particular classification of calendar activities adopted for this study. In this analysis, time spent studying and not working has been extracted from calendar information on unemployment or NILF and tracked as a separate ‘study only’ category. The corresponding extraction is not done for TOS information, reducing the prevalence of unemployment and/or NILF based on the calendar.</w:t>
            </w:r>
          </w:p>
          <w:p w:rsidR="007D6D11" w:rsidRDefault="007D6D11" w:rsidP="007D6D11">
            <w:pPr>
              <w:pStyle w:val="Box"/>
            </w:pPr>
            <w:r>
              <w:t xml:space="preserve">Table 1 </w:t>
            </w:r>
            <w:r w:rsidRPr="00876C9C">
              <w:t>below</w:t>
            </w:r>
            <w:r>
              <w:t xml:space="preserve"> shows how these differences can be reconciled for youths in the </w:t>
            </w:r>
            <w:r w:rsidRPr="00876C9C">
              <w:rPr>
                <w:i/>
              </w:rPr>
              <w:t xml:space="preserve">Churning with </w:t>
            </w:r>
            <w:r>
              <w:rPr>
                <w:i/>
              </w:rPr>
              <w:t>W</w:t>
            </w:r>
            <w:r w:rsidRPr="00876C9C">
              <w:rPr>
                <w:i/>
              </w:rPr>
              <w:t>ork</w:t>
            </w:r>
            <w:r>
              <w:t xml:space="preserve"> pathway. TOS information for 2001 shows 22.08 per cent of individuals in this pathway were jobless (regardless of study). The equivalent figure from the calendar data was 22.95 per cent. Excluding the marginally attached and those who study while NILF from the ABS measure of NILF in the TOS data leaves 3.97 per cent, which is close to the comparable figure of 3.75 per cent from the calendar. Based on the calendar data, 54.9 per cent of the total jobless were studying. Applying this share to the total jobless using TOS information gives 12.12 per cent who were studying while jobless, which is close to the calendar equivalent of 12.6 per cent. TOS information shows 8.39 per cent of individuals were unemployed (regardless of study). Adding the marginally attached and removing those who study while unemployed leaves 5.99 per cent, which is close to the calendar equivalent of 6.6</w:t>
            </w:r>
            <w:r w:rsidR="00A874C0">
              <w:t> </w:t>
            </w:r>
            <w:r>
              <w:t>per</w:t>
            </w:r>
            <w:r w:rsidR="00A874C0">
              <w:t> </w:t>
            </w:r>
            <w:r>
              <w:t xml:space="preserve">cent. </w:t>
            </w:r>
          </w:p>
          <w:p w:rsidR="007D6D11" w:rsidRDefault="007D6D11" w:rsidP="007D6D11">
            <w:pPr>
              <w:pStyle w:val="Box"/>
            </w:pPr>
            <w:r>
              <w:t>With 12.12 per cent</w:t>
            </w:r>
            <w:r w:rsidRPr="00630037">
              <w:t xml:space="preserve"> </w:t>
            </w:r>
            <w:r>
              <w:t>studying while jobless</w:t>
            </w:r>
            <w:r w:rsidRPr="00630037">
              <w:t xml:space="preserve"> and 7.7</w:t>
            </w:r>
            <w:r>
              <w:t xml:space="preserve"> per cent</w:t>
            </w:r>
            <w:r w:rsidRPr="00630037">
              <w:t xml:space="preserve"> </w:t>
            </w:r>
            <w:r>
              <w:t>studying</w:t>
            </w:r>
            <w:r w:rsidRPr="00630037">
              <w:t xml:space="preserve"> while NILF in </w:t>
            </w:r>
            <w:r>
              <w:t>the TOS</w:t>
            </w:r>
            <w:r w:rsidRPr="00630037">
              <w:t xml:space="preserve"> data, about </w:t>
            </w:r>
            <w:r>
              <w:t>36 per cent</w:t>
            </w:r>
            <w:r w:rsidRPr="00630037">
              <w:t xml:space="preserve"> of </w:t>
            </w:r>
            <w:r>
              <w:t>jobless students</w:t>
            </w:r>
            <w:r w:rsidRPr="00630037">
              <w:t xml:space="preserve"> are looking for work.</w:t>
            </w:r>
          </w:p>
          <w:p w:rsidR="007D6D11" w:rsidRDefault="007D6D11" w:rsidP="007D6D11">
            <w:pPr>
              <w:pStyle w:val="TableTitle"/>
            </w:pPr>
            <w:r>
              <w:rPr>
                <w:b w:val="0"/>
              </w:rPr>
              <w:t>Table 1</w:t>
            </w:r>
            <w:r>
              <w:tab/>
              <w:t>Unemployment and NILF reconciliation example</w:t>
            </w:r>
          </w:p>
          <w:tbl>
            <w:tblPr>
              <w:tblW w:w="4998" w:type="pct"/>
              <w:tblLayout w:type="fixed"/>
              <w:tblCellMar>
                <w:left w:w="0" w:type="dxa"/>
                <w:right w:w="0" w:type="dxa"/>
              </w:tblCellMar>
              <w:tblLook w:val="0000" w:firstRow="0" w:lastRow="0" w:firstColumn="0" w:lastColumn="0" w:noHBand="0" w:noVBand="0"/>
            </w:tblPr>
            <w:tblGrid>
              <w:gridCol w:w="5648"/>
              <w:gridCol w:w="1417"/>
              <w:gridCol w:w="1419"/>
            </w:tblGrid>
            <w:tr w:rsidR="007D6D11" w:rsidTr="007E4CFD">
              <w:tc>
                <w:tcPr>
                  <w:tcW w:w="3329" w:type="pct"/>
                  <w:tcBorders>
                    <w:top w:val="single" w:sz="6" w:space="0" w:color="auto"/>
                    <w:bottom w:val="single" w:sz="6" w:space="0" w:color="auto"/>
                  </w:tcBorders>
                  <w:shd w:val="clear" w:color="auto" w:fill="auto"/>
                </w:tcPr>
                <w:p w:rsidR="007D6D11" w:rsidRDefault="007D6D11" w:rsidP="007E4CFD">
                  <w:pPr>
                    <w:pStyle w:val="TableColumnHeading"/>
                    <w:jc w:val="left"/>
                  </w:pPr>
                  <w:r>
                    <w:t>Measure</w:t>
                  </w:r>
                </w:p>
              </w:tc>
              <w:tc>
                <w:tcPr>
                  <w:tcW w:w="835" w:type="pct"/>
                  <w:tcBorders>
                    <w:top w:val="single" w:sz="6" w:space="0" w:color="auto"/>
                    <w:bottom w:val="single" w:sz="6" w:space="0" w:color="auto"/>
                  </w:tcBorders>
                  <w:shd w:val="clear" w:color="auto" w:fill="auto"/>
                </w:tcPr>
                <w:p w:rsidR="007D6D11" w:rsidRDefault="007D6D11" w:rsidP="007E4CFD">
                  <w:pPr>
                    <w:pStyle w:val="TableColumnHeading"/>
                  </w:pPr>
                  <w:r>
                    <w:t>TOS</w:t>
                  </w:r>
                </w:p>
              </w:tc>
              <w:tc>
                <w:tcPr>
                  <w:tcW w:w="836" w:type="pct"/>
                  <w:tcBorders>
                    <w:top w:val="single" w:sz="6" w:space="0" w:color="auto"/>
                    <w:bottom w:val="single" w:sz="6" w:space="0" w:color="auto"/>
                  </w:tcBorders>
                </w:tcPr>
                <w:p w:rsidR="007D6D11" w:rsidRDefault="007D6D11" w:rsidP="007E4CFD">
                  <w:pPr>
                    <w:pStyle w:val="TableColumnHeading"/>
                    <w:ind w:right="56"/>
                  </w:pPr>
                  <w:r>
                    <w:t>Calendar</w:t>
                  </w:r>
                </w:p>
              </w:tc>
            </w:tr>
            <w:tr w:rsidR="007D6D11" w:rsidRPr="005C0C86" w:rsidTr="007E4CFD">
              <w:tc>
                <w:tcPr>
                  <w:tcW w:w="3329" w:type="pct"/>
                  <w:tcBorders>
                    <w:top w:val="single" w:sz="6" w:space="0" w:color="auto"/>
                  </w:tcBorders>
                </w:tcPr>
                <w:p w:rsidR="007D6D11" w:rsidRDefault="007D6D11" w:rsidP="007E4CFD">
                  <w:pPr>
                    <w:pStyle w:val="TableBodyText"/>
                    <w:jc w:val="left"/>
                  </w:pPr>
                  <w:r>
                    <w:t>ABS NILF incl. marginally attached</w:t>
                  </w:r>
                </w:p>
              </w:tc>
              <w:tc>
                <w:tcPr>
                  <w:tcW w:w="835" w:type="pct"/>
                  <w:tcBorders>
                    <w:top w:val="single" w:sz="6" w:space="0" w:color="auto"/>
                  </w:tcBorders>
                </w:tcPr>
                <w:p w:rsidR="007D6D11" w:rsidRDefault="007D6D11" w:rsidP="007E4CFD">
                  <w:pPr>
                    <w:pStyle w:val="TableBodyText"/>
                  </w:pPr>
                  <w:r>
                    <w:t>13.69</w:t>
                  </w:r>
                </w:p>
              </w:tc>
              <w:tc>
                <w:tcPr>
                  <w:tcW w:w="836" w:type="pct"/>
                  <w:tcBorders>
                    <w:top w:val="single" w:sz="6" w:space="0" w:color="auto"/>
                  </w:tcBorders>
                </w:tcPr>
                <w:p w:rsidR="007D6D11" w:rsidRPr="007974EC" w:rsidRDefault="007D6D11" w:rsidP="007E4CFD">
                  <w:pPr>
                    <w:pStyle w:val="TableBodyText"/>
                    <w:ind w:right="56"/>
                  </w:pPr>
                </w:p>
              </w:tc>
            </w:tr>
            <w:tr w:rsidR="007D6D11" w:rsidRPr="005C0C86" w:rsidTr="007E4CFD">
              <w:tc>
                <w:tcPr>
                  <w:tcW w:w="3329" w:type="pct"/>
                </w:tcPr>
                <w:p w:rsidR="007D6D11" w:rsidRDefault="007D6D11" w:rsidP="007E4CFD">
                  <w:pPr>
                    <w:pStyle w:val="TableBodyText"/>
                    <w:jc w:val="left"/>
                  </w:pPr>
                  <w:r>
                    <w:t>Study while NILF</w:t>
                  </w:r>
                </w:p>
              </w:tc>
              <w:tc>
                <w:tcPr>
                  <w:tcW w:w="835" w:type="pct"/>
                </w:tcPr>
                <w:p w:rsidR="007D6D11" w:rsidRDefault="007D6D11" w:rsidP="007E4CFD">
                  <w:pPr>
                    <w:pStyle w:val="TableBodyText"/>
                  </w:pPr>
                  <w:r>
                    <w:t>7.73</w:t>
                  </w:r>
                </w:p>
              </w:tc>
              <w:tc>
                <w:tcPr>
                  <w:tcW w:w="836" w:type="pct"/>
                </w:tcPr>
                <w:p w:rsidR="007D6D11" w:rsidRPr="007974EC" w:rsidRDefault="007D6D11" w:rsidP="007E4CFD">
                  <w:pPr>
                    <w:pStyle w:val="TableBodyText"/>
                    <w:ind w:right="56"/>
                  </w:pPr>
                </w:p>
              </w:tc>
            </w:tr>
            <w:tr w:rsidR="007D6D11" w:rsidRPr="005C0C86" w:rsidTr="007E4CFD">
              <w:tc>
                <w:tcPr>
                  <w:tcW w:w="3329" w:type="pct"/>
                </w:tcPr>
                <w:p w:rsidR="007D6D11" w:rsidRDefault="007D6D11" w:rsidP="007E4CFD">
                  <w:pPr>
                    <w:pStyle w:val="TableBodyText"/>
                    <w:jc w:val="left"/>
                  </w:pPr>
                  <w:r>
                    <w:t>Marginally attached</w:t>
                  </w:r>
                </w:p>
              </w:tc>
              <w:tc>
                <w:tcPr>
                  <w:tcW w:w="835" w:type="pct"/>
                </w:tcPr>
                <w:p w:rsidR="007D6D11" w:rsidRDefault="007D6D11" w:rsidP="007E4CFD">
                  <w:pPr>
                    <w:pStyle w:val="TableBodyText"/>
                  </w:pPr>
                  <w:r>
                    <w:t>1.99</w:t>
                  </w:r>
                </w:p>
              </w:tc>
              <w:tc>
                <w:tcPr>
                  <w:tcW w:w="836" w:type="pct"/>
                </w:tcPr>
                <w:p w:rsidR="007D6D11" w:rsidRPr="007974EC" w:rsidRDefault="007D6D11" w:rsidP="007E4CFD">
                  <w:pPr>
                    <w:pStyle w:val="TableBodyText"/>
                    <w:ind w:right="56"/>
                  </w:pPr>
                </w:p>
              </w:tc>
            </w:tr>
            <w:tr w:rsidR="007D6D11" w:rsidRPr="005C0C86" w:rsidTr="007E4CFD">
              <w:tc>
                <w:tcPr>
                  <w:tcW w:w="3329" w:type="pct"/>
                  <w:shd w:val="clear" w:color="auto" w:fill="auto"/>
                </w:tcPr>
                <w:p w:rsidR="007D6D11" w:rsidRDefault="007D6D11" w:rsidP="007E4CFD">
                  <w:pPr>
                    <w:pStyle w:val="TableBodyText"/>
                    <w:jc w:val="left"/>
                  </w:pPr>
                  <w:r>
                    <w:t>ABS NILF less marginally attached and study</w:t>
                  </w:r>
                </w:p>
              </w:tc>
              <w:tc>
                <w:tcPr>
                  <w:tcW w:w="835" w:type="pct"/>
                  <w:shd w:val="clear" w:color="auto" w:fill="auto"/>
                </w:tcPr>
                <w:p w:rsidR="007D6D11" w:rsidRDefault="007D6D11" w:rsidP="007E4CFD">
                  <w:pPr>
                    <w:pStyle w:val="TableBodyText"/>
                  </w:pPr>
                  <w:r>
                    <w:t>3.97</w:t>
                  </w:r>
                </w:p>
              </w:tc>
              <w:tc>
                <w:tcPr>
                  <w:tcW w:w="836" w:type="pct"/>
                </w:tcPr>
                <w:p w:rsidR="007D6D11" w:rsidRPr="007974EC" w:rsidRDefault="007D6D11" w:rsidP="007E4CFD">
                  <w:pPr>
                    <w:pStyle w:val="TableBodyText"/>
                    <w:ind w:right="56"/>
                  </w:pPr>
                  <w:r>
                    <w:t>3.75</w:t>
                  </w:r>
                </w:p>
              </w:tc>
            </w:tr>
            <w:tr w:rsidR="007D6D11" w:rsidRPr="0002752F" w:rsidTr="007E4CFD">
              <w:tc>
                <w:tcPr>
                  <w:tcW w:w="3329" w:type="pct"/>
                  <w:shd w:val="clear" w:color="auto" w:fill="auto"/>
                </w:tcPr>
                <w:p w:rsidR="007D6D11" w:rsidRPr="0002752F" w:rsidRDefault="007D6D11" w:rsidP="007E4CFD">
                  <w:pPr>
                    <w:pStyle w:val="TableBodyText"/>
                    <w:jc w:val="left"/>
                    <w:rPr>
                      <w:i/>
                    </w:rPr>
                  </w:pPr>
                  <w:r w:rsidRPr="0002752F">
                    <w:rPr>
                      <w:i/>
                    </w:rPr>
                    <w:t xml:space="preserve">Share of </w:t>
                  </w:r>
                  <w:r>
                    <w:rPr>
                      <w:i/>
                    </w:rPr>
                    <w:t xml:space="preserve">study among all </w:t>
                  </w:r>
                  <w:r w:rsidRPr="0002752F">
                    <w:rPr>
                      <w:i/>
                    </w:rPr>
                    <w:t>jobless</w:t>
                  </w:r>
                </w:p>
              </w:tc>
              <w:tc>
                <w:tcPr>
                  <w:tcW w:w="835" w:type="pct"/>
                  <w:shd w:val="clear" w:color="auto" w:fill="auto"/>
                </w:tcPr>
                <w:p w:rsidR="007D6D11" w:rsidRPr="0002752F" w:rsidRDefault="007D6D11" w:rsidP="007E4CFD">
                  <w:pPr>
                    <w:pStyle w:val="TableBodyText"/>
                    <w:rPr>
                      <w:i/>
                    </w:rPr>
                  </w:pPr>
                </w:p>
              </w:tc>
              <w:tc>
                <w:tcPr>
                  <w:tcW w:w="836" w:type="pct"/>
                </w:tcPr>
                <w:p w:rsidR="007D6D11" w:rsidRPr="0002752F" w:rsidRDefault="007D6D11" w:rsidP="007E4CFD">
                  <w:pPr>
                    <w:pStyle w:val="TableBodyText"/>
                    <w:ind w:right="56"/>
                    <w:rPr>
                      <w:i/>
                    </w:rPr>
                  </w:pPr>
                  <w:r w:rsidRPr="0002752F">
                    <w:rPr>
                      <w:i/>
                    </w:rPr>
                    <w:t>0.549</w:t>
                  </w:r>
                </w:p>
              </w:tc>
            </w:tr>
            <w:tr w:rsidR="007D6D11" w:rsidRPr="005C0C86" w:rsidTr="007E4CFD">
              <w:tc>
                <w:tcPr>
                  <w:tcW w:w="3329" w:type="pct"/>
                  <w:shd w:val="clear" w:color="auto" w:fill="auto"/>
                  <w:vAlign w:val="bottom"/>
                </w:tcPr>
                <w:p w:rsidR="007D6D11" w:rsidRDefault="007D6D11" w:rsidP="007E4CFD">
                  <w:pPr>
                    <w:pStyle w:val="TableBodyText"/>
                    <w:ind w:left="0"/>
                    <w:jc w:val="left"/>
                  </w:pPr>
                  <w:r>
                    <w:t>Study while jobless</w:t>
                  </w:r>
                </w:p>
              </w:tc>
              <w:tc>
                <w:tcPr>
                  <w:tcW w:w="835" w:type="pct"/>
                  <w:shd w:val="clear" w:color="auto" w:fill="auto"/>
                  <w:vAlign w:val="bottom"/>
                </w:tcPr>
                <w:p w:rsidR="007D6D11" w:rsidRDefault="007D6D11" w:rsidP="007E4CFD">
                  <w:pPr>
                    <w:pStyle w:val="TableBodyText"/>
                    <w:ind w:right="0"/>
                  </w:pPr>
                  <w:r>
                    <w:t>12.12</w:t>
                  </w:r>
                  <w:r w:rsidRPr="00DE4890">
                    <w:rPr>
                      <w:rStyle w:val="NoteLabel"/>
                    </w:rPr>
                    <w:t>a</w:t>
                  </w:r>
                </w:p>
              </w:tc>
              <w:tc>
                <w:tcPr>
                  <w:tcW w:w="836" w:type="pct"/>
                  <w:vAlign w:val="bottom"/>
                </w:tcPr>
                <w:p w:rsidR="007D6D11" w:rsidRDefault="007D6D11" w:rsidP="007E4CFD">
                  <w:pPr>
                    <w:pStyle w:val="TableBodyText"/>
                    <w:ind w:right="56"/>
                  </w:pPr>
                  <w:r>
                    <w:t>12.60</w:t>
                  </w:r>
                </w:p>
              </w:tc>
            </w:tr>
            <w:tr w:rsidR="007D6D11" w:rsidRPr="005C0C86" w:rsidTr="007E4CFD">
              <w:tc>
                <w:tcPr>
                  <w:tcW w:w="3329" w:type="pct"/>
                  <w:shd w:val="clear" w:color="auto" w:fill="auto"/>
                </w:tcPr>
                <w:p w:rsidR="007D6D11" w:rsidRDefault="007D6D11" w:rsidP="007E4CFD">
                  <w:pPr>
                    <w:pStyle w:val="TableBodyText"/>
                    <w:ind w:left="0"/>
                    <w:jc w:val="left"/>
                  </w:pPr>
                  <w:r>
                    <w:t>Study while unemployed</w:t>
                  </w:r>
                </w:p>
              </w:tc>
              <w:tc>
                <w:tcPr>
                  <w:tcW w:w="835" w:type="pct"/>
                  <w:shd w:val="clear" w:color="auto" w:fill="auto"/>
                </w:tcPr>
                <w:p w:rsidR="007D6D11" w:rsidRDefault="007D6D11" w:rsidP="007E4CFD">
                  <w:pPr>
                    <w:pStyle w:val="TableBodyText"/>
                  </w:pPr>
                  <w:r>
                    <w:t>4.39</w:t>
                  </w:r>
                </w:p>
              </w:tc>
              <w:tc>
                <w:tcPr>
                  <w:tcW w:w="836" w:type="pct"/>
                </w:tcPr>
                <w:p w:rsidR="007D6D11" w:rsidRDefault="007D6D11" w:rsidP="007E4CFD">
                  <w:pPr>
                    <w:pStyle w:val="TableBodyText"/>
                    <w:ind w:right="56"/>
                  </w:pPr>
                </w:p>
              </w:tc>
            </w:tr>
            <w:tr w:rsidR="007D6D11" w:rsidRPr="005C0C86" w:rsidTr="007E4CFD">
              <w:tc>
                <w:tcPr>
                  <w:tcW w:w="3329" w:type="pct"/>
                </w:tcPr>
                <w:p w:rsidR="007D6D11" w:rsidRPr="007974EC" w:rsidRDefault="007D6D11" w:rsidP="00A874C0">
                  <w:pPr>
                    <w:pStyle w:val="TableBodyText"/>
                    <w:jc w:val="left"/>
                    <w:rPr>
                      <w:rStyle w:val="NoteLabel"/>
                      <w:b w:val="0"/>
                      <w:sz w:val="20"/>
                    </w:rPr>
                  </w:pPr>
                  <w:r>
                    <w:rPr>
                      <w:rStyle w:val="NoteLabel"/>
                      <w:b w:val="0"/>
                      <w:sz w:val="20"/>
                    </w:rPr>
                    <w:t xml:space="preserve">ABS </w:t>
                  </w:r>
                  <w:r w:rsidR="00A874C0">
                    <w:rPr>
                      <w:rStyle w:val="NoteLabel"/>
                      <w:b w:val="0"/>
                      <w:sz w:val="20"/>
                    </w:rPr>
                    <w:t>u</w:t>
                  </w:r>
                  <w:r>
                    <w:rPr>
                      <w:rStyle w:val="NoteLabel"/>
                      <w:b w:val="0"/>
                      <w:sz w:val="20"/>
                    </w:rPr>
                    <w:t>nemployment</w:t>
                  </w:r>
                </w:p>
              </w:tc>
              <w:tc>
                <w:tcPr>
                  <w:tcW w:w="835" w:type="pct"/>
                </w:tcPr>
                <w:p w:rsidR="007D6D11" w:rsidRDefault="007D6D11" w:rsidP="007E4CFD">
                  <w:pPr>
                    <w:pStyle w:val="TableBodyText"/>
                  </w:pPr>
                  <w:r>
                    <w:t>8.39</w:t>
                  </w:r>
                </w:p>
              </w:tc>
              <w:tc>
                <w:tcPr>
                  <w:tcW w:w="836" w:type="pct"/>
                </w:tcPr>
                <w:p w:rsidR="007D6D11" w:rsidRPr="007974EC" w:rsidRDefault="007D6D11" w:rsidP="007E4CFD">
                  <w:pPr>
                    <w:pStyle w:val="TableBodyText"/>
                    <w:ind w:right="56"/>
                  </w:pPr>
                </w:p>
              </w:tc>
            </w:tr>
            <w:tr w:rsidR="007D6D11" w:rsidTr="007E4CFD">
              <w:tc>
                <w:tcPr>
                  <w:tcW w:w="3329" w:type="pct"/>
                  <w:shd w:val="clear" w:color="auto" w:fill="auto"/>
                </w:tcPr>
                <w:p w:rsidR="007D6D11" w:rsidRDefault="00A874C0" w:rsidP="007E4CFD">
                  <w:pPr>
                    <w:pStyle w:val="TableBodyText"/>
                    <w:jc w:val="left"/>
                  </w:pPr>
                  <w:r>
                    <w:t>ABS u</w:t>
                  </w:r>
                  <w:r w:rsidR="007D6D11" w:rsidRPr="005B4E4B">
                    <w:t>nemployment plus marginally attached</w:t>
                  </w:r>
                </w:p>
              </w:tc>
              <w:tc>
                <w:tcPr>
                  <w:tcW w:w="835" w:type="pct"/>
                  <w:shd w:val="clear" w:color="auto" w:fill="auto"/>
                </w:tcPr>
                <w:p w:rsidR="007D6D11" w:rsidRDefault="007D6D11" w:rsidP="007E4CFD">
                  <w:pPr>
                    <w:pStyle w:val="TableBodyText"/>
                  </w:pPr>
                  <w:r>
                    <w:t>10.38</w:t>
                  </w:r>
                </w:p>
              </w:tc>
              <w:tc>
                <w:tcPr>
                  <w:tcW w:w="836" w:type="pct"/>
                </w:tcPr>
                <w:p w:rsidR="007D6D11" w:rsidRPr="007974EC" w:rsidRDefault="007D6D11" w:rsidP="007E4CFD">
                  <w:pPr>
                    <w:pStyle w:val="TableBodyText"/>
                    <w:ind w:right="56"/>
                  </w:pPr>
                </w:p>
              </w:tc>
            </w:tr>
            <w:tr w:rsidR="007D6D11" w:rsidTr="007E4CFD">
              <w:tc>
                <w:tcPr>
                  <w:tcW w:w="3329" w:type="pct"/>
                  <w:shd w:val="clear" w:color="auto" w:fill="auto"/>
                </w:tcPr>
                <w:p w:rsidR="007D6D11" w:rsidRDefault="00A874C0" w:rsidP="007E4CFD">
                  <w:pPr>
                    <w:pStyle w:val="TableBodyText"/>
                    <w:jc w:val="left"/>
                  </w:pPr>
                  <w:r>
                    <w:t>ABS u</w:t>
                  </w:r>
                  <w:r w:rsidR="007D6D11" w:rsidRPr="005B4E4B">
                    <w:t>nemployment plus marginally attached</w:t>
                  </w:r>
                  <w:r w:rsidR="007D6D11">
                    <w:t xml:space="preserve"> less study</w:t>
                  </w:r>
                </w:p>
              </w:tc>
              <w:tc>
                <w:tcPr>
                  <w:tcW w:w="835" w:type="pct"/>
                  <w:shd w:val="clear" w:color="auto" w:fill="auto"/>
                </w:tcPr>
                <w:p w:rsidR="007D6D11" w:rsidRDefault="007D6D11" w:rsidP="007E4CFD">
                  <w:pPr>
                    <w:pStyle w:val="TableBodyText"/>
                  </w:pPr>
                  <w:r>
                    <w:t>5.99</w:t>
                  </w:r>
                </w:p>
              </w:tc>
              <w:tc>
                <w:tcPr>
                  <w:tcW w:w="836" w:type="pct"/>
                </w:tcPr>
                <w:p w:rsidR="007D6D11" w:rsidRPr="007974EC" w:rsidRDefault="007D6D11" w:rsidP="007E4CFD">
                  <w:pPr>
                    <w:pStyle w:val="TableBodyText"/>
                    <w:ind w:right="56"/>
                  </w:pPr>
                  <w:r>
                    <w:t>6.60</w:t>
                  </w:r>
                </w:p>
              </w:tc>
            </w:tr>
            <w:tr w:rsidR="007D6D11" w:rsidTr="007E4CFD">
              <w:tc>
                <w:tcPr>
                  <w:tcW w:w="3329" w:type="pct"/>
                  <w:shd w:val="clear" w:color="auto" w:fill="auto"/>
                </w:tcPr>
                <w:p w:rsidR="007D6D11" w:rsidRPr="00876C9C" w:rsidRDefault="007D6D11" w:rsidP="007E4CFD">
                  <w:pPr>
                    <w:pStyle w:val="TableBodyText"/>
                    <w:jc w:val="left"/>
                    <w:rPr>
                      <w:i/>
                    </w:rPr>
                  </w:pPr>
                  <w:r w:rsidRPr="00876C9C">
                    <w:rPr>
                      <w:i/>
                    </w:rPr>
                    <w:t xml:space="preserve">Share of unemployment among jobless </w:t>
                  </w:r>
                  <w:r>
                    <w:rPr>
                      <w:i/>
                    </w:rPr>
                    <w:t>students</w:t>
                  </w:r>
                </w:p>
              </w:tc>
              <w:tc>
                <w:tcPr>
                  <w:tcW w:w="835" w:type="pct"/>
                  <w:shd w:val="clear" w:color="auto" w:fill="auto"/>
                </w:tcPr>
                <w:p w:rsidR="007D6D11" w:rsidRPr="00876C9C" w:rsidRDefault="007D6D11" w:rsidP="007E4CFD">
                  <w:pPr>
                    <w:pStyle w:val="TableBodyText"/>
                    <w:rPr>
                      <w:i/>
                    </w:rPr>
                  </w:pPr>
                  <w:r>
                    <w:rPr>
                      <w:i/>
                    </w:rPr>
                    <w:t>0.362</w:t>
                  </w:r>
                </w:p>
              </w:tc>
              <w:tc>
                <w:tcPr>
                  <w:tcW w:w="836" w:type="pct"/>
                </w:tcPr>
                <w:p w:rsidR="007D6D11" w:rsidRPr="00876C9C" w:rsidRDefault="007D6D11" w:rsidP="007E4CFD">
                  <w:pPr>
                    <w:pStyle w:val="TableBodyText"/>
                    <w:ind w:right="56"/>
                    <w:rPr>
                      <w:i/>
                    </w:rPr>
                  </w:pPr>
                </w:p>
              </w:tc>
            </w:tr>
            <w:tr w:rsidR="007D6D11" w:rsidTr="007E4CFD">
              <w:tc>
                <w:tcPr>
                  <w:tcW w:w="3329" w:type="pct"/>
                  <w:tcBorders>
                    <w:bottom w:val="single" w:sz="6" w:space="0" w:color="auto"/>
                  </w:tcBorders>
                  <w:shd w:val="clear" w:color="auto" w:fill="auto"/>
                </w:tcPr>
                <w:p w:rsidR="007D6D11" w:rsidRDefault="007D6D11" w:rsidP="007E4CFD">
                  <w:pPr>
                    <w:pStyle w:val="TableBodyText"/>
                    <w:jc w:val="left"/>
                  </w:pPr>
                  <w:r>
                    <w:t>Total jobless (incl. study)</w:t>
                  </w:r>
                </w:p>
              </w:tc>
              <w:tc>
                <w:tcPr>
                  <w:tcW w:w="835" w:type="pct"/>
                  <w:tcBorders>
                    <w:bottom w:val="single" w:sz="6" w:space="0" w:color="auto"/>
                  </w:tcBorders>
                  <w:shd w:val="clear" w:color="auto" w:fill="auto"/>
                </w:tcPr>
                <w:p w:rsidR="007D6D11" w:rsidRDefault="007D6D11" w:rsidP="007E4CFD">
                  <w:pPr>
                    <w:pStyle w:val="TableBodyText"/>
                  </w:pPr>
                  <w:r>
                    <w:t>22.08</w:t>
                  </w:r>
                </w:p>
              </w:tc>
              <w:tc>
                <w:tcPr>
                  <w:tcW w:w="836" w:type="pct"/>
                  <w:tcBorders>
                    <w:bottom w:val="single" w:sz="6" w:space="0" w:color="auto"/>
                  </w:tcBorders>
                </w:tcPr>
                <w:p w:rsidR="007D6D11" w:rsidRPr="007974EC" w:rsidRDefault="007D6D11" w:rsidP="007E4CFD">
                  <w:pPr>
                    <w:pStyle w:val="TableBodyText"/>
                    <w:ind w:right="56"/>
                  </w:pPr>
                  <w:r>
                    <w:t>22.95</w:t>
                  </w:r>
                </w:p>
              </w:tc>
            </w:tr>
          </w:tbl>
          <w:p w:rsidR="007D6D11" w:rsidRDefault="00F832FF" w:rsidP="00F832FF">
            <w:pPr>
              <w:pStyle w:val="Note"/>
            </w:pPr>
            <w:r>
              <w:rPr>
                <w:rStyle w:val="NoteLabel"/>
              </w:rPr>
              <w:t>a</w:t>
            </w:r>
            <w:r>
              <w:t> </w:t>
            </w:r>
            <w:r w:rsidR="007D6D11">
              <w:t>Estimate based on share of study among all jobless from calendar data.</w:t>
            </w:r>
          </w:p>
        </w:tc>
      </w:tr>
      <w:tr w:rsidR="007D6D11">
        <w:trPr>
          <w:cantSplit/>
        </w:trPr>
        <w:tc>
          <w:tcPr>
            <w:tcW w:w="8771" w:type="dxa"/>
            <w:tcBorders>
              <w:top w:val="nil"/>
              <w:left w:val="single" w:sz="6" w:space="0" w:color="auto"/>
              <w:bottom w:val="nil"/>
              <w:right w:val="single" w:sz="6" w:space="0" w:color="auto"/>
            </w:tcBorders>
          </w:tcPr>
          <w:p w:rsidR="007D6D11" w:rsidRDefault="007D6D11">
            <w:pPr>
              <w:pStyle w:val="BoxSource"/>
            </w:pPr>
            <w:r>
              <w:rPr>
                <w:i/>
              </w:rPr>
              <w:t>Source</w:t>
            </w:r>
            <w:r>
              <w:t xml:space="preserve">: </w:t>
            </w:r>
            <w:r w:rsidR="005C3704">
              <w:t>Authors’ estimates</w:t>
            </w:r>
            <w:r>
              <w:t xml:space="preserve"> based on HILDA waves 1–10.</w:t>
            </w:r>
          </w:p>
        </w:tc>
      </w:tr>
      <w:tr w:rsidR="007D6D11">
        <w:trPr>
          <w:cantSplit/>
        </w:trPr>
        <w:tc>
          <w:tcPr>
            <w:tcW w:w="8771" w:type="dxa"/>
            <w:tcBorders>
              <w:top w:val="nil"/>
              <w:left w:val="single" w:sz="6" w:space="0" w:color="auto"/>
              <w:bottom w:val="single" w:sz="6" w:space="0" w:color="auto"/>
              <w:right w:val="single" w:sz="6" w:space="0" w:color="auto"/>
            </w:tcBorders>
          </w:tcPr>
          <w:p w:rsidR="007D6D11" w:rsidRDefault="007D6D11">
            <w:pPr>
              <w:pStyle w:val="Box"/>
              <w:spacing w:before="0" w:line="120" w:lineRule="exact"/>
            </w:pPr>
          </w:p>
        </w:tc>
      </w:tr>
      <w:tr w:rsidR="007D6D11" w:rsidRPr="000863A5">
        <w:tc>
          <w:tcPr>
            <w:tcW w:w="8771" w:type="dxa"/>
            <w:tcBorders>
              <w:top w:val="nil"/>
              <w:left w:val="nil"/>
              <w:bottom w:val="nil"/>
              <w:right w:val="nil"/>
            </w:tcBorders>
          </w:tcPr>
          <w:p w:rsidR="007D6D11" w:rsidRPr="00626D32" w:rsidRDefault="007D6D11" w:rsidP="007E4CFD">
            <w:pPr>
              <w:pStyle w:val="BoxSpaceBelow"/>
            </w:pPr>
          </w:p>
        </w:tc>
      </w:tr>
    </w:tbl>
    <w:p w:rsidR="0002368C" w:rsidRDefault="0002368C" w:rsidP="0002368C">
      <w:pPr>
        <w:pStyle w:val="Heading3"/>
      </w:pPr>
      <w:r>
        <w:lastRenderedPageBreak/>
        <w:t>Youth</w:t>
      </w:r>
      <w:r w:rsidR="00436C53">
        <w:t>s</w:t>
      </w:r>
      <w:r>
        <w:t xml:space="preserve"> in the </w:t>
      </w:r>
      <w:r w:rsidRPr="003B21DA">
        <w:rPr>
          <w:i/>
        </w:rPr>
        <w:t>Work and Study to Work</w:t>
      </w:r>
      <w:r>
        <w:t xml:space="preserve"> pathway</w:t>
      </w:r>
    </w:p>
    <w:p w:rsidR="00907FA7" w:rsidRDefault="00907FA7" w:rsidP="00907FA7">
      <w:pPr>
        <w:pStyle w:val="BodyText"/>
      </w:pPr>
      <w:r>
        <w:t xml:space="preserve">In the </w:t>
      </w:r>
      <w:r w:rsidRPr="009D5C03">
        <w:rPr>
          <w:i/>
        </w:rPr>
        <w:t xml:space="preserve">Work and </w:t>
      </w:r>
      <w:r w:rsidR="00A310CE">
        <w:rPr>
          <w:i/>
        </w:rPr>
        <w:t>S</w:t>
      </w:r>
      <w:r w:rsidRPr="009D5C03">
        <w:rPr>
          <w:i/>
        </w:rPr>
        <w:t xml:space="preserve">tudy to </w:t>
      </w:r>
      <w:r w:rsidR="00A310CE">
        <w:rPr>
          <w:i/>
        </w:rPr>
        <w:t>W</w:t>
      </w:r>
      <w:r w:rsidRPr="009D5C03">
        <w:rPr>
          <w:i/>
        </w:rPr>
        <w:t>ork</w:t>
      </w:r>
      <w:r>
        <w:t xml:space="preserve"> pathway, most individuals are making the transition from education to work</w:t>
      </w:r>
      <w:r w:rsidR="008E77AD">
        <w:t xml:space="preserve"> (figure </w:t>
      </w:r>
      <w:r w:rsidR="00121B7F">
        <w:t>3.2</w:t>
      </w:r>
      <w:r w:rsidR="008A35F1">
        <w:t xml:space="preserve"> below</w:t>
      </w:r>
      <w:r w:rsidR="008E77AD">
        <w:t>)</w:t>
      </w:r>
      <w:r>
        <w:t>. In 2001, the average age is 18.6</w:t>
      </w:r>
      <w:r w:rsidR="008E77AD">
        <w:t> </w:t>
      </w:r>
      <w:r>
        <w:t>years</w:t>
      </w:r>
      <w:r w:rsidR="00D26C1D">
        <w:t xml:space="preserve"> (table </w:t>
      </w:r>
      <w:r w:rsidR="00121B7F">
        <w:t>3.2</w:t>
      </w:r>
      <w:r w:rsidR="008A35F1">
        <w:t xml:space="preserve"> below</w:t>
      </w:r>
      <w:r w:rsidR="00D26C1D">
        <w:t>)</w:t>
      </w:r>
      <w:r>
        <w:t>, with most individuals aged 15–21</w:t>
      </w:r>
      <w:r w:rsidR="00D26C1D">
        <w:t xml:space="preserve"> (not </w:t>
      </w:r>
      <w:r w:rsidR="009602EF">
        <w:t>shown</w:t>
      </w:r>
      <w:r w:rsidR="00D26C1D">
        <w:t>)</w:t>
      </w:r>
      <w:r>
        <w:t xml:space="preserve">. Initial education levels are low to medium, with the majority of individuals having attained Year 11 or Year 12. Those with high education levels represent 8 per cent of the group. </w:t>
      </w:r>
    </w:p>
    <w:p w:rsidR="00907FA7" w:rsidRDefault="00907FA7" w:rsidP="00907FA7">
      <w:pPr>
        <w:pStyle w:val="BodyText"/>
      </w:pPr>
      <w:r>
        <w:t>Most youth</w:t>
      </w:r>
      <w:r w:rsidR="00126565">
        <w:t>s</w:t>
      </w:r>
      <w:r>
        <w:t xml:space="preserve"> in this pathway start off in study only (</w:t>
      </w:r>
      <w:r w:rsidR="007E72BD">
        <w:t xml:space="preserve">particularly </w:t>
      </w:r>
      <w:r>
        <w:t>the under 18s, who are still at school) or combine work and study (predominantly those aged 18 or over who have left school having completed Year 12). For these older individuals, there are some whose area of study is related to their current occupation (such as those with apprenticeships). This is not the case for most, who work in hospitality, retail or labouring while studying for a degree.</w:t>
      </w:r>
    </w:p>
    <w:p w:rsidR="00907FA7" w:rsidRDefault="00907FA7" w:rsidP="00907FA7">
      <w:pPr>
        <w:pStyle w:val="BodyText"/>
      </w:pPr>
      <w:r>
        <w:t>The remainder — typically aged 18 or over — are not studying and tend to be in work. This might be the first job in their chosen vocation after leaving the education system with mid</w:t>
      </w:r>
      <w:r w:rsidR="00914827">
        <w:noBreakHyphen/>
      </w:r>
      <w:r>
        <w:t xml:space="preserve">level qualifications (Year 12), or could represent employment while taking a ‘gap year’ from study. Very few individuals who are not studying are unemployed or </w:t>
      </w:r>
      <w:r w:rsidR="003F6024">
        <w:t>NILF</w:t>
      </w:r>
      <w:r>
        <w:t>.</w:t>
      </w:r>
    </w:p>
    <w:p w:rsidR="00907FA7" w:rsidRDefault="00907FA7" w:rsidP="00907FA7">
      <w:pPr>
        <w:pStyle w:val="BodyText"/>
      </w:pPr>
      <w:r>
        <w:t>By 2003, the average age is 20.6 years and most individuals are aged 18 or over. The overwhelming majority are combining work and study</w:t>
      </w:r>
      <w:r w:rsidR="00BE2459">
        <w:t xml:space="preserve"> (figure </w:t>
      </w:r>
      <w:r w:rsidR="00121B7F">
        <w:t>3.2</w:t>
      </w:r>
      <w:r w:rsidR="00BE2459">
        <w:t>)</w:t>
      </w:r>
      <w:r>
        <w:t>. Their work may or may not be in their chosen field.</w:t>
      </w:r>
    </w:p>
    <w:p w:rsidR="00907FA7" w:rsidRDefault="00907FA7" w:rsidP="00907FA7">
      <w:pPr>
        <w:pStyle w:val="BodyText"/>
      </w:pPr>
      <w:r>
        <w:t>In 2005, the group is now in their early</w:t>
      </w:r>
      <w:r w:rsidR="00914827">
        <w:noBreakHyphen/>
      </w:r>
      <w:r>
        <w:t xml:space="preserve"> to mid</w:t>
      </w:r>
      <w:r w:rsidR="00914827">
        <w:noBreakHyphen/>
      </w:r>
      <w:r>
        <w:t>20s and the balance of activities shifts from education to work as post</w:t>
      </w:r>
      <w:r w:rsidR="00914827">
        <w:noBreakHyphen/>
      </w:r>
      <w:r>
        <w:t>school qualifications are likely to be completed. For those who have finished their initial study and are in work only, their jobs are more likely to relate to their acquired qualifications.</w:t>
      </w:r>
    </w:p>
    <w:p w:rsidR="00907FA7" w:rsidRDefault="00907FA7" w:rsidP="00907FA7">
      <w:pPr>
        <w:pStyle w:val="BodyText"/>
      </w:pPr>
      <w:r>
        <w:t>From 2007, a</w:t>
      </w:r>
      <w:r w:rsidR="001B418A">
        <w:t>bout</w:t>
      </w:r>
      <w:r>
        <w:t xml:space="preserve"> one quarter of individuals who have been in work only for one or two years re</w:t>
      </w:r>
      <w:r w:rsidR="00914827">
        <w:noBreakHyphen/>
      </w:r>
      <w:r>
        <w:t>enter the education system and combine work and study. This could represent higher level qualifications (beyond entry</w:t>
      </w:r>
      <w:r w:rsidR="00703143">
        <w:t xml:space="preserve"> </w:t>
      </w:r>
      <w:r>
        <w:t>level for the chosen vocation) undertaken for career advancement.</w:t>
      </w:r>
    </w:p>
    <w:p w:rsidR="00907FA7" w:rsidRDefault="00907FA7" w:rsidP="00907FA7">
      <w:pPr>
        <w:pStyle w:val="BodyText"/>
      </w:pPr>
      <w:r>
        <w:t>By 2010, when the group is aged between 24 and 33 (28.6 years on average), most individuals are in work (with or without study) and education levels are much higher than in 2001</w:t>
      </w:r>
      <w:r w:rsidR="00EF4516">
        <w:t>.</w:t>
      </w:r>
      <w:r>
        <w:t xml:space="preserve"> </w:t>
      </w:r>
      <w:r w:rsidR="00EF4516">
        <w:t>O</w:t>
      </w:r>
      <w:r>
        <w:t>ver half of the group hav</w:t>
      </w:r>
      <w:r w:rsidR="00EF4516">
        <w:t>e</w:t>
      </w:r>
      <w:r>
        <w:t xml:space="preserve"> attained at least a Bachelor </w:t>
      </w:r>
      <w:r w:rsidR="00EF4516">
        <w:t>D</w:t>
      </w:r>
      <w:r>
        <w:t>egree</w:t>
      </w:r>
      <w:r w:rsidR="0048074A">
        <w:t xml:space="preserve"> </w:t>
      </w:r>
      <w:r w:rsidR="00EF4516">
        <w:t xml:space="preserve">by this stage </w:t>
      </w:r>
      <w:r w:rsidR="0048074A">
        <w:t>(table </w:t>
      </w:r>
      <w:r w:rsidR="00121B7F">
        <w:t>3.2</w:t>
      </w:r>
      <w:r w:rsidR="0048074A">
        <w:t>)</w:t>
      </w:r>
      <w:r>
        <w:t>. Those who are not working tend to be women taking time out f</w:t>
      </w:r>
      <w:r w:rsidR="00BF7496">
        <w:t>rom</w:t>
      </w:r>
      <w:r>
        <w:t xml:space="preserve"> the labour force to raise children.</w:t>
      </w:r>
    </w:p>
    <w:p w:rsidR="00907FA7" w:rsidRDefault="00907FA7" w:rsidP="00907FA7">
      <w:pPr>
        <w:pStyle w:val="BodyText"/>
      </w:pPr>
      <w:r>
        <w:t>Over the ten</w:t>
      </w:r>
      <w:r w:rsidR="000E7AFC">
        <w:noBreakHyphen/>
      </w:r>
      <w:r>
        <w:t xml:space="preserve">year period, education levels have risen </w:t>
      </w:r>
      <w:r w:rsidR="00393E20">
        <w:t>because</w:t>
      </w:r>
      <w:r>
        <w:t xml:space="preserve"> everyone </w:t>
      </w:r>
      <w:r w:rsidR="002F11B3">
        <w:t xml:space="preserve">in this pathway </w:t>
      </w:r>
      <w:r>
        <w:t xml:space="preserve">has spent some time studying. </w:t>
      </w:r>
      <w:r w:rsidR="002F11B3">
        <w:t xml:space="preserve">They also </w:t>
      </w:r>
      <w:r>
        <w:t xml:space="preserve">spent some time combining work </w:t>
      </w:r>
      <w:r>
        <w:lastRenderedPageBreak/>
        <w:t>and study, averaging about three spells of 15.89 months per spell</w:t>
      </w:r>
      <w:r w:rsidR="00D26C1D">
        <w:t xml:space="preserve"> (table </w:t>
      </w:r>
      <w:r w:rsidR="00121B7F">
        <w:t>3.3</w:t>
      </w:r>
      <w:r w:rsidR="008A35F1">
        <w:t xml:space="preserve"> below</w:t>
      </w:r>
      <w:r w:rsidR="00D26C1D">
        <w:t>)</w:t>
      </w:r>
      <w:r>
        <w:t xml:space="preserve">. Over 60 per cent also spent time in study only averaging two spells of </w:t>
      </w:r>
      <w:r w:rsidR="007E4CFD">
        <w:t>seven</w:t>
      </w:r>
      <w:r>
        <w:t xml:space="preserve"> months each. Everyone spent some time in work only, averaging about three spells of 20</w:t>
      </w:r>
      <w:r w:rsidR="00C42746">
        <w:t> </w:t>
      </w:r>
      <w:r>
        <w:t>months</w:t>
      </w:r>
      <w:r w:rsidR="00393E20">
        <w:t xml:space="preserve"> each</w:t>
      </w:r>
      <w:r>
        <w:t xml:space="preserve">. Any experience of unemployment or NILF tended to be of short duration </w:t>
      </w:r>
      <w:r w:rsidR="00EF4516">
        <w:t xml:space="preserve">— </w:t>
      </w:r>
      <w:r w:rsidR="007E4CFD">
        <w:t xml:space="preserve">three to four </w:t>
      </w:r>
      <w:r>
        <w:t>months on average</w:t>
      </w:r>
      <w:r w:rsidR="00EF4516">
        <w:t xml:space="preserve"> —</w:t>
      </w:r>
      <w:r>
        <w:t xml:space="preserve"> although some individuals had repeated spells.</w:t>
      </w:r>
      <w:r w:rsidR="00720EE2">
        <w:t xml:space="preserve"> By 2010, the </w:t>
      </w:r>
      <w:r w:rsidR="00C33ADE">
        <w:t xml:space="preserve">share of individuals in this pathway who are unemployed </w:t>
      </w:r>
      <w:r w:rsidR="00720EE2">
        <w:t xml:space="preserve">is very low </w:t>
      </w:r>
      <w:r w:rsidR="00C33ADE">
        <w:t>(</w:t>
      </w:r>
      <w:r w:rsidR="00720EE2">
        <w:t xml:space="preserve">1.64 per cent compared to the </w:t>
      </w:r>
      <w:r w:rsidR="00AE79D0">
        <w:t>4.45</w:t>
      </w:r>
      <w:r w:rsidR="00720EE2">
        <w:t xml:space="preserve"> per cent for all youth pathways)</w:t>
      </w:r>
      <w:r w:rsidR="009602EF" w:rsidRPr="009602EF">
        <w:t xml:space="preserve"> </w:t>
      </w:r>
      <w:r w:rsidR="009602EF">
        <w:t>(table </w:t>
      </w:r>
      <w:r w:rsidR="00121B7F">
        <w:t>3.2</w:t>
      </w:r>
      <w:r w:rsidR="009602EF">
        <w:t>)</w:t>
      </w:r>
      <w:r w:rsidR="00720EE2">
        <w:t>.</w:t>
      </w:r>
    </w:p>
    <w:p w:rsidR="001A4013" w:rsidRDefault="00B22802" w:rsidP="00907FA7">
      <w:pPr>
        <w:pStyle w:val="BodyText"/>
      </w:pPr>
      <w:r>
        <w:t>I</w:t>
      </w:r>
      <w:r w:rsidR="001A4013" w:rsidRPr="002F11B3">
        <w:t>ndividuals in this pathway gravitate to the major cities (66.4 per cent in 2001 and 72.1 per cent in 2010).</w:t>
      </w:r>
      <w:r w:rsidR="002F11B3" w:rsidRPr="002F11B3">
        <w:t xml:space="preserve"> This is likely to be associated with them studying at universities and then remaining in the major cities.</w:t>
      </w:r>
    </w:p>
    <w:p w:rsidR="0002368C" w:rsidRPr="0002368C" w:rsidRDefault="0002368C" w:rsidP="00774848">
      <w:pPr>
        <w:pStyle w:val="FigureTitle"/>
      </w:pPr>
      <w:r>
        <w:rPr>
          <w:b w:val="0"/>
        </w:rPr>
        <w:lastRenderedPageBreak/>
        <w:t xml:space="preserve">Figure </w:t>
      </w:r>
      <w:bookmarkStart w:id="13" w:name="OLE_LINK10"/>
      <w:r w:rsidR="00121B7F">
        <w:rPr>
          <w:b w:val="0"/>
        </w:rPr>
        <w:t>3.</w:t>
      </w:r>
      <w:r w:rsidR="00C42746">
        <w:rPr>
          <w:b w:val="0"/>
          <w:noProof/>
        </w:rPr>
        <w:t>2</w:t>
      </w:r>
      <w:bookmarkEnd w:id="13"/>
      <w:r>
        <w:tab/>
        <w:t xml:space="preserve">Activities in the </w:t>
      </w:r>
      <w:r w:rsidR="006456C9" w:rsidRPr="00EF4516">
        <w:rPr>
          <w:i/>
        </w:rPr>
        <w:t>Work and Study to Work</w:t>
      </w:r>
      <w:r>
        <w:t xml:space="preserve"> pathway for youth</w:t>
      </w:r>
      <w:r w:rsidR="00A310CE">
        <w:t>s</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907FA7" w:rsidTr="00500036">
        <w:tc>
          <w:tcPr>
            <w:tcW w:w="8777" w:type="dxa"/>
          </w:tcPr>
          <w:p w:rsidR="00907FA7" w:rsidRPr="00AF4FFC" w:rsidRDefault="00907FA7" w:rsidP="00500036">
            <w:pPr>
              <w:pStyle w:val="Figure"/>
              <w:rPr>
                <w:rFonts w:ascii="Arial" w:hAnsi="Arial" w:cs="Arial"/>
                <w:b/>
                <w:sz w:val="20"/>
              </w:rPr>
            </w:pPr>
            <w:r w:rsidRPr="00AF4FFC">
              <w:rPr>
                <w:rFonts w:ascii="Arial" w:hAnsi="Arial" w:cs="Arial"/>
                <w:b/>
                <w:sz w:val="20"/>
              </w:rPr>
              <w:t>(A) Activity sequences by individual</w:t>
            </w:r>
          </w:p>
          <w:p w:rsidR="00907FA7" w:rsidRDefault="0010237B" w:rsidP="007673E2">
            <w:pPr>
              <w:pStyle w:val="Figure"/>
              <w:jc w:val="left"/>
            </w:pPr>
            <w:r>
              <w:rPr>
                <w:noProof/>
              </w:rPr>
              <w:t>       </w:t>
            </w:r>
            <w:r w:rsidR="00641FB9">
              <w:rPr>
                <w:noProof/>
              </w:rPr>
              <w:t> </w:t>
            </w:r>
            <w:r w:rsidR="00BB11D7">
              <w:rPr>
                <w:noProof/>
              </w:rPr>
              <w:t>  </w:t>
            </w:r>
            <w:r w:rsidR="00BB11D7">
              <w:rPr>
                <w:noProof/>
              </w:rPr>
              <w:drawing>
                <wp:inline distT="0" distB="0" distL="0" distR="0" wp14:anchorId="0C46AF8C" wp14:editId="0EC944EF">
                  <wp:extent cx="4521600" cy="3286800"/>
                  <wp:effectExtent l="0" t="0" r="0" b="0"/>
                  <wp:docPr id="1" name="Picture 1" descr="Figure 3.2 Activities in the Work and Study to Work pathway for youths panel A - Activity sequences by individual&#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Longitudinal Surveys\Hilda R10\100c\CB\meanprobdist\recode activity\final SI plots\y_3.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398" t="548" r="398" b="-548"/>
                          <a:stretch/>
                        </pic:blipFill>
                        <pic:spPr bwMode="auto">
                          <a:xfrm>
                            <a:off x="0" y="0"/>
                            <a:ext cx="4521600" cy="3286800"/>
                          </a:xfrm>
                          <a:prstGeom prst="rect">
                            <a:avLst/>
                          </a:prstGeom>
                          <a:noFill/>
                          <a:ln>
                            <a:noFill/>
                          </a:ln>
                        </pic:spPr>
                      </pic:pic>
                    </a:graphicData>
                  </a:graphic>
                </wp:inline>
              </w:drawing>
            </w:r>
          </w:p>
        </w:tc>
      </w:tr>
      <w:tr w:rsidR="00907FA7" w:rsidTr="00500036">
        <w:tblPrEx>
          <w:tblCellMar>
            <w:left w:w="108" w:type="dxa"/>
            <w:right w:w="108" w:type="dxa"/>
          </w:tblCellMar>
        </w:tblPrEx>
        <w:tc>
          <w:tcPr>
            <w:tcW w:w="8777" w:type="dxa"/>
          </w:tcPr>
          <w:p w:rsidR="00907FA7" w:rsidRPr="00AF4FFC" w:rsidRDefault="00907FA7" w:rsidP="00A413CD">
            <w:pPr>
              <w:pStyle w:val="Figure"/>
              <w:rPr>
                <w:rFonts w:ascii="Arial" w:hAnsi="Arial" w:cs="Arial"/>
                <w:b/>
                <w:sz w:val="20"/>
              </w:rPr>
            </w:pPr>
            <w:r w:rsidRPr="00AF4FFC">
              <w:rPr>
                <w:rFonts w:ascii="Arial" w:hAnsi="Arial" w:cs="Arial"/>
                <w:b/>
                <w:sz w:val="20"/>
              </w:rPr>
              <w:t>(B) Activities by monthly share</w:t>
            </w:r>
          </w:p>
          <w:p w:rsidR="00907FA7" w:rsidRDefault="00302A2C" w:rsidP="00DE3075">
            <w:pPr>
              <w:pStyle w:val="Figure"/>
            </w:pPr>
            <w:r>
              <w:rPr>
                <w:noProof/>
              </w:rPr>
              <w:drawing>
                <wp:inline distT="0" distB="0" distL="0" distR="0" wp14:anchorId="5A664BB5" wp14:editId="21733227">
                  <wp:extent cx="4222800" cy="2757600"/>
                  <wp:effectExtent l="0" t="0" r="0" b="0"/>
                  <wp:docPr id="16" name="Picture 16" descr="Figure 3.2 Activities in the Work and Study to Work pathway for youths panel B - Activities by monthly sh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2800" cy="2757600"/>
                          </a:xfrm>
                          <a:prstGeom prst="rect">
                            <a:avLst/>
                          </a:prstGeom>
                          <a:noFill/>
                        </pic:spPr>
                      </pic:pic>
                    </a:graphicData>
                  </a:graphic>
                </wp:inline>
              </w:drawing>
            </w:r>
          </w:p>
        </w:tc>
      </w:tr>
    </w:tbl>
    <w:p w:rsidR="00907FA7" w:rsidRDefault="00907FA7" w:rsidP="00907FA7">
      <w:pPr>
        <w:pStyle w:val="Source"/>
      </w:pPr>
      <w:r>
        <w:rPr>
          <w:i/>
        </w:rPr>
        <w:t>Data source</w:t>
      </w:r>
      <w:r w:rsidRPr="00167F06">
        <w:t xml:space="preserve">: </w:t>
      </w:r>
      <w:r w:rsidR="005C3704">
        <w:t xml:space="preserve">Authors’ estimates </w:t>
      </w:r>
      <w:r>
        <w:t>based on HILDA waves 1–10.</w:t>
      </w:r>
    </w:p>
    <w:p w:rsidR="0002368C" w:rsidRDefault="0002368C" w:rsidP="00A413CD">
      <w:pPr>
        <w:pStyle w:val="TableTitle"/>
      </w:pPr>
      <w:r>
        <w:rPr>
          <w:b w:val="0"/>
        </w:rPr>
        <w:lastRenderedPageBreak/>
        <w:t xml:space="preserve">Table </w:t>
      </w:r>
      <w:bookmarkStart w:id="14" w:name="OLE_LINK11"/>
      <w:r w:rsidR="00121B7F">
        <w:rPr>
          <w:b w:val="0"/>
        </w:rPr>
        <w:t>3.</w:t>
      </w:r>
      <w:r w:rsidR="00C42746">
        <w:rPr>
          <w:b w:val="0"/>
          <w:noProof/>
        </w:rPr>
        <w:t>2</w:t>
      </w:r>
      <w:bookmarkEnd w:id="14"/>
      <w:r>
        <w:tab/>
        <w:t xml:space="preserve">Selected characteristics of individuals in the </w:t>
      </w:r>
      <w:r w:rsidR="006456C9" w:rsidRPr="00EF4516">
        <w:rPr>
          <w:i/>
        </w:rPr>
        <w:t>Work and Study to Work</w:t>
      </w:r>
      <w:r>
        <w:t xml:space="preserve"> pathway for youth</w:t>
      </w:r>
      <w:r w:rsidR="001678FB">
        <w:t>s</w:t>
      </w:r>
    </w:p>
    <w:tbl>
      <w:tblPr>
        <w:tblW w:w="0" w:type="auto"/>
        <w:tblLayout w:type="fixed"/>
        <w:tblCellMar>
          <w:left w:w="0" w:type="dxa"/>
          <w:right w:w="0" w:type="dxa"/>
        </w:tblCellMar>
        <w:tblLook w:val="0000" w:firstRow="0" w:lastRow="0" w:firstColumn="0" w:lastColumn="0" w:noHBand="0" w:noVBand="0"/>
      </w:tblPr>
      <w:tblGrid>
        <w:gridCol w:w="3969"/>
        <w:gridCol w:w="1843"/>
        <w:gridCol w:w="1134"/>
        <w:gridCol w:w="1843"/>
      </w:tblGrid>
      <w:tr w:rsidR="00907FA7" w:rsidTr="00DE224D">
        <w:tc>
          <w:tcPr>
            <w:tcW w:w="3969" w:type="dxa"/>
            <w:tcBorders>
              <w:top w:val="single" w:sz="6" w:space="0" w:color="auto"/>
              <w:bottom w:val="single" w:sz="6" w:space="0" w:color="auto"/>
            </w:tcBorders>
            <w:shd w:val="clear" w:color="auto" w:fill="auto"/>
            <w:vAlign w:val="bottom"/>
          </w:tcPr>
          <w:p w:rsidR="00907FA7" w:rsidRDefault="00907FA7" w:rsidP="00DE224D">
            <w:pPr>
              <w:pStyle w:val="TableColumnHeading"/>
              <w:jc w:val="left"/>
            </w:pPr>
            <w:r>
              <w:t>Characteristic</w:t>
            </w:r>
          </w:p>
        </w:tc>
        <w:tc>
          <w:tcPr>
            <w:tcW w:w="1843" w:type="dxa"/>
            <w:tcBorders>
              <w:top w:val="single" w:sz="6" w:space="0" w:color="auto"/>
              <w:bottom w:val="single" w:sz="6" w:space="0" w:color="auto"/>
            </w:tcBorders>
            <w:shd w:val="clear" w:color="auto" w:fill="auto"/>
            <w:vAlign w:val="bottom"/>
          </w:tcPr>
          <w:p w:rsidR="00907FA7" w:rsidRDefault="00907FA7" w:rsidP="00DE224D">
            <w:pPr>
              <w:pStyle w:val="TableColumnHeading"/>
              <w:jc w:val="left"/>
            </w:pPr>
            <w:r>
              <w:t>Measure</w:t>
            </w:r>
          </w:p>
        </w:tc>
        <w:tc>
          <w:tcPr>
            <w:tcW w:w="1134" w:type="dxa"/>
            <w:tcBorders>
              <w:top w:val="single" w:sz="6" w:space="0" w:color="auto"/>
              <w:bottom w:val="single" w:sz="6" w:space="0" w:color="auto"/>
            </w:tcBorders>
            <w:vAlign w:val="bottom"/>
          </w:tcPr>
          <w:p w:rsidR="00907FA7" w:rsidRDefault="00907FA7" w:rsidP="00DE224D">
            <w:pPr>
              <w:pStyle w:val="TableColumnHeading"/>
            </w:pPr>
            <w:r>
              <w:t>WS–W pathway</w:t>
            </w:r>
          </w:p>
        </w:tc>
        <w:tc>
          <w:tcPr>
            <w:tcW w:w="1843" w:type="dxa"/>
            <w:tcBorders>
              <w:top w:val="single" w:sz="6" w:space="0" w:color="auto"/>
              <w:bottom w:val="single" w:sz="6" w:space="0" w:color="auto"/>
            </w:tcBorders>
            <w:shd w:val="clear" w:color="auto" w:fill="auto"/>
            <w:vAlign w:val="bottom"/>
          </w:tcPr>
          <w:p w:rsidR="00907FA7" w:rsidRDefault="00907FA7" w:rsidP="00DE224D">
            <w:pPr>
              <w:pStyle w:val="TableColumnHeading"/>
              <w:ind w:right="0"/>
            </w:pPr>
            <w:r>
              <w:t>All youth pathways</w:t>
            </w:r>
          </w:p>
        </w:tc>
      </w:tr>
      <w:tr w:rsidR="00907FA7" w:rsidTr="00907FA7">
        <w:tc>
          <w:tcPr>
            <w:tcW w:w="3969" w:type="dxa"/>
          </w:tcPr>
          <w:p w:rsidR="00907FA7" w:rsidRPr="00ED5DF6" w:rsidRDefault="00907FA7" w:rsidP="00907FA7">
            <w:pPr>
              <w:pStyle w:val="TableBodyText"/>
              <w:spacing w:before="80"/>
              <w:jc w:val="left"/>
              <w:rPr>
                <w:b/>
              </w:rPr>
            </w:pPr>
            <w:r w:rsidRPr="00ED5DF6">
              <w:rPr>
                <w:b/>
              </w:rPr>
              <w:t>In 2001:</w:t>
            </w:r>
          </w:p>
        </w:tc>
        <w:tc>
          <w:tcPr>
            <w:tcW w:w="1843" w:type="dxa"/>
          </w:tcPr>
          <w:p w:rsidR="00907FA7" w:rsidRDefault="00907FA7" w:rsidP="00907FA7">
            <w:pPr>
              <w:pStyle w:val="TableBodyText"/>
              <w:spacing w:before="80"/>
              <w:jc w:val="left"/>
            </w:pPr>
          </w:p>
        </w:tc>
        <w:tc>
          <w:tcPr>
            <w:tcW w:w="1134" w:type="dxa"/>
          </w:tcPr>
          <w:p w:rsidR="00907FA7" w:rsidRDefault="00907FA7" w:rsidP="00907FA7">
            <w:pPr>
              <w:pStyle w:val="TableBodyText"/>
              <w:spacing w:before="80"/>
            </w:pPr>
          </w:p>
        </w:tc>
        <w:tc>
          <w:tcPr>
            <w:tcW w:w="1843" w:type="dxa"/>
          </w:tcPr>
          <w:p w:rsidR="00907FA7" w:rsidRDefault="00907FA7" w:rsidP="00907FA7">
            <w:pPr>
              <w:pStyle w:val="TableBodyText"/>
              <w:spacing w:before="80"/>
              <w:ind w:right="0"/>
            </w:pPr>
          </w:p>
        </w:tc>
      </w:tr>
      <w:tr w:rsidR="00907FA7" w:rsidTr="00907FA7">
        <w:tc>
          <w:tcPr>
            <w:tcW w:w="3969" w:type="dxa"/>
          </w:tcPr>
          <w:p w:rsidR="00907FA7" w:rsidRDefault="00E67B47" w:rsidP="00907FA7">
            <w:pPr>
              <w:pStyle w:val="TableBodyText"/>
              <w:jc w:val="left"/>
            </w:pPr>
            <w:r>
              <w:t>a</w:t>
            </w:r>
            <w:r w:rsidR="00907FA7">
              <w:t>ge</w:t>
            </w:r>
          </w:p>
        </w:tc>
        <w:tc>
          <w:tcPr>
            <w:tcW w:w="1843" w:type="dxa"/>
          </w:tcPr>
          <w:p w:rsidR="00907FA7" w:rsidRDefault="00E67B47" w:rsidP="00907FA7">
            <w:pPr>
              <w:pStyle w:val="TableBodyText"/>
              <w:jc w:val="left"/>
            </w:pPr>
            <w:r>
              <w:t>y</w:t>
            </w:r>
            <w:r w:rsidR="00907FA7">
              <w:t>ears, average</w:t>
            </w:r>
          </w:p>
        </w:tc>
        <w:tc>
          <w:tcPr>
            <w:tcW w:w="1134" w:type="dxa"/>
            <w:vAlign w:val="bottom"/>
          </w:tcPr>
          <w:p w:rsidR="00907FA7" w:rsidRDefault="00907FA7" w:rsidP="00907FA7">
            <w:pPr>
              <w:pStyle w:val="TableBodyText"/>
            </w:pPr>
            <w:r>
              <w:t>18.6</w:t>
            </w:r>
          </w:p>
        </w:tc>
        <w:tc>
          <w:tcPr>
            <w:tcW w:w="1843" w:type="dxa"/>
            <w:vAlign w:val="bottom"/>
          </w:tcPr>
          <w:p w:rsidR="00907FA7" w:rsidRPr="00165DAA" w:rsidRDefault="00907FA7" w:rsidP="00907FA7">
            <w:pPr>
              <w:pStyle w:val="TableBodyText"/>
              <w:ind w:right="0"/>
            </w:pPr>
            <w:r w:rsidRPr="00165DAA">
              <w:t>19.2</w:t>
            </w:r>
          </w:p>
        </w:tc>
      </w:tr>
      <w:tr w:rsidR="00907FA7" w:rsidTr="00907FA7">
        <w:tc>
          <w:tcPr>
            <w:tcW w:w="3969" w:type="dxa"/>
          </w:tcPr>
          <w:p w:rsidR="00907FA7" w:rsidRDefault="00E67B47" w:rsidP="00907FA7">
            <w:pPr>
              <w:pStyle w:val="TableBodyText"/>
              <w:jc w:val="left"/>
            </w:pPr>
            <w:r>
              <w:t>g</w:t>
            </w:r>
            <w:r w:rsidR="00907FA7">
              <w:t>ender</w:t>
            </w:r>
          </w:p>
        </w:tc>
        <w:tc>
          <w:tcPr>
            <w:tcW w:w="1843" w:type="dxa"/>
          </w:tcPr>
          <w:p w:rsidR="00907FA7" w:rsidRDefault="00907FA7" w:rsidP="00E67B47">
            <w:pPr>
              <w:pStyle w:val="TableBodyText"/>
              <w:jc w:val="left"/>
            </w:pPr>
            <w:r>
              <w:t xml:space="preserve">% </w:t>
            </w:r>
            <w:r w:rsidR="00E67B47">
              <w:t>f</w:t>
            </w:r>
            <w:r>
              <w:t>emale</w:t>
            </w:r>
          </w:p>
        </w:tc>
        <w:tc>
          <w:tcPr>
            <w:tcW w:w="1134" w:type="dxa"/>
            <w:vAlign w:val="bottom"/>
          </w:tcPr>
          <w:p w:rsidR="00907FA7" w:rsidRDefault="00907FA7" w:rsidP="00907FA7">
            <w:pPr>
              <w:pStyle w:val="TableBodyText"/>
            </w:pPr>
            <w:r>
              <w:t>54.10</w:t>
            </w:r>
          </w:p>
        </w:tc>
        <w:tc>
          <w:tcPr>
            <w:tcW w:w="1843" w:type="dxa"/>
            <w:vAlign w:val="bottom"/>
          </w:tcPr>
          <w:p w:rsidR="00907FA7" w:rsidRPr="00165DAA" w:rsidRDefault="00907FA7" w:rsidP="00907FA7">
            <w:pPr>
              <w:pStyle w:val="TableBodyText"/>
              <w:ind w:right="0"/>
            </w:pPr>
            <w:r w:rsidRPr="00165DAA">
              <w:t>54.39</w:t>
            </w:r>
          </w:p>
        </w:tc>
      </w:tr>
      <w:tr w:rsidR="00907FA7" w:rsidTr="00907FA7">
        <w:tc>
          <w:tcPr>
            <w:tcW w:w="3969" w:type="dxa"/>
          </w:tcPr>
          <w:p w:rsidR="00907FA7" w:rsidRDefault="00E67B47" w:rsidP="00907FA7">
            <w:pPr>
              <w:pStyle w:val="TableBodyText"/>
              <w:jc w:val="left"/>
            </w:pPr>
            <w:r>
              <w:t>l</w:t>
            </w:r>
            <w:r w:rsidR="00907FA7">
              <w:t>ocality (remoteness)</w:t>
            </w:r>
          </w:p>
        </w:tc>
        <w:tc>
          <w:tcPr>
            <w:tcW w:w="1843" w:type="dxa"/>
          </w:tcPr>
          <w:p w:rsidR="00907FA7" w:rsidRDefault="00907FA7" w:rsidP="00E67B47">
            <w:pPr>
              <w:pStyle w:val="TableBodyText"/>
              <w:jc w:val="left"/>
            </w:pPr>
            <w:r>
              <w:t xml:space="preserve">% </w:t>
            </w:r>
            <w:r w:rsidR="00E67B47">
              <w:t>m</w:t>
            </w:r>
            <w:r>
              <w:t>ajor city</w:t>
            </w:r>
          </w:p>
        </w:tc>
        <w:tc>
          <w:tcPr>
            <w:tcW w:w="1134" w:type="dxa"/>
            <w:vAlign w:val="bottom"/>
          </w:tcPr>
          <w:p w:rsidR="00907FA7" w:rsidRDefault="00907FA7" w:rsidP="00907FA7">
            <w:pPr>
              <w:pStyle w:val="TableBodyText"/>
            </w:pPr>
            <w:r>
              <w:t>66.39</w:t>
            </w:r>
          </w:p>
        </w:tc>
        <w:tc>
          <w:tcPr>
            <w:tcW w:w="1843" w:type="dxa"/>
            <w:vAlign w:val="bottom"/>
          </w:tcPr>
          <w:p w:rsidR="00907FA7" w:rsidRPr="00165DAA" w:rsidRDefault="00907FA7" w:rsidP="00907FA7">
            <w:pPr>
              <w:pStyle w:val="TableBodyText"/>
              <w:ind w:right="0"/>
            </w:pPr>
            <w:r w:rsidRPr="00165DAA">
              <w:t>61.35</w:t>
            </w:r>
          </w:p>
        </w:tc>
      </w:tr>
      <w:tr w:rsidR="00907FA7" w:rsidTr="00C40B86">
        <w:tc>
          <w:tcPr>
            <w:tcW w:w="3969" w:type="dxa"/>
            <w:vAlign w:val="bottom"/>
          </w:tcPr>
          <w:p w:rsidR="00907FA7" w:rsidRDefault="00E67B47" w:rsidP="00C40B86">
            <w:pPr>
              <w:pStyle w:val="TableBodyText"/>
              <w:jc w:val="left"/>
            </w:pPr>
            <w:r>
              <w:t>h</w:t>
            </w:r>
            <w:r w:rsidR="00907FA7">
              <w:t>ighest level of education</w:t>
            </w:r>
            <w:r w:rsidR="00907FA7" w:rsidRPr="00DE4890">
              <w:rPr>
                <w:rStyle w:val="NoteLabel"/>
              </w:rPr>
              <w:t>a</w:t>
            </w:r>
          </w:p>
        </w:tc>
        <w:tc>
          <w:tcPr>
            <w:tcW w:w="1843" w:type="dxa"/>
            <w:vAlign w:val="bottom"/>
          </w:tcPr>
          <w:p w:rsidR="00907FA7" w:rsidRDefault="00907FA7" w:rsidP="00C40B86">
            <w:pPr>
              <w:pStyle w:val="TableBodyText"/>
              <w:jc w:val="left"/>
            </w:pPr>
            <w:r>
              <w:t xml:space="preserve">% </w:t>
            </w:r>
            <w:r w:rsidR="00E67B47">
              <w:t>h</w:t>
            </w:r>
            <w:r>
              <w:t>igh</w:t>
            </w:r>
          </w:p>
        </w:tc>
        <w:tc>
          <w:tcPr>
            <w:tcW w:w="1134" w:type="dxa"/>
            <w:vAlign w:val="bottom"/>
          </w:tcPr>
          <w:p w:rsidR="00907FA7" w:rsidRDefault="00907FA7" w:rsidP="00C40B86">
            <w:pPr>
              <w:pStyle w:val="TableBodyText"/>
            </w:pPr>
            <w:r>
              <w:t>8.20</w:t>
            </w:r>
          </w:p>
        </w:tc>
        <w:tc>
          <w:tcPr>
            <w:tcW w:w="1843" w:type="dxa"/>
            <w:vAlign w:val="bottom"/>
          </w:tcPr>
          <w:p w:rsidR="00907FA7" w:rsidRPr="00165DAA" w:rsidRDefault="00907FA7" w:rsidP="00C40B86">
            <w:pPr>
              <w:pStyle w:val="TableBodyText"/>
              <w:ind w:right="0"/>
            </w:pPr>
            <w:r w:rsidRPr="00165DAA">
              <w:t>9.23</w:t>
            </w:r>
          </w:p>
        </w:tc>
      </w:tr>
      <w:tr w:rsidR="00907FA7" w:rsidTr="00907FA7">
        <w:tc>
          <w:tcPr>
            <w:tcW w:w="3969" w:type="dxa"/>
          </w:tcPr>
          <w:p w:rsidR="00907FA7" w:rsidRDefault="00907FA7" w:rsidP="00907FA7">
            <w:pPr>
              <w:pStyle w:val="TableBodyText"/>
              <w:jc w:val="left"/>
            </w:pPr>
          </w:p>
        </w:tc>
        <w:tc>
          <w:tcPr>
            <w:tcW w:w="1843" w:type="dxa"/>
          </w:tcPr>
          <w:p w:rsidR="00907FA7" w:rsidRDefault="00907FA7" w:rsidP="00C30F41">
            <w:pPr>
              <w:pStyle w:val="TableBodyText"/>
              <w:jc w:val="left"/>
            </w:pPr>
            <w:r>
              <w:t xml:space="preserve">% </w:t>
            </w:r>
            <w:r w:rsidR="00C30F41">
              <w:t>m</w:t>
            </w:r>
            <w:r>
              <w:t>edium</w:t>
            </w:r>
          </w:p>
        </w:tc>
        <w:tc>
          <w:tcPr>
            <w:tcW w:w="1134" w:type="dxa"/>
            <w:vAlign w:val="bottom"/>
          </w:tcPr>
          <w:p w:rsidR="00907FA7" w:rsidRDefault="00907FA7" w:rsidP="00907FA7">
            <w:pPr>
              <w:pStyle w:val="TableBodyText"/>
            </w:pPr>
            <w:r>
              <w:t>53.28</w:t>
            </w:r>
          </w:p>
        </w:tc>
        <w:tc>
          <w:tcPr>
            <w:tcW w:w="1843" w:type="dxa"/>
            <w:vAlign w:val="bottom"/>
          </w:tcPr>
          <w:p w:rsidR="00907FA7" w:rsidRPr="00165DAA" w:rsidRDefault="00907FA7" w:rsidP="00907FA7">
            <w:pPr>
              <w:pStyle w:val="TableBodyText"/>
              <w:ind w:right="0"/>
            </w:pPr>
            <w:r w:rsidRPr="00165DAA">
              <w:t>43.90</w:t>
            </w:r>
          </w:p>
        </w:tc>
      </w:tr>
      <w:tr w:rsidR="00907FA7" w:rsidTr="00907FA7">
        <w:tc>
          <w:tcPr>
            <w:tcW w:w="3969" w:type="dxa"/>
          </w:tcPr>
          <w:p w:rsidR="00907FA7" w:rsidRDefault="00907FA7" w:rsidP="00907FA7">
            <w:pPr>
              <w:pStyle w:val="TableBodyText"/>
              <w:jc w:val="left"/>
            </w:pPr>
          </w:p>
        </w:tc>
        <w:tc>
          <w:tcPr>
            <w:tcW w:w="1843" w:type="dxa"/>
          </w:tcPr>
          <w:p w:rsidR="00907FA7" w:rsidRDefault="00907FA7" w:rsidP="00907FA7">
            <w:pPr>
              <w:pStyle w:val="TableBodyText"/>
              <w:jc w:val="left"/>
            </w:pPr>
            <w:r>
              <w:t>% low</w:t>
            </w:r>
          </w:p>
        </w:tc>
        <w:tc>
          <w:tcPr>
            <w:tcW w:w="1134" w:type="dxa"/>
            <w:vAlign w:val="bottom"/>
          </w:tcPr>
          <w:p w:rsidR="00907FA7" w:rsidRDefault="00907FA7" w:rsidP="00907FA7">
            <w:pPr>
              <w:pStyle w:val="TableBodyText"/>
            </w:pPr>
            <w:r>
              <w:t>38.52</w:t>
            </w:r>
          </w:p>
        </w:tc>
        <w:tc>
          <w:tcPr>
            <w:tcW w:w="1843" w:type="dxa"/>
            <w:vAlign w:val="bottom"/>
          </w:tcPr>
          <w:p w:rsidR="00907FA7" w:rsidRPr="00165DAA" w:rsidRDefault="00907FA7" w:rsidP="00907FA7">
            <w:pPr>
              <w:pStyle w:val="TableBodyText"/>
              <w:ind w:right="0"/>
            </w:pPr>
            <w:r w:rsidRPr="00165DAA">
              <w:t>46.86</w:t>
            </w:r>
          </w:p>
        </w:tc>
      </w:tr>
      <w:tr w:rsidR="00907FA7" w:rsidTr="00907FA7">
        <w:tc>
          <w:tcPr>
            <w:tcW w:w="3969" w:type="dxa"/>
          </w:tcPr>
          <w:p w:rsidR="00907FA7" w:rsidRDefault="00E67B47" w:rsidP="00907FA7">
            <w:pPr>
              <w:pStyle w:val="TableBodyText"/>
              <w:jc w:val="left"/>
            </w:pPr>
            <w:r>
              <w:t>u</w:t>
            </w:r>
            <w:r w:rsidR="00907FA7">
              <w:t>nemployed</w:t>
            </w:r>
          </w:p>
        </w:tc>
        <w:tc>
          <w:tcPr>
            <w:tcW w:w="1843" w:type="dxa"/>
          </w:tcPr>
          <w:p w:rsidR="00907FA7" w:rsidRDefault="00907FA7" w:rsidP="00907FA7">
            <w:pPr>
              <w:pStyle w:val="TableBodyText"/>
              <w:jc w:val="left"/>
            </w:pPr>
            <w:r>
              <w:t>% U</w:t>
            </w:r>
          </w:p>
        </w:tc>
        <w:tc>
          <w:tcPr>
            <w:tcW w:w="1134" w:type="dxa"/>
            <w:vAlign w:val="bottom"/>
          </w:tcPr>
          <w:p w:rsidR="00907FA7" w:rsidRDefault="00907FA7" w:rsidP="00907FA7">
            <w:pPr>
              <w:pStyle w:val="TableBodyText"/>
            </w:pPr>
            <w:r>
              <w:t>6.56</w:t>
            </w:r>
          </w:p>
        </w:tc>
        <w:tc>
          <w:tcPr>
            <w:tcW w:w="1843" w:type="dxa"/>
            <w:vAlign w:val="bottom"/>
          </w:tcPr>
          <w:p w:rsidR="00907FA7" w:rsidRPr="00165DAA" w:rsidRDefault="00907FA7" w:rsidP="00907FA7">
            <w:pPr>
              <w:pStyle w:val="TableBodyText"/>
              <w:ind w:right="0"/>
            </w:pPr>
            <w:r w:rsidRPr="00165DAA">
              <w:t>9.81</w:t>
            </w:r>
          </w:p>
        </w:tc>
      </w:tr>
      <w:tr w:rsidR="00907FA7" w:rsidTr="00907FA7">
        <w:tc>
          <w:tcPr>
            <w:tcW w:w="3969" w:type="dxa"/>
          </w:tcPr>
          <w:p w:rsidR="00907FA7" w:rsidRDefault="00907FA7" w:rsidP="00907FA7">
            <w:pPr>
              <w:pStyle w:val="TableBodyText"/>
              <w:jc w:val="left"/>
            </w:pPr>
            <w:r>
              <w:t>NILF (inc</w:t>
            </w:r>
            <w:r w:rsidR="00406870">
              <w:t>l</w:t>
            </w:r>
            <w:r>
              <w:t>. marginally attached)</w:t>
            </w:r>
          </w:p>
        </w:tc>
        <w:tc>
          <w:tcPr>
            <w:tcW w:w="1843" w:type="dxa"/>
          </w:tcPr>
          <w:p w:rsidR="00907FA7" w:rsidRDefault="00907FA7" w:rsidP="00907FA7">
            <w:pPr>
              <w:pStyle w:val="TableBodyText"/>
              <w:jc w:val="left"/>
            </w:pPr>
            <w:r>
              <w:t>% NILF</w:t>
            </w:r>
          </w:p>
        </w:tc>
        <w:tc>
          <w:tcPr>
            <w:tcW w:w="1134" w:type="dxa"/>
            <w:vAlign w:val="bottom"/>
          </w:tcPr>
          <w:p w:rsidR="00907FA7" w:rsidRDefault="00907FA7" w:rsidP="00907FA7">
            <w:pPr>
              <w:pStyle w:val="TableBodyText"/>
            </w:pPr>
            <w:r>
              <w:t>22.95</w:t>
            </w:r>
          </w:p>
        </w:tc>
        <w:tc>
          <w:tcPr>
            <w:tcW w:w="1843" w:type="dxa"/>
            <w:vAlign w:val="bottom"/>
          </w:tcPr>
          <w:p w:rsidR="00907FA7" w:rsidRPr="00165DAA" w:rsidRDefault="00907FA7" w:rsidP="00907FA7">
            <w:pPr>
              <w:pStyle w:val="TableBodyText"/>
              <w:ind w:right="0"/>
            </w:pPr>
            <w:r w:rsidRPr="00165DAA">
              <w:t>27.37</w:t>
            </w:r>
          </w:p>
        </w:tc>
      </w:tr>
      <w:tr w:rsidR="00907FA7" w:rsidTr="00907FA7">
        <w:tc>
          <w:tcPr>
            <w:tcW w:w="3969" w:type="dxa"/>
          </w:tcPr>
          <w:p w:rsidR="00907FA7" w:rsidRPr="00ED5DF6" w:rsidRDefault="00E67B47" w:rsidP="00907FA7">
            <w:pPr>
              <w:pStyle w:val="TableBodyText"/>
              <w:jc w:val="left"/>
              <w:rPr>
                <w:i/>
              </w:rPr>
            </w:pPr>
            <w:r>
              <w:rPr>
                <w:i/>
              </w:rPr>
              <w:t>o</w:t>
            </w:r>
            <w:r w:rsidR="00907FA7" w:rsidRPr="00ED5DF6">
              <w:rPr>
                <w:i/>
              </w:rPr>
              <w:t>f which:</w:t>
            </w:r>
          </w:p>
        </w:tc>
        <w:tc>
          <w:tcPr>
            <w:tcW w:w="1843" w:type="dxa"/>
          </w:tcPr>
          <w:p w:rsidR="00907FA7" w:rsidRDefault="00907FA7" w:rsidP="00907FA7">
            <w:pPr>
              <w:pStyle w:val="TableBodyText"/>
              <w:jc w:val="left"/>
            </w:pPr>
          </w:p>
        </w:tc>
        <w:tc>
          <w:tcPr>
            <w:tcW w:w="1134" w:type="dxa"/>
            <w:vAlign w:val="bottom"/>
          </w:tcPr>
          <w:p w:rsidR="00907FA7" w:rsidRDefault="00907FA7" w:rsidP="00907FA7">
            <w:pPr>
              <w:pStyle w:val="TableBodyText"/>
            </w:pPr>
          </w:p>
        </w:tc>
        <w:tc>
          <w:tcPr>
            <w:tcW w:w="1843" w:type="dxa"/>
            <w:vAlign w:val="bottom"/>
          </w:tcPr>
          <w:p w:rsidR="00907FA7" w:rsidRPr="00165DAA" w:rsidRDefault="00907FA7" w:rsidP="00907FA7">
            <w:pPr>
              <w:pStyle w:val="TableBodyText"/>
              <w:ind w:right="0"/>
            </w:pPr>
          </w:p>
        </w:tc>
      </w:tr>
      <w:tr w:rsidR="00907FA7" w:rsidTr="00907FA7">
        <w:tc>
          <w:tcPr>
            <w:tcW w:w="3969" w:type="dxa"/>
          </w:tcPr>
          <w:p w:rsidR="00907FA7" w:rsidRDefault="00E67B47" w:rsidP="00907FA7">
            <w:pPr>
              <w:pStyle w:val="TableBodyText"/>
              <w:ind w:firstLine="278"/>
              <w:jc w:val="left"/>
            </w:pPr>
            <w:r>
              <w:t>h</w:t>
            </w:r>
            <w:r w:rsidR="00907FA7">
              <w:t>ome duties/childcare</w:t>
            </w:r>
          </w:p>
        </w:tc>
        <w:tc>
          <w:tcPr>
            <w:tcW w:w="1843" w:type="dxa"/>
          </w:tcPr>
          <w:p w:rsidR="00907FA7" w:rsidRDefault="00907FA7" w:rsidP="00907FA7">
            <w:pPr>
              <w:pStyle w:val="TableBodyText"/>
              <w:jc w:val="left"/>
            </w:pPr>
            <w:r>
              <w:t>% of NILF</w:t>
            </w:r>
          </w:p>
        </w:tc>
        <w:tc>
          <w:tcPr>
            <w:tcW w:w="1134" w:type="dxa"/>
            <w:vAlign w:val="bottom"/>
          </w:tcPr>
          <w:p w:rsidR="00907FA7" w:rsidRDefault="00907FA7" w:rsidP="00907FA7">
            <w:pPr>
              <w:pStyle w:val="TableBodyText"/>
            </w:pPr>
            <w:r>
              <w:t>3.57</w:t>
            </w:r>
          </w:p>
        </w:tc>
        <w:tc>
          <w:tcPr>
            <w:tcW w:w="1843" w:type="dxa"/>
            <w:vAlign w:val="bottom"/>
          </w:tcPr>
          <w:p w:rsidR="00907FA7" w:rsidRPr="00165DAA" w:rsidRDefault="00907FA7" w:rsidP="00907FA7">
            <w:pPr>
              <w:pStyle w:val="TableBodyText"/>
              <w:ind w:right="0"/>
            </w:pPr>
            <w:r w:rsidRPr="00165DAA">
              <w:t>16.67</w:t>
            </w:r>
          </w:p>
        </w:tc>
      </w:tr>
      <w:tr w:rsidR="00907FA7" w:rsidTr="00907FA7">
        <w:tc>
          <w:tcPr>
            <w:tcW w:w="3969" w:type="dxa"/>
          </w:tcPr>
          <w:p w:rsidR="00907FA7" w:rsidRDefault="00EF4516" w:rsidP="00907FA7">
            <w:pPr>
              <w:pStyle w:val="TableBodyText"/>
              <w:ind w:firstLine="278"/>
              <w:jc w:val="left"/>
            </w:pPr>
            <w:r>
              <w:t>s</w:t>
            </w:r>
            <w:r w:rsidR="00907FA7">
              <w:t>tudy</w:t>
            </w:r>
          </w:p>
        </w:tc>
        <w:tc>
          <w:tcPr>
            <w:tcW w:w="1843" w:type="dxa"/>
          </w:tcPr>
          <w:p w:rsidR="00907FA7" w:rsidRDefault="00907FA7" w:rsidP="00907FA7">
            <w:pPr>
              <w:pStyle w:val="TableBodyText"/>
              <w:jc w:val="left"/>
            </w:pPr>
            <w:r>
              <w:t>% of NILF</w:t>
            </w:r>
          </w:p>
        </w:tc>
        <w:tc>
          <w:tcPr>
            <w:tcW w:w="1134" w:type="dxa"/>
            <w:vAlign w:val="bottom"/>
          </w:tcPr>
          <w:p w:rsidR="00907FA7" w:rsidRDefault="00907FA7" w:rsidP="00907FA7">
            <w:pPr>
              <w:pStyle w:val="TableBodyText"/>
            </w:pPr>
            <w:r>
              <w:t>75.00</w:t>
            </w:r>
          </w:p>
        </w:tc>
        <w:tc>
          <w:tcPr>
            <w:tcW w:w="1843" w:type="dxa"/>
            <w:vAlign w:val="bottom"/>
          </w:tcPr>
          <w:p w:rsidR="00907FA7" w:rsidRPr="00165DAA" w:rsidRDefault="00907FA7" w:rsidP="00907FA7">
            <w:pPr>
              <w:pStyle w:val="TableBodyText"/>
              <w:ind w:right="0"/>
            </w:pPr>
            <w:r w:rsidRPr="00165DAA">
              <w:t>64.58</w:t>
            </w:r>
          </w:p>
        </w:tc>
      </w:tr>
      <w:tr w:rsidR="00907FA7" w:rsidTr="00907FA7">
        <w:tc>
          <w:tcPr>
            <w:tcW w:w="3969" w:type="dxa"/>
          </w:tcPr>
          <w:p w:rsidR="00907FA7" w:rsidRDefault="00E67B47" w:rsidP="00907FA7">
            <w:pPr>
              <w:pStyle w:val="TableBodyText"/>
              <w:ind w:firstLine="278"/>
              <w:jc w:val="left"/>
            </w:pPr>
            <w:r>
              <w:t>m</w:t>
            </w:r>
            <w:r w:rsidR="00907FA7">
              <w:t>arginally attached to labour force</w:t>
            </w:r>
          </w:p>
        </w:tc>
        <w:tc>
          <w:tcPr>
            <w:tcW w:w="1843" w:type="dxa"/>
          </w:tcPr>
          <w:p w:rsidR="00907FA7" w:rsidRDefault="00907FA7" w:rsidP="00907FA7">
            <w:pPr>
              <w:pStyle w:val="TableBodyText"/>
              <w:jc w:val="left"/>
            </w:pPr>
            <w:r>
              <w:t>% of NILF</w:t>
            </w:r>
          </w:p>
        </w:tc>
        <w:tc>
          <w:tcPr>
            <w:tcW w:w="1134" w:type="dxa"/>
            <w:vAlign w:val="bottom"/>
          </w:tcPr>
          <w:p w:rsidR="00907FA7" w:rsidRDefault="00907FA7" w:rsidP="00907FA7">
            <w:pPr>
              <w:pStyle w:val="TableBodyText"/>
            </w:pPr>
            <w:r>
              <w:t>17.86</w:t>
            </w:r>
          </w:p>
        </w:tc>
        <w:tc>
          <w:tcPr>
            <w:tcW w:w="1843" w:type="dxa"/>
            <w:vAlign w:val="bottom"/>
          </w:tcPr>
          <w:p w:rsidR="00907FA7" w:rsidRPr="00165DAA" w:rsidRDefault="00907FA7" w:rsidP="00907FA7">
            <w:pPr>
              <w:pStyle w:val="TableBodyText"/>
              <w:ind w:right="0"/>
            </w:pPr>
            <w:r w:rsidRPr="00165DAA">
              <w:t>11.67</w:t>
            </w:r>
          </w:p>
        </w:tc>
      </w:tr>
      <w:tr w:rsidR="00907FA7" w:rsidTr="00C40B86">
        <w:tc>
          <w:tcPr>
            <w:tcW w:w="3969" w:type="dxa"/>
          </w:tcPr>
          <w:p w:rsidR="00907FA7" w:rsidRDefault="00E67B47" w:rsidP="00907FA7">
            <w:pPr>
              <w:pStyle w:val="TableBodyText"/>
              <w:ind w:firstLine="278"/>
              <w:jc w:val="left"/>
            </w:pPr>
            <w:r>
              <w:t>o</w:t>
            </w:r>
            <w:r w:rsidR="00907FA7">
              <w:t>ther reasons</w:t>
            </w:r>
            <w:r w:rsidR="00907FA7">
              <w:rPr>
                <w:rStyle w:val="NoteLabel"/>
              </w:rPr>
              <w:t>b</w:t>
            </w:r>
          </w:p>
        </w:tc>
        <w:tc>
          <w:tcPr>
            <w:tcW w:w="1843" w:type="dxa"/>
            <w:vAlign w:val="bottom"/>
          </w:tcPr>
          <w:p w:rsidR="00907FA7" w:rsidRDefault="00907FA7" w:rsidP="00C40B86">
            <w:pPr>
              <w:pStyle w:val="TableBodyText"/>
              <w:jc w:val="left"/>
            </w:pPr>
            <w:r>
              <w:t>% of NILF</w:t>
            </w:r>
          </w:p>
        </w:tc>
        <w:tc>
          <w:tcPr>
            <w:tcW w:w="1134" w:type="dxa"/>
            <w:vAlign w:val="bottom"/>
          </w:tcPr>
          <w:p w:rsidR="00907FA7" w:rsidRDefault="00907FA7" w:rsidP="00907FA7">
            <w:pPr>
              <w:pStyle w:val="TableBodyText"/>
            </w:pPr>
            <w:r>
              <w:t>3.57</w:t>
            </w:r>
          </w:p>
        </w:tc>
        <w:tc>
          <w:tcPr>
            <w:tcW w:w="1843" w:type="dxa"/>
            <w:vAlign w:val="bottom"/>
          </w:tcPr>
          <w:p w:rsidR="00907FA7" w:rsidRPr="00165DAA" w:rsidRDefault="00907FA7" w:rsidP="00907FA7">
            <w:pPr>
              <w:pStyle w:val="TableBodyText"/>
              <w:ind w:right="0"/>
            </w:pPr>
            <w:r>
              <w:t>7.08</w:t>
            </w:r>
          </w:p>
        </w:tc>
      </w:tr>
      <w:tr w:rsidR="00907FA7" w:rsidTr="00907FA7">
        <w:tc>
          <w:tcPr>
            <w:tcW w:w="3969" w:type="dxa"/>
          </w:tcPr>
          <w:p w:rsidR="00907FA7" w:rsidRDefault="00907FA7" w:rsidP="00907FA7">
            <w:pPr>
              <w:pStyle w:val="TableBodyText"/>
              <w:jc w:val="left"/>
            </w:pPr>
          </w:p>
        </w:tc>
        <w:tc>
          <w:tcPr>
            <w:tcW w:w="1843" w:type="dxa"/>
          </w:tcPr>
          <w:p w:rsidR="00907FA7" w:rsidRDefault="00907FA7" w:rsidP="00907FA7">
            <w:pPr>
              <w:pStyle w:val="TableBodyText"/>
              <w:jc w:val="left"/>
            </w:pPr>
          </w:p>
        </w:tc>
        <w:tc>
          <w:tcPr>
            <w:tcW w:w="1134" w:type="dxa"/>
            <w:vAlign w:val="bottom"/>
          </w:tcPr>
          <w:p w:rsidR="00907FA7" w:rsidRDefault="00907FA7" w:rsidP="00907FA7">
            <w:pPr>
              <w:pStyle w:val="TableBodyText"/>
            </w:pPr>
          </w:p>
        </w:tc>
        <w:tc>
          <w:tcPr>
            <w:tcW w:w="1843" w:type="dxa"/>
          </w:tcPr>
          <w:p w:rsidR="00907FA7" w:rsidRDefault="00907FA7" w:rsidP="00907FA7">
            <w:pPr>
              <w:pStyle w:val="TableBodyText"/>
              <w:ind w:right="0"/>
            </w:pPr>
          </w:p>
        </w:tc>
      </w:tr>
      <w:tr w:rsidR="00907FA7" w:rsidTr="00907FA7">
        <w:tc>
          <w:tcPr>
            <w:tcW w:w="3969" w:type="dxa"/>
          </w:tcPr>
          <w:p w:rsidR="00907FA7" w:rsidRPr="00ED5DF6" w:rsidRDefault="00907FA7" w:rsidP="00907FA7">
            <w:pPr>
              <w:pStyle w:val="TableBodyText"/>
              <w:spacing w:before="80"/>
              <w:jc w:val="left"/>
              <w:rPr>
                <w:b/>
              </w:rPr>
            </w:pPr>
            <w:r w:rsidRPr="00ED5DF6">
              <w:rPr>
                <w:b/>
              </w:rPr>
              <w:t>In 2010:</w:t>
            </w:r>
          </w:p>
        </w:tc>
        <w:tc>
          <w:tcPr>
            <w:tcW w:w="1843" w:type="dxa"/>
          </w:tcPr>
          <w:p w:rsidR="00907FA7" w:rsidRDefault="00907FA7" w:rsidP="00907FA7">
            <w:pPr>
              <w:pStyle w:val="TableBodyText"/>
              <w:spacing w:before="80"/>
              <w:jc w:val="left"/>
            </w:pPr>
          </w:p>
        </w:tc>
        <w:tc>
          <w:tcPr>
            <w:tcW w:w="1134" w:type="dxa"/>
            <w:vAlign w:val="bottom"/>
          </w:tcPr>
          <w:p w:rsidR="00907FA7" w:rsidRDefault="00907FA7" w:rsidP="00907FA7">
            <w:pPr>
              <w:pStyle w:val="TableBodyText"/>
            </w:pPr>
            <w:r>
              <w:t> </w:t>
            </w:r>
          </w:p>
        </w:tc>
        <w:tc>
          <w:tcPr>
            <w:tcW w:w="1843" w:type="dxa"/>
          </w:tcPr>
          <w:p w:rsidR="00907FA7" w:rsidRDefault="00907FA7" w:rsidP="00907FA7">
            <w:pPr>
              <w:pStyle w:val="TableBodyText"/>
              <w:spacing w:before="80"/>
              <w:ind w:right="0"/>
            </w:pPr>
          </w:p>
        </w:tc>
      </w:tr>
      <w:tr w:rsidR="00907FA7" w:rsidTr="00907FA7">
        <w:tc>
          <w:tcPr>
            <w:tcW w:w="3969" w:type="dxa"/>
          </w:tcPr>
          <w:p w:rsidR="00907FA7" w:rsidRDefault="00907FA7" w:rsidP="00907FA7">
            <w:pPr>
              <w:pStyle w:val="TableBodyText"/>
              <w:jc w:val="left"/>
            </w:pPr>
            <w:r>
              <w:t>locality (remoteness)</w:t>
            </w:r>
          </w:p>
        </w:tc>
        <w:tc>
          <w:tcPr>
            <w:tcW w:w="1843" w:type="dxa"/>
          </w:tcPr>
          <w:p w:rsidR="00907FA7" w:rsidRDefault="00907FA7" w:rsidP="00907FA7">
            <w:pPr>
              <w:pStyle w:val="TableBodyText"/>
              <w:jc w:val="left"/>
            </w:pPr>
            <w:r>
              <w:t>% major city</w:t>
            </w:r>
          </w:p>
        </w:tc>
        <w:tc>
          <w:tcPr>
            <w:tcW w:w="1134" w:type="dxa"/>
            <w:vAlign w:val="bottom"/>
          </w:tcPr>
          <w:p w:rsidR="00907FA7" w:rsidRDefault="00907FA7" w:rsidP="00907FA7">
            <w:pPr>
              <w:pStyle w:val="TableBodyText"/>
            </w:pPr>
            <w:r>
              <w:t>72.13</w:t>
            </w:r>
          </w:p>
        </w:tc>
        <w:tc>
          <w:tcPr>
            <w:tcW w:w="1843" w:type="dxa"/>
            <w:vAlign w:val="bottom"/>
          </w:tcPr>
          <w:p w:rsidR="00907FA7" w:rsidRPr="00165DAA" w:rsidRDefault="00907FA7" w:rsidP="00907FA7">
            <w:pPr>
              <w:pStyle w:val="TableBodyText"/>
              <w:ind w:right="0"/>
            </w:pPr>
            <w:r w:rsidRPr="00165DAA">
              <w:t>62.03</w:t>
            </w:r>
          </w:p>
        </w:tc>
      </w:tr>
      <w:tr w:rsidR="00907FA7" w:rsidTr="00C40B86">
        <w:tc>
          <w:tcPr>
            <w:tcW w:w="3969" w:type="dxa"/>
          </w:tcPr>
          <w:p w:rsidR="00907FA7" w:rsidRDefault="00907FA7" w:rsidP="00907FA7">
            <w:pPr>
              <w:pStyle w:val="TableBodyText"/>
              <w:jc w:val="left"/>
            </w:pPr>
            <w:r>
              <w:t>highest level of education</w:t>
            </w:r>
            <w:r w:rsidRPr="00DE4890">
              <w:rPr>
                <w:rStyle w:val="NoteLabel"/>
              </w:rPr>
              <w:t>a</w:t>
            </w:r>
          </w:p>
        </w:tc>
        <w:tc>
          <w:tcPr>
            <w:tcW w:w="1843" w:type="dxa"/>
            <w:vAlign w:val="bottom"/>
          </w:tcPr>
          <w:p w:rsidR="00907FA7" w:rsidRDefault="00907FA7" w:rsidP="00C40B86">
            <w:pPr>
              <w:pStyle w:val="TableBodyText"/>
              <w:jc w:val="left"/>
            </w:pPr>
            <w:r>
              <w:t>% high</w:t>
            </w:r>
          </w:p>
        </w:tc>
        <w:tc>
          <w:tcPr>
            <w:tcW w:w="1134" w:type="dxa"/>
            <w:vAlign w:val="bottom"/>
          </w:tcPr>
          <w:p w:rsidR="00907FA7" w:rsidRDefault="00907FA7" w:rsidP="00907FA7">
            <w:pPr>
              <w:pStyle w:val="TableBodyText"/>
            </w:pPr>
            <w:r>
              <w:t>50.83</w:t>
            </w:r>
          </w:p>
        </w:tc>
        <w:tc>
          <w:tcPr>
            <w:tcW w:w="1843" w:type="dxa"/>
            <w:vAlign w:val="bottom"/>
          </w:tcPr>
          <w:p w:rsidR="00907FA7" w:rsidRPr="00165DAA" w:rsidRDefault="00907FA7" w:rsidP="00907FA7">
            <w:pPr>
              <w:pStyle w:val="TableBodyText"/>
              <w:ind w:right="0"/>
            </w:pPr>
            <w:r w:rsidRPr="00165DAA">
              <w:t>30.55</w:t>
            </w:r>
          </w:p>
        </w:tc>
      </w:tr>
      <w:tr w:rsidR="00907FA7" w:rsidTr="00907FA7">
        <w:tc>
          <w:tcPr>
            <w:tcW w:w="3969" w:type="dxa"/>
          </w:tcPr>
          <w:p w:rsidR="00907FA7" w:rsidRDefault="00907FA7" w:rsidP="00907FA7">
            <w:pPr>
              <w:pStyle w:val="TableBodyText"/>
              <w:jc w:val="left"/>
            </w:pPr>
          </w:p>
        </w:tc>
        <w:tc>
          <w:tcPr>
            <w:tcW w:w="1843" w:type="dxa"/>
          </w:tcPr>
          <w:p w:rsidR="00907FA7" w:rsidRDefault="00907FA7" w:rsidP="00C30F41">
            <w:pPr>
              <w:pStyle w:val="TableBodyText"/>
              <w:jc w:val="left"/>
            </w:pPr>
            <w:r>
              <w:t xml:space="preserve">% </w:t>
            </w:r>
            <w:r w:rsidR="00C30F41">
              <w:t>m</w:t>
            </w:r>
            <w:r>
              <w:t>edium</w:t>
            </w:r>
          </w:p>
        </w:tc>
        <w:tc>
          <w:tcPr>
            <w:tcW w:w="1134" w:type="dxa"/>
            <w:vAlign w:val="bottom"/>
          </w:tcPr>
          <w:p w:rsidR="00907FA7" w:rsidRDefault="00907FA7" w:rsidP="00907FA7">
            <w:pPr>
              <w:pStyle w:val="TableBodyText"/>
            </w:pPr>
            <w:r>
              <w:t>46.72</w:t>
            </w:r>
          </w:p>
        </w:tc>
        <w:tc>
          <w:tcPr>
            <w:tcW w:w="1843" w:type="dxa"/>
            <w:vAlign w:val="bottom"/>
          </w:tcPr>
          <w:p w:rsidR="00907FA7" w:rsidRPr="00165DAA" w:rsidRDefault="00907FA7" w:rsidP="00907FA7">
            <w:pPr>
              <w:pStyle w:val="TableBodyText"/>
              <w:ind w:right="0"/>
            </w:pPr>
            <w:r w:rsidRPr="00165DAA">
              <w:t>55.41</w:t>
            </w:r>
          </w:p>
        </w:tc>
      </w:tr>
      <w:tr w:rsidR="00907FA7" w:rsidTr="00907FA7">
        <w:tc>
          <w:tcPr>
            <w:tcW w:w="3969" w:type="dxa"/>
          </w:tcPr>
          <w:p w:rsidR="00907FA7" w:rsidRDefault="00907FA7" w:rsidP="00907FA7">
            <w:pPr>
              <w:pStyle w:val="TableBodyText"/>
              <w:jc w:val="left"/>
            </w:pPr>
          </w:p>
        </w:tc>
        <w:tc>
          <w:tcPr>
            <w:tcW w:w="1843" w:type="dxa"/>
          </w:tcPr>
          <w:p w:rsidR="00907FA7" w:rsidRDefault="00907FA7" w:rsidP="00907FA7">
            <w:pPr>
              <w:pStyle w:val="TableBodyText"/>
              <w:jc w:val="left"/>
            </w:pPr>
            <w:r>
              <w:t>% low</w:t>
            </w:r>
          </w:p>
        </w:tc>
        <w:tc>
          <w:tcPr>
            <w:tcW w:w="1134" w:type="dxa"/>
            <w:vAlign w:val="bottom"/>
          </w:tcPr>
          <w:p w:rsidR="00907FA7" w:rsidRDefault="00907FA7" w:rsidP="00907FA7">
            <w:pPr>
              <w:pStyle w:val="TableBodyText"/>
            </w:pPr>
            <w:r>
              <w:t>2.46</w:t>
            </w:r>
          </w:p>
        </w:tc>
        <w:tc>
          <w:tcPr>
            <w:tcW w:w="1843" w:type="dxa"/>
            <w:vAlign w:val="bottom"/>
          </w:tcPr>
          <w:p w:rsidR="00907FA7" w:rsidRPr="00165DAA" w:rsidRDefault="00907FA7" w:rsidP="00907FA7">
            <w:pPr>
              <w:pStyle w:val="TableBodyText"/>
              <w:ind w:right="0"/>
            </w:pPr>
            <w:r w:rsidRPr="00165DAA">
              <w:t>14.02</w:t>
            </w:r>
          </w:p>
        </w:tc>
      </w:tr>
      <w:tr w:rsidR="00907FA7" w:rsidTr="00907FA7">
        <w:tc>
          <w:tcPr>
            <w:tcW w:w="3969" w:type="dxa"/>
          </w:tcPr>
          <w:p w:rsidR="00907FA7" w:rsidRDefault="00E67B47" w:rsidP="00907FA7">
            <w:pPr>
              <w:pStyle w:val="TableBodyText"/>
              <w:jc w:val="left"/>
            </w:pPr>
            <w:r>
              <w:t>u</w:t>
            </w:r>
            <w:r w:rsidR="00907FA7">
              <w:t>nemployed</w:t>
            </w:r>
          </w:p>
        </w:tc>
        <w:tc>
          <w:tcPr>
            <w:tcW w:w="1843" w:type="dxa"/>
          </w:tcPr>
          <w:p w:rsidR="00907FA7" w:rsidRDefault="00907FA7" w:rsidP="00907FA7">
            <w:pPr>
              <w:pStyle w:val="TableBodyText"/>
              <w:jc w:val="left"/>
            </w:pPr>
            <w:r>
              <w:t>% U</w:t>
            </w:r>
          </w:p>
        </w:tc>
        <w:tc>
          <w:tcPr>
            <w:tcW w:w="1134" w:type="dxa"/>
            <w:vAlign w:val="bottom"/>
          </w:tcPr>
          <w:p w:rsidR="00907FA7" w:rsidRDefault="00907FA7" w:rsidP="00907FA7">
            <w:pPr>
              <w:pStyle w:val="TableBodyText"/>
            </w:pPr>
            <w:r>
              <w:t>1.64</w:t>
            </w:r>
          </w:p>
        </w:tc>
        <w:tc>
          <w:tcPr>
            <w:tcW w:w="1843" w:type="dxa"/>
            <w:vAlign w:val="bottom"/>
          </w:tcPr>
          <w:p w:rsidR="00907FA7" w:rsidRPr="00165DAA" w:rsidRDefault="00907FA7" w:rsidP="00907FA7">
            <w:pPr>
              <w:pStyle w:val="TableBodyText"/>
              <w:ind w:right="0"/>
            </w:pPr>
            <w:r w:rsidRPr="00165DAA">
              <w:t>4.45</w:t>
            </w:r>
          </w:p>
        </w:tc>
      </w:tr>
      <w:tr w:rsidR="00907FA7" w:rsidTr="00907FA7">
        <w:tc>
          <w:tcPr>
            <w:tcW w:w="3969" w:type="dxa"/>
          </w:tcPr>
          <w:p w:rsidR="00907FA7" w:rsidRDefault="00907FA7" w:rsidP="00907FA7">
            <w:pPr>
              <w:pStyle w:val="TableBodyText"/>
              <w:jc w:val="left"/>
            </w:pPr>
            <w:r>
              <w:t>NILF (inc</w:t>
            </w:r>
            <w:r w:rsidR="00406870">
              <w:t>l</w:t>
            </w:r>
            <w:r>
              <w:t>. marginally attached)</w:t>
            </w:r>
          </w:p>
        </w:tc>
        <w:tc>
          <w:tcPr>
            <w:tcW w:w="1843" w:type="dxa"/>
          </w:tcPr>
          <w:p w:rsidR="00907FA7" w:rsidRDefault="00907FA7" w:rsidP="00907FA7">
            <w:pPr>
              <w:pStyle w:val="TableBodyText"/>
              <w:jc w:val="left"/>
            </w:pPr>
            <w:r>
              <w:t>% NILF</w:t>
            </w:r>
          </w:p>
        </w:tc>
        <w:tc>
          <w:tcPr>
            <w:tcW w:w="1134" w:type="dxa"/>
            <w:vAlign w:val="bottom"/>
          </w:tcPr>
          <w:p w:rsidR="00907FA7" w:rsidRDefault="00907FA7" w:rsidP="00907FA7">
            <w:pPr>
              <w:pStyle w:val="TableBodyText"/>
            </w:pPr>
            <w:r>
              <w:t>6.56</w:t>
            </w:r>
          </w:p>
        </w:tc>
        <w:tc>
          <w:tcPr>
            <w:tcW w:w="1843" w:type="dxa"/>
            <w:vAlign w:val="bottom"/>
          </w:tcPr>
          <w:p w:rsidR="00907FA7" w:rsidRPr="00165DAA" w:rsidRDefault="00907FA7" w:rsidP="00907FA7">
            <w:pPr>
              <w:pStyle w:val="TableBodyText"/>
              <w:ind w:right="0"/>
            </w:pPr>
            <w:r w:rsidRPr="00165DAA">
              <w:t>12.20</w:t>
            </w:r>
          </w:p>
        </w:tc>
      </w:tr>
      <w:tr w:rsidR="00907FA7" w:rsidTr="00907FA7">
        <w:tc>
          <w:tcPr>
            <w:tcW w:w="3969" w:type="dxa"/>
          </w:tcPr>
          <w:p w:rsidR="00907FA7" w:rsidRPr="00ED5DF6" w:rsidRDefault="00907FA7" w:rsidP="00907FA7">
            <w:pPr>
              <w:pStyle w:val="TableBodyText"/>
              <w:jc w:val="left"/>
              <w:rPr>
                <w:i/>
              </w:rPr>
            </w:pPr>
            <w:r w:rsidRPr="00ED5DF6">
              <w:rPr>
                <w:i/>
              </w:rPr>
              <w:t>of which:</w:t>
            </w:r>
          </w:p>
        </w:tc>
        <w:tc>
          <w:tcPr>
            <w:tcW w:w="1843" w:type="dxa"/>
          </w:tcPr>
          <w:p w:rsidR="00907FA7" w:rsidRDefault="00907FA7" w:rsidP="00907FA7">
            <w:pPr>
              <w:pStyle w:val="TableBodyText"/>
              <w:jc w:val="left"/>
            </w:pPr>
          </w:p>
        </w:tc>
        <w:tc>
          <w:tcPr>
            <w:tcW w:w="1134" w:type="dxa"/>
            <w:vAlign w:val="bottom"/>
          </w:tcPr>
          <w:p w:rsidR="00907FA7" w:rsidRDefault="00907FA7" w:rsidP="00907FA7">
            <w:pPr>
              <w:pStyle w:val="TableBodyText"/>
            </w:pPr>
          </w:p>
        </w:tc>
        <w:tc>
          <w:tcPr>
            <w:tcW w:w="1843" w:type="dxa"/>
            <w:vAlign w:val="bottom"/>
          </w:tcPr>
          <w:p w:rsidR="00907FA7" w:rsidRPr="00165DAA" w:rsidRDefault="00907FA7" w:rsidP="00907FA7">
            <w:pPr>
              <w:pStyle w:val="TableBodyText"/>
              <w:ind w:right="0"/>
            </w:pPr>
          </w:p>
        </w:tc>
      </w:tr>
      <w:tr w:rsidR="00907FA7" w:rsidTr="00907FA7">
        <w:tc>
          <w:tcPr>
            <w:tcW w:w="3969" w:type="dxa"/>
          </w:tcPr>
          <w:p w:rsidR="00907FA7" w:rsidRDefault="00907FA7" w:rsidP="00907FA7">
            <w:pPr>
              <w:pStyle w:val="TableBodyText"/>
              <w:ind w:firstLine="278"/>
              <w:jc w:val="left"/>
            </w:pPr>
            <w:r>
              <w:t>home duties/childcare</w:t>
            </w:r>
          </w:p>
        </w:tc>
        <w:tc>
          <w:tcPr>
            <w:tcW w:w="1843" w:type="dxa"/>
          </w:tcPr>
          <w:p w:rsidR="00907FA7" w:rsidRDefault="00907FA7" w:rsidP="00907FA7">
            <w:pPr>
              <w:pStyle w:val="TableBodyText"/>
              <w:jc w:val="left"/>
            </w:pPr>
            <w:r>
              <w:t>% of NILF</w:t>
            </w:r>
          </w:p>
        </w:tc>
        <w:tc>
          <w:tcPr>
            <w:tcW w:w="1134" w:type="dxa"/>
            <w:vAlign w:val="bottom"/>
          </w:tcPr>
          <w:p w:rsidR="00907FA7" w:rsidRDefault="00907FA7" w:rsidP="00907FA7">
            <w:pPr>
              <w:pStyle w:val="TableBodyText"/>
            </w:pPr>
            <w:r>
              <w:t>75.00</w:t>
            </w:r>
          </w:p>
        </w:tc>
        <w:tc>
          <w:tcPr>
            <w:tcW w:w="1843" w:type="dxa"/>
            <w:vAlign w:val="bottom"/>
          </w:tcPr>
          <w:p w:rsidR="00907FA7" w:rsidRPr="00165DAA" w:rsidRDefault="00907FA7" w:rsidP="00907FA7">
            <w:pPr>
              <w:pStyle w:val="TableBodyText"/>
              <w:ind w:right="0"/>
            </w:pPr>
            <w:r w:rsidRPr="00165DAA">
              <w:t>66.36</w:t>
            </w:r>
          </w:p>
        </w:tc>
      </w:tr>
      <w:tr w:rsidR="00907FA7" w:rsidTr="00907FA7">
        <w:tc>
          <w:tcPr>
            <w:tcW w:w="3969" w:type="dxa"/>
          </w:tcPr>
          <w:p w:rsidR="00907FA7" w:rsidRDefault="00B16D81" w:rsidP="00907FA7">
            <w:pPr>
              <w:pStyle w:val="TableBodyText"/>
              <w:ind w:firstLine="278"/>
              <w:jc w:val="left"/>
            </w:pPr>
            <w:r>
              <w:t>s</w:t>
            </w:r>
            <w:r w:rsidR="00907FA7">
              <w:t>tudy</w:t>
            </w:r>
          </w:p>
        </w:tc>
        <w:tc>
          <w:tcPr>
            <w:tcW w:w="1843" w:type="dxa"/>
          </w:tcPr>
          <w:p w:rsidR="00907FA7" w:rsidRDefault="00907FA7" w:rsidP="00907FA7">
            <w:pPr>
              <w:pStyle w:val="TableBodyText"/>
              <w:jc w:val="left"/>
            </w:pPr>
            <w:r>
              <w:t>% of NILF</w:t>
            </w:r>
          </w:p>
        </w:tc>
        <w:tc>
          <w:tcPr>
            <w:tcW w:w="1134" w:type="dxa"/>
            <w:vAlign w:val="bottom"/>
          </w:tcPr>
          <w:p w:rsidR="00907FA7" w:rsidRDefault="00907FA7" w:rsidP="00907FA7">
            <w:pPr>
              <w:pStyle w:val="TableBodyText"/>
            </w:pPr>
            <w:r>
              <w:t>25.00</w:t>
            </w:r>
          </w:p>
        </w:tc>
        <w:tc>
          <w:tcPr>
            <w:tcW w:w="1843" w:type="dxa"/>
            <w:vAlign w:val="bottom"/>
          </w:tcPr>
          <w:p w:rsidR="00907FA7" w:rsidRPr="00165DAA" w:rsidRDefault="00907FA7" w:rsidP="00907FA7">
            <w:pPr>
              <w:pStyle w:val="TableBodyText"/>
              <w:ind w:right="0"/>
            </w:pPr>
            <w:r w:rsidRPr="00165DAA">
              <w:t>13.08</w:t>
            </w:r>
          </w:p>
        </w:tc>
      </w:tr>
      <w:tr w:rsidR="00907FA7" w:rsidTr="00907FA7">
        <w:tc>
          <w:tcPr>
            <w:tcW w:w="3969" w:type="dxa"/>
            <w:shd w:val="clear" w:color="auto" w:fill="auto"/>
          </w:tcPr>
          <w:p w:rsidR="00907FA7" w:rsidRDefault="00907FA7" w:rsidP="00907FA7">
            <w:pPr>
              <w:pStyle w:val="TableBodyText"/>
              <w:ind w:firstLine="278"/>
              <w:jc w:val="left"/>
            </w:pPr>
            <w:r>
              <w:t>marginally attached to labour force</w:t>
            </w:r>
          </w:p>
        </w:tc>
        <w:tc>
          <w:tcPr>
            <w:tcW w:w="1843" w:type="dxa"/>
            <w:shd w:val="clear" w:color="auto" w:fill="auto"/>
          </w:tcPr>
          <w:p w:rsidR="00907FA7" w:rsidRDefault="00907FA7" w:rsidP="00907FA7">
            <w:pPr>
              <w:pStyle w:val="TableBodyText"/>
              <w:jc w:val="left"/>
            </w:pPr>
            <w:r>
              <w:t>% of NILF</w:t>
            </w:r>
          </w:p>
        </w:tc>
        <w:tc>
          <w:tcPr>
            <w:tcW w:w="1134" w:type="dxa"/>
            <w:vAlign w:val="bottom"/>
          </w:tcPr>
          <w:p w:rsidR="00907FA7" w:rsidRDefault="00907FA7" w:rsidP="00907FA7">
            <w:pPr>
              <w:pStyle w:val="TableBodyText"/>
            </w:pPr>
            <w:r>
              <w:t>0.00</w:t>
            </w:r>
          </w:p>
        </w:tc>
        <w:tc>
          <w:tcPr>
            <w:tcW w:w="1843" w:type="dxa"/>
            <w:shd w:val="clear" w:color="auto" w:fill="auto"/>
            <w:vAlign w:val="bottom"/>
          </w:tcPr>
          <w:p w:rsidR="00907FA7" w:rsidRPr="00165DAA" w:rsidRDefault="00907FA7" w:rsidP="00907FA7">
            <w:pPr>
              <w:pStyle w:val="TableBodyText"/>
              <w:ind w:right="0"/>
            </w:pPr>
            <w:r w:rsidRPr="00165DAA">
              <w:t>5.61</w:t>
            </w:r>
          </w:p>
        </w:tc>
      </w:tr>
      <w:tr w:rsidR="00907FA7" w:rsidTr="00C40B86">
        <w:tc>
          <w:tcPr>
            <w:tcW w:w="3969" w:type="dxa"/>
            <w:tcBorders>
              <w:bottom w:val="single" w:sz="6" w:space="0" w:color="auto"/>
            </w:tcBorders>
            <w:shd w:val="clear" w:color="auto" w:fill="auto"/>
          </w:tcPr>
          <w:p w:rsidR="00907FA7" w:rsidRDefault="00907FA7" w:rsidP="00907FA7">
            <w:pPr>
              <w:pStyle w:val="TableBodyText"/>
              <w:ind w:firstLine="278"/>
              <w:jc w:val="left"/>
            </w:pPr>
            <w:r>
              <w:t>other reasons</w:t>
            </w:r>
            <w:r>
              <w:rPr>
                <w:rStyle w:val="NoteLabel"/>
              </w:rPr>
              <w:t>b</w:t>
            </w:r>
          </w:p>
        </w:tc>
        <w:tc>
          <w:tcPr>
            <w:tcW w:w="1843" w:type="dxa"/>
            <w:tcBorders>
              <w:bottom w:val="single" w:sz="6" w:space="0" w:color="auto"/>
            </w:tcBorders>
            <w:shd w:val="clear" w:color="auto" w:fill="auto"/>
            <w:vAlign w:val="bottom"/>
          </w:tcPr>
          <w:p w:rsidR="00907FA7" w:rsidRDefault="00907FA7" w:rsidP="00C40B86">
            <w:pPr>
              <w:pStyle w:val="TableBodyText"/>
              <w:jc w:val="left"/>
            </w:pPr>
            <w:r>
              <w:t>% of NILF</w:t>
            </w:r>
          </w:p>
        </w:tc>
        <w:tc>
          <w:tcPr>
            <w:tcW w:w="1134" w:type="dxa"/>
            <w:tcBorders>
              <w:bottom w:val="single" w:sz="6" w:space="0" w:color="auto"/>
            </w:tcBorders>
            <w:vAlign w:val="bottom"/>
          </w:tcPr>
          <w:p w:rsidR="00907FA7" w:rsidRDefault="00907FA7" w:rsidP="00907FA7">
            <w:pPr>
              <w:pStyle w:val="TableBodyText"/>
            </w:pPr>
            <w:r>
              <w:t>0.00</w:t>
            </w:r>
          </w:p>
        </w:tc>
        <w:tc>
          <w:tcPr>
            <w:tcW w:w="1843" w:type="dxa"/>
            <w:tcBorders>
              <w:bottom w:val="single" w:sz="6" w:space="0" w:color="auto"/>
            </w:tcBorders>
            <w:shd w:val="clear" w:color="auto" w:fill="auto"/>
            <w:vAlign w:val="bottom"/>
          </w:tcPr>
          <w:p w:rsidR="00907FA7" w:rsidRPr="00165DAA" w:rsidRDefault="00907FA7" w:rsidP="00907FA7">
            <w:pPr>
              <w:pStyle w:val="TableBodyText"/>
              <w:ind w:right="0"/>
            </w:pPr>
            <w:r>
              <w:t>14.95</w:t>
            </w:r>
          </w:p>
        </w:tc>
      </w:tr>
    </w:tbl>
    <w:p w:rsidR="00907FA7" w:rsidRDefault="00A310CE" w:rsidP="00907FA7">
      <w:pPr>
        <w:pStyle w:val="Note"/>
      </w:pPr>
      <w:r>
        <w:rPr>
          <w:rStyle w:val="NoteLabel"/>
        </w:rPr>
        <w:t>a</w:t>
      </w:r>
      <w:r>
        <w:t> </w:t>
      </w:r>
      <w:r w:rsidR="00907FA7">
        <w:t>Educational attainment has bee</w:t>
      </w:r>
      <w:r w:rsidR="00D14EC0">
        <w:t>n classified as high (Bachelor</w:t>
      </w:r>
      <w:r w:rsidR="00907FA7">
        <w:t xml:space="preserve"> </w:t>
      </w:r>
      <w:r w:rsidR="00EF4516">
        <w:t>D</w:t>
      </w:r>
      <w:r w:rsidR="00907FA7">
        <w:t>egree or above), medium (Year 12, Certificate III/IV, Diploma or Advanced Diploma) and low (Certificate I/II, Certificate not defined, Year 11 or lower).</w:t>
      </w:r>
      <w:r>
        <w:t>  </w:t>
      </w:r>
      <w:r w:rsidR="00907FA7">
        <w:rPr>
          <w:rStyle w:val="NoteLabel"/>
        </w:rPr>
        <w:t>b</w:t>
      </w:r>
      <w:r>
        <w:t> </w:t>
      </w:r>
      <w:r w:rsidR="00907FA7">
        <w:t>May include caring for others with illness/disability, retirement/voluntarily inactive, own illness/disability (rendering the individual temporarily or permanently unable to work), travel/holidays/leisure activities, working in an unpaid voluntary job, or other (unspecified) activities.</w:t>
      </w:r>
    </w:p>
    <w:p w:rsidR="00907FA7" w:rsidRPr="00F257C3" w:rsidRDefault="00907FA7" w:rsidP="00907FA7">
      <w:pPr>
        <w:pStyle w:val="Source"/>
      </w:pPr>
      <w:r>
        <w:rPr>
          <w:i/>
        </w:rPr>
        <w:t>Source</w:t>
      </w:r>
      <w:r>
        <w:t xml:space="preserve">: </w:t>
      </w:r>
      <w:r w:rsidR="005C3704">
        <w:t>Authors’ estimates</w:t>
      </w:r>
      <w:r>
        <w:t xml:space="preserve"> based on HILDA waves 1–10.</w:t>
      </w:r>
    </w:p>
    <w:p w:rsidR="00907FA7" w:rsidRDefault="00907FA7" w:rsidP="00907FA7">
      <w:pPr>
        <w:pStyle w:val="BodyText"/>
      </w:pPr>
    </w:p>
    <w:p w:rsidR="0002368C" w:rsidRDefault="0002368C" w:rsidP="00A413CD">
      <w:pPr>
        <w:pStyle w:val="TableTitle"/>
      </w:pPr>
      <w:r>
        <w:rPr>
          <w:b w:val="0"/>
        </w:rPr>
        <w:lastRenderedPageBreak/>
        <w:t xml:space="preserve">Table </w:t>
      </w:r>
      <w:bookmarkStart w:id="15" w:name="OLE_LINK12"/>
      <w:r w:rsidR="00121B7F">
        <w:rPr>
          <w:b w:val="0"/>
        </w:rPr>
        <w:t>3.</w:t>
      </w:r>
      <w:r w:rsidR="00C42746">
        <w:rPr>
          <w:b w:val="0"/>
          <w:noProof/>
        </w:rPr>
        <w:t>3</w:t>
      </w:r>
      <w:bookmarkEnd w:id="15"/>
      <w:r>
        <w:tab/>
        <w:t xml:space="preserve">Selected characteristics of activity patterns in the </w:t>
      </w:r>
      <w:r w:rsidR="006456C9" w:rsidRPr="008006D7">
        <w:rPr>
          <w:i/>
        </w:rPr>
        <w:t>Work and Study to Work</w:t>
      </w:r>
      <w:r>
        <w:t xml:space="preserve"> pathway (youth</w:t>
      </w:r>
      <w:r w:rsidR="00A310CE">
        <w:t>s</w:t>
      </w:r>
      <w:r>
        <w:t>)</w:t>
      </w:r>
      <w:r w:rsidR="00907FA7" w:rsidRPr="009D5C03">
        <w:rPr>
          <w:rStyle w:val="NoteLabel"/>
          <w:b/>
        </w:rPr>
        <w:t>a</w:t>
      </w:r>
    </w:p>
    <w:tbl>
      <w:tblPr>
        <w:tblW w:w="0" w:type="auto"/>
        <w:tblLayout w:type="fixed"/>
        <w:tblCellMar>
          <w:left w:w="0" w:type="dxa"/>
          <w:right w:w="0" w:type="dxa"/>
        </w:tblCellMar>
        <w:tblLook w:val="0000" w:firstRow="0" w:lastRow="0" w:firstColumn="0" w:lastColumn="0" w:noHBand="0" w:noVBand="0"/>
      </w:tblPr>
      <w:tblGrid>
        <w:gridCol w:w="3544"/>
        <w:gridCol w:w="992"/>
        <w:gridCol w:w="993"/>
        <w:gridCol w:w="992"/>
        <w:gridCol w:w="850"/>
        <w:gridCol w:w="1418"/>
      </w:tblGrid>
      <w:tr w:rsidR="00907FA7" w:rsidTr="00DE224D">
        <w:tc>
          <w:tcPr>
            <w:tcW w:w="3544" w:type="dxa"/>
            <w:tcBorders>
              <w:top w:val="single" w:sz="6" w:space="0" w:color="auto"/>
              <w:bottom w:val="single" w:sz="6" w:space="0" w:color="auto"/>
            </w:tcBorders>
            <w:shd w:val="clear" w:color="auto" w:fill="auto"/>
          </w:tcPr>
          <w:p w:rsidR="00907FA7" w:rsidRDefault="00907FA7" w:rsidP="00907FA7">
            <w:pPr>
              <w:pStyle w:val="TableColumnHeading"/>
              <w:jc w:val="left"/>
            </w:pPr>
            <w:r>
              <w:t> </w:t>
            </w:r>
          </w:p>
        </w:tc>
        <w:tc>
          <w:tcPr>
            <w:tcW w:w="992" w:type="dxa"/>
            <w:tcBorders>
              <w:top w:val="single" w:sz="6" w:space="0" w:color="auto"/>
              <w:bottom w:val="single" w:sz="6" w:space="0" w:color="auto"/>
            </w:tcBorders>
            <w:shd w:val="clear" w:color="auto" w:fill="auto"/>
            <w:vAlign w:val="bottom"/>
          </w:tcPr>
          <w:p w:rsidR="00907FA7" w:rsidRDefault="00907FA7" w:rsidP="00DE224D">
            <w:pPr>
              <w:pStyle w:val="TableColumnHeading"/>
            </w:pPr>
            <w:r>
              <w:t>Work only</w:t>
            </w:r>
          </w:p>
        </w:tc>
        <w:tc>
          <w:tcPr>
            <w:tcW w:w="993" w:type="dxa"/>
            <w:tcBorders>
              <w:top w:val="single" w:sz="6" w:space="0" w:color="auto"/>
              <w:bottom w:val="single" w:sz="6" w:space="0" w:color="auto"/>
            </w:tcBorders>
            <w:shd w:val="clear" w:color="auto" w:fill="auto"/>
            <w:vAlign w:val="bottom"/>
          </w:tcPr>
          <w:p w:rsidR="00907FA7" w:rsidRDefault="00907FA7" w:rsidP="00DE224D">
            <w:pPr>
              <w:pStyle w:val="TableColumnHeading"/>
            </w:pPr>
            <w:r>
              <w:t>Work and study</w:t>
            </w:r>
          </w:p>
        </w:tc>
        <w:tc>
          <w:tcPr>
            <w:tcW w:w="992" w:type="dxa"/>
            <w:tcBorders>
              <w:top w:val="single" w:sz="6" w:space="0" w:color="auto"/>
              <w:bottom w:val="single" w:sz="6" w:space="0" w:color="auto"/>
            </w:tcBorders>
            <w:shd w:val="clear" w:color="auto" w:fill="auto"/>
            <w:vAlign w:val="bottom"/>
          </w:tcPr>
          <w:p w:rsidR="00907FA7" w:rsidRDefault="00907FA7" w:rsidP="00DE224D">
            <w:pPr>
              <w:pStyle w:val="TableColumnHeading"/>
            </w:pPr>
            <w:r>
              <w:t>Study only</w:t>
            </w:r>
          </w:p>
        </w:tc>
        <w:tc>
          <w:tcPr>
            <w:tcW w:w="850" w:type="dxa"/>
            <w:tcBorders>
              <w:top w:val="single" w:sz="6" w:space="0" w:color="auto"/>
              <w:bottom w:val="single" w:sz="6" w:space="0" w:color="auto"/>
            </w:tcBorders>
            <w:shd w:val="clear" w:color="auto" w:fill="auto"/>
            <w:vAlign w:val="bottom"/>
          </w:tcPr>
          <w:p w:rsidR="00907FA7" w:rsidRDefault="00907FA7" w:rsidP="00DE224D">
            <w:pPr>
              <w:pStyle w:val="TableColumnHeading"/>
            </w:pPr>
            <w:r>
              <w:t>NILF</w:t>
            </w:r>
          </w:p>
        </w:tc>
        <w:tc>
          <w:tcPr>
            <w:tcW w:w="1418" w:type="dxa"/>
            <w:tcBorders>
              <w:top w:val="single" w:sz="6" w:space="0" w:color="auto"/>
              <w:bottom w:val="single" w:sz="6" w:space="0" w:color="auto"/>
            </w:tcBorders>
            <w:shd w:val="clear" w:color="auto" w:fill="auto"/>
            <w:vAlign w:val="bottom"/>
          </w:tcPr>
          <w:p w:rsidR="00907FA7" w:rsidRDefault="00907FA7" w:rsidP="00DE224D">
            <w:pPr>
              <w:pStyle w:val="TableColumnHeading"/>
              <w:ind w:right="6"/>
            </w:pPr>
            <w:r>
              <w:t>Unemployment</w:t>
            </w:r>
          </w:p>
        </w:tc>
      </w:tr>
      <w:tr w:rsidR="00907FA7" w:rsidTr="00907FA7">
        <w:tc>
          <w:tcPr>
            <w:tcW w:w="3544" w:type="dxa"/>
          </w:tcPr>
          <w:p w:rsidR="00907FA7" w:rsidRDefault="00907FA7" w:rsidP="00907FA7">
            <w:pPr>
              <w:pStyle w:val="TableBodyText"/>
              <w:jc w:val="left"/>
            </w:pPr>
            <w:r>
              <w:t>Average time in the activity (per cent)</w:t>
            </w:r>
          </w:p>
        </w:tc>
        <w:tc>
          <w:tcPr>
            <w:tcW w:w="992" w:type="dxa"/>
          </w:tcPr>
          <w:p w:rsidR="00907FA7" w:rsidRDefault="00907FA7" w:rsidP="00907FA7">
            <w:pPr>
              <w:pStyle w:val="TableBodyText"/>
            </w:pPr>
            <w:r>
              <w:t>49.84</w:t>
            </w:r>
          </w:p>
        </w:tc>
        <w:tc>
          <w:tcPr>
            <w:tcW w:w="993" w:type="dxa"/>
          </w:tcPr>
          <w:p w:rsidR="00907FA7" w:rsidRDefault="00907FA7" w:rsidP="00907FA7">
            <w:pPr>
              <w:pStyle w:val="TableBodyText"/>
            </w:pPr>
            <w:r>
              <w:t>39.83</w:t>
            </w:r>
          </w:p>
        </w:tc>
        <w:tc>
          <w:tcPr>
            <w:tcW w:w="992" w:type="dxa"/>
          </w:tcPr>
          <w:p w:rsidR="00907FA7" w:rsidRDefault="00907FA7" w:rsidP="00907FA7">
            <w:pPr>
              <w:pStyle w:val="TableBodyText"/>
            </w:pPr>
            <w:r>
              <w:t>7.40</w:t>
            </w:r>
          </w:p>
        </w:tc>
        <w:tc>
          <w:tcPr>
            <w:tcW w:w="850" w:type="dxa"/>
          </w:tcPr>
          <w:p w:rsidR="00907FA7" w:rsidRDefault="00907FA7" w:rsidP="00907FA7">
            <w:pPr>
              <w:pStyle w:val="TableBodyText"/>
            </w:pPr>
            <w:r>
              <w:t>1.56</w:t>
            </w:r>
          </w:p>
        </w:tc>
        <w:tc>
          <w:tcPr>
            <w:tcW w:w="1418" w:type="dxa"/>
          </w:tcPr>
          <w:p w:rsidR="00907FA7" w:rsidRDefault="00907FA7" w:rsidP="00907FA7">
            <w:pPr>
              <w:pStyle w:val="TableBodyText"/>
              <w:ind w:right="0"/>
            </w:pPr>
            <w:r>
              <w:t>1.37</w:t>
            </w:r>
          </w:p>
        </w:tc>
      </w:tr>
      <w:tr w:rsidR="00907FA7" w:rsidTr="00907FA7">
        <w:tc>
          <w:tcPr>
            <w:tcW w:w="3544" w:type="dxa"/>
          </w:tcPr>
          <w:p w:rsidR="00907FA7" w:rsidRDefault="00907FA7" w:rsidP="00907FA7">
            <w:pPr>
              <w:pStyle w:val="TableBodyText"/>
              <w:jc w:val="left"/>
            </w:pPr>
            <w:r>
              <w:t xml:space="preserve">Share of path with at least one spell of the activity </w:t>
            </w:r>
          </w:p>
        </w:tc>
        <w:tc>
          <w:tcPr>
            <w:tcW w:w="992" w:type="dxa"/>
          </w:tcPr>
          <w:p w:rsidR="00907FA7" w:rsidRDefault="00907FA7" w:rsidP="00907FA7">
            <w:pPr>
              <w:pStyle w:val="TableBodyText"/>
            </w:pPr>
            <w:r>
              <w:t>100.00</w:t>
            </w:r>
          </w:p>
        </w:tc>
        <w:tc>
          <w:tcPr>
            <w:tcW w:w="993" w:type="dxa"/>
          </w:tcPr>
          <w:p w:rsidR="00907FA7" w:rsidRDefault="00907FA7" w:rsidP="00907FA7">
            <w:pPr>
              <w:pStyle w:val="TableBodyText"/>
            </w:pPr>
            <w:r>
              <w:t>100.00</w:t>
            </w:r>
          </w:p>
        </w:tc>
        <w:tc>
          <w:tcPr>
            <w:tcW w:w="992" w:type="dxa"/>
          </w:tcPr>
          <w:p w:rsidR="00907FA7" w:rsidRDefault="00907FA7" w:rsidP="00907FA7">
            <w:pPr>
              <w:pStyle w:val="TableBodyText"/>
            </w:pPr>
            <w:r>
              <w:t>62.30</w:t>
            </w:r>
          </w:p>
        </w:tc>
        <w:tc>
          <w:tcPr>
            <w:tcW w:w="850" w:type="dxa"/>
          </w:tcPr>
          <w:p w:rsidR="00907FA7" w:rsidRDefault="00907FA7" w:rsidP="00907FA7">
            <w:pPr>
              <w:pStyle w:val="TableBodyText"/>
            </w:pPr>
            <w:r>
              <w:t>34.43</w:t>
            </w:r>
          </w:p>
        </w:tc>
        <w:tc>
          <w:tcPr>
            <w:tcW w:w="1418" w:type="dxa"/>
          </w:tcPr>
          <w:p w:rsidR="00907FA7" w:rsidRDefault="00907FA7" w:rsidP="00907FA7">
            <w:pPr>
              <w:pStyle w:val="TableBodyText"/>
              <w:ind w:right="0"/>
            </w:pPr>
            <w:r>
              <w:t>32.79</w:t>
            </w:r>
          </w:p>
        </w:tc>
      </w:tr>
      <w:tr w:rsidR="00907FA7" w:rsidTr="00907FA7">
        <w:tc>
          <w:tcPr>
            <w:tcW w:w="8789" w:type="dxa"/>
            <w:gridSpan w:val="6"/>
          </w:tcPr>
          <w:p w:rsidR="00907FA7" w:rsidRDefault="00907FA7" w:rsidP="00907FA7">
            <w:pPr>
              <w:pStyle w:val="TableBodyText"/>
              <w:ind w:right="0"/>
              <w:jc w:val="left"/>
            </w:pPr>
            <w:r>
              <w:t>Conditional on at least one spell of the activity:</w:t>
            </w:r>
          </w:p>
        </w:tc>
      </w:tr>
      <w:tr w:rsidR="00907FA7" w:rsidTr="00907FA7">
        <w:tc>
          <w:tcPr>
            <w:tcW w:w="3544" w:type="dxa"/>
          </w:tcPr>
          <w:p w:rsidR="00907FA7" w:rsidRDefault="00907FA7" w:rsidP="00907FA7">
            <w:pPr>
              <w:pStyle w:val="TableBodyText"/>
              <w:ind w:left="142"/>
              <w:jc w:val="left"/>
            </w:pPr>
            <w:r>
              <w:t>average number of spells</w:t>
            </w:r>
          </w:p>
        </w:tc>
        <w:tc>
          <w:tcPr>
            <w:tcW w:w="992" w:type="dxa"/>
          </w:tcPr>
          <w:p w:rsidR="00907FA7" w:rsidRDefault="00907FA7" w:rsidP="00907FA7">
            <w:pPr>
              <w:pStyle w:val="TableBodyText"/>
            </w:pPr>
            <w:r>
              <w:t>2.98</w:t>
            </w:r>
          </w:p>
        </w:tc>
        <w:tc>
          <w:tcPr>
            <w:tcW w:w="993" w:type="dxa"/>
          </w:tcPr>
          <w:p w:rsidR="00907FA7" w:rsidRDefault="00907FA7" w:rsidP="00907FA7">
            <w:pPr>
              <w:pStyle w:val="TableBodyText"/>
            </w:pPr>
            <w:r>
              <w:t>3.01</w:t>
            </w:r>
          </w:p>
        </w:tc>
        <w:tc>
          <w:tcPr>
            <w:tcW w:w="992" w:type="dxa"/>
          </w:tcPr>
          <w:p w:rsidR="00907FA7" w:rsidRDefault="00907FA7" w:rsidP="00907FA7">
            <w:pPr>
              <w:pStyle w:val="TableBodyText"/>
            </w:pPr>
            <w:r>
              <w:t>2.00</w:t>
            </w:r>
          </w:p>
        </w:tc>
        <w:tc>
          <w:tcPr>
            <w:tcW w:w="850" w:type="dxa"/>
          </w:tcPr>
          <w:p w:rsidR="00907FA7" w:rsidRDefault="00907FA7" w:rsidP="00907FA7">
            <w:pPr>
              <w:pStyle w:val="TableBodyText"/>
            </w:pPr>
            <w:r>
              <w:t>1.31</w:t>
            </w:r>
          </w:p>
        </w:tc>
        <w:tc>
          <w:tcPr>
            <w:tcW w:w="1418" w:type="dxa"/>
          </w:tcPr>
          <w:p w:rsidR="00907FA7" w:rsidRDefault="00907FA7" w:rsidP="00907FA7">
            <w:pPr>
              <w:pStyle w:val="TableBodyText"/>
              <w:ind w:right="0"/>
            </w:pPr>
            <w:r>
              <w:t>1.75</w:t>
            </w:r>
          </w:p>
        </w:tc>
      </w:tr>
      <w:tr w:rsidR="00907FA7" w:rsidTr="00907FA7">
        <w:tc>
          <w:tcPr>
            <w:tcW w:w="3544" w:type="dxa"/>
            <w:tcBorders>
              <w:bottom w:val="single" w:sz="6" w:space="0" w:color="auto"/>
            </w:tcBorders>
          </w:tcPr>
          <w:p w:rsidR="00907FA7" w:rsidRDefault="00907FA7" w:rsidP="00907FA7">
            <w:pPr>
              <w:pStyle w:val="TableBodyText"/>
              <w:ind w:left="142"/>
              <w:jc w:val="left"/>
            </w:pPr>
            <w:r>
              <w:t>average length of spell (months)</w:t>
            </w:r>
          </w:p>
        </w:tc>
        <w:tc>
          <w:tcPr>
            <w:tcW w:w="992" w:type="dxa"/>
            <w:tcBorders>
              <w:bottom w:val="single" w:sz="6" w:space="0" w:color="auto"/>
            </w:tcBorders>
            <w:shd w:val="clear" w:color="auto" w:fill="auto"/>
          </w:tcPr>
          <w:p w:rsidR="00907FA7" w:rsidRDefault="00907FA7" w:rsidP="00907FA7">
            <w:pPr>
              <w:pStyle w:val="TableBodyText"/>
            </w:pPr>
            <w:r>
              <w:t>20.10</w:t>
            </w:r>
          </w:p>
        </w:tc>
        <w:tc>
          <w:tcPr>
            <w:tcW w:w="993" w:type="dxa"/>
            <w:tcBorders>
              <w:bottom w:val="single" w:sz="6" w:space="0" w:color="auto"/>
            </w:tcBorders>
            <w:shd w:val="clear" w:color="auto" w:fill="auto"/>
          </w:tcPr>
          <w:p w:rsidR="00907FA7" w:rsidRDefault="00907FA7" w:rsidP="00907FA7">
            <w:pPr>
              <w:pStyle w:val="TableBodyText"/>
            </w:pPr>
            <w:r>
              <w:t>15.89</w:t>
            </w:r>
          </w:p>
        </w:tc>
        <w:tc>
          <w:tcPr>
            <w:tcW w:w="992" w:type="dxa"/>
            <w:tcBorders>
              <w:bottom w:val="single" w:sz="6" w:space="0" w:color="auto"/>
            </w:tcBorders>
            <w:shd w:val="clear" w:color="auto" w:fill="auto"/>
          </w:tcPr>
          <w:p w:rsidR="00907FA7" w:rsidRDefault="00907FA7" w:rsidP="00907FA7">
            <w:pPr>
              <w:pStyle w:val="TableBodyText"/>
            </w:pPr>
            <w:r>
              <w:t>7.13</w:t>
            </w:r>
          </w:p>
        </w:tc>
        <w:tc>
          <w:tcPr>
            <w:tcW w:w="850" w:type="dxa"/>
            <w:tcBorders>
              <w:bottom w:val="single" w:sz="6" w:space="0" w:color="auto"/>
            </w:tcBorders>
            <w:shd w:val="clear" w:color="auto" w:fill="auto"/>
          </w:tcPr>
          <w:p w:rsidR="00907FA7" w:rsidRDefault="00907FA7" w:rsidP="00907FA7">
            <w:pPr>
              <w:pStyle w:val="TableBodyText"/>
            </w:pPr>
            <w:r>
              <w:t>4.15</w:t>
            </w:r>
          </w:p>
        </w:tc>
        <w:tc>
          <w:tcPr>
            <w:tcW w:w="1418" w:type="dxa"/>
            <w:tcBorders>
              <w:bottom w:val="single" w:sz="6" w:space="0" w:color="auto"/>
            </w:tcBorders>
            <w:shd w:val="clear" w:color="auto" w:fill="auto"/>
          </w:tcPr>
          <w:p w:rsidR="00907FA7" w:rsidRDefault="00907FA7" w:rsidP="00907FA7">
            <w:pPr>
              <w:pStyle w:val="TableBodyText"/>
              <w:ind w:right="0"/>
            </w:pPr>
            <w:r>
              <w:t>2.87</w:t>
            </w:r>
          </w:p>
        </w:tc>
      </w:tr>
    </w:tbl>
    <w:p w:rsidR="00907FA7" w:rsidRDefault="00A310CE" w:rsidP="00907FA7">
      <w:pPr>
        <w:pStyle w:val="Note"/>
      </w:pPr>
      <w:r>
        <w:rPr>
          <w:rStyle w:val="NoteLabel"/>
        </w:rPr>
        <w:t>a</w:t>
      </w:r>
      <w:r>
        <w:t> </w:t>
      </w:r>
      <w:r w:rsidR="00907FA7">
        <w:t>Pathway size 122 (13.9 per cent of youths); average number of activities 3.30.</w:t>
      </w:r>
    </w:p>
    <w:p w:rsidR="00907FA7" w:rsidRPr="00F257C3" w:rsidRDefault="00907FA7" w:rsidP="00907FA7">
      <w:pPr>
        <w:pStyle w:val="Source"/>
      </w:pPr>
      <w:r>
        <w:rPr>
          <w:i/>
        </w:rPr>
        <w:t>Source</w:t>
      </w:r>
      <w:r>
        <w:t xml:space="preserve">: </w:t>
      </w:r>
      <w:r w:rsidR="005C3704">
        <w:t xml:space="preserve">Authors’ estimates </w:t>
      </w:r>
      <w:r>
        <w:t>based on HILDA waves 1–10.</w:t>
      </w:r>
    </w:p>
    <w:p w:rsidR="00DE5B40" w:rsidRDefault="00DE5B40" w:rsidP="00DE5B40">
      <w:pPr>
        <w:pStyle w:val="Heading3"/>
      </w:pPr>
      <w:r>
        <w:t>Youth</w:t>
      </w:r>
      <w:r w:rsidR="003C2423">
        <w:t>s</w:t>
      </w:r>
      <w:r>
        <w:t xml:space="preserve"> in the </w:t>
      </w:r>
      <w:r w:rsidR="003C2423" w:rsidRPr="003C2423">
        <w:rPr>
          <w:i/>
        </w:rPr>
        <w:t>C</w:t>
      </w:r>
      <w:r w:rsidRPr="003C2423">
        <w:rPr>
          <w:i/>
        </w:rPr>
        <w:t xml:space="preserve">hurning with </w:t>
      </w:r>
      <w:r w:rsidR="003C2423">
        <w:rPr>
          <w:i/>
        </w:rPr>
        <w:t>W</w:t>
      </w:r>
      <w:r w:rsidRPr="003C2423">
        <w:rPr>
          <w:i/>
        </w:rPr>
        <w:t>ork</w:t>
      </w:r>
      <w:r>
        <w:t xml:space="preserve"> pathway</w:t>
      </w:r>
    </w:p>
    <w:p w:rsidR="003F0462" w:rsidRDefault="003F0462" w:rsidP="00E346E2">
      <w:pPr>
        <w:pStyle w:val="BodyText"/>
      </w:pPr>
      <w:r w:rsidRPr="003F0462">
        <w:rPr>
          <w:i/>
        </w:rPr>
        <w:t xml:space="preserve">Churning with </w:t>
      </w:r>
      <w:r w:rsidR="00A310CE">
        <w:rPr>
          <w:i/>
        </w:rPr>
        <w:t>W</w:t>
      </w:r>
      <w:r w:rsidRPr="003F0462">
        <w:rPr>
          <w:i/>
        </w:rPr>
        <w:t>ork</w:t>
      </w:r>
      <w:r>
        <w:t xml:space="preserve"> is the largest pathway for the youth segment:</w:t>
      </w:r>
      <w:r w:rsidR="008006D7">
        <w:t xml:space="preserve"> it represents </w:t>
      </w:r>
      <w:r w:rsidR="008006D7">
        <w:br/>
        <w:t xml:space="preserve">453 individuals or </w:t>
      </w:r>
      <w:r>
        <w:t xml:space="preserve">51.7 per cent of </w:t>
      </w:r>
      <w:r w:rsidR="00E346E2">
        <w:t xml:space="preserve">all </w:t>
      </w:r>
      <w:r>
        <w:t>youth</w:t>
      </w:r>
      <w:r w:rsidR="00126565">
        <w:t>s</w:t>
      </w:r>
      <w:r w:rsidR="00BE2459">
        <w:t xml:space="preserve"> (table </w:t>
      </w:r>
      <w:r w:rsidR="00121B7F">
        <w:t>3.5</w:t>
      </w:r>
      <w:r w:rsidR="008A35F1">
        <w:t xml:space="preserve"> below</w:t>
      </w:r>
      <w:r w:rsidR="00BE2459">
        <w:t>)</w:t>
      </w:r>
      <w:r w:rsidR="00E346E2">
        <w:t xml:space="preserve">. These </w:t>
      </w:r>
      <w:r w:rsidR="00406870">
        <w:t>individuals are</w:t>
      </w:r>
      <w:r>
        <w:t xml:space="preserve"> further advanced in their transition from education to work </w:t>
      </w:r>
      <w:r w:rsidR="00E346E2">
        <w:t xml:space="preserve">compared to </w:t>
      </w:r>
      <w:r>
        <w:t xml:space="preserve">those in the </w:t>
      </w:r>
      <w:r w:rsidRPr="003F0462">
        <w:rPr>
          <w:i/>
        </w:rPr>
        <w:t xml:space="preserve">Work and </w:t>
      </w:r>
      <w:r w:rsidR="00A310CE">
        <w:rPr>
          <w:i/>
        </w:rPr>
        <w:t>S</w:t>
      </w:r>
      <w:r w:rsidRPr="003F0462">
        <w:rPr>
          <w:i/>
        </w:rPr>
        <w:t xml:space="preserve">tudy to </w:t>
      </w:r>
      <w:r w:rsidR="00A310CE">
        <w:rPr>
          <w:i/>
        </w:rPr>
        <w:t>W</w:t>
      </w:r>
      <w:r w:rsidRPr="003F0462">
        <w:rPr>
          <w:i/>
        </w:rPr>
        <w:t>ork</w:t>
      </w:r>
      <w:r>
        <w:t xml:space="preserve"> pathway. The average age in 2001 is 20.2 years</w:t>
      </w:r>
      <w:r w:rsidR="00BE2459">
        <w:t xml:space="preserve"> (table </w:t>
      </w:r>
      <w:r w:rsidR="00121B7F">
        <w:t>3.4</w:t>
      </w:r>
      <w:r w:rsidR="008A35F1">
        <w:t xml:space="preserve"> below</w:t>
      </w:r>
      <w:r w:rsidR="00BE2459">
        <w:t>)</w:t>
      </w:r>
      <w:r>
        <w:t>.</w:t>
      </w:r>
    </w:p>
    <w:p w:rsidR="003F0462" w:rsidRDefault="003F0462" w:rsidP="003F0462">
      <w:pPr>
        <w:pStyle w:val="BodyText"/>
      </w:pPr>
      <w:r>
        <w:t>Th</w:t>
      </w:r>
      <w:r w:rsidR="00C42746">
        <w:t>is</w:t>
      </w:r>
      <w:r>
        <w:t xml:space="preserve"> pathway is dominated by individuals spending considerable time in work only: 9 per cent of individuals spend all 120 months in work only and the other 91</w:t>
      </w:r>
      <w:r w:rsidR="009602EF">
        <w:t> </w:t>
      </w:r>
      <w:r>
        <w:t>per</w:t>
      </w:r>
      <w:r w:rsidR="008006D7">
        <w:t> </w:t>
      </w:r>
      <w:r>
        <w:t xml:space="preserve">cent spend at least one quarter of their time (29 months) in work only. </w:t>
      </w:r>
      <w:r w:rsidR="00C42746">
        <w:br/>
      </w:r>
      <w:r>
        <w:t xml:space="preserve">For this latter group, work periods are interspersed with other activities — this </w:t>
      </w:r>
      <w:r w:rsidR="00C42746">
        <w:br/>
      </w:r>
      <w:r>
        <w:t xml:space="preserve">is sometimes referred to as ‘churning’ or turbulence in activity patterns </w:t>
      </w:r>
      <w:r w:rsidR="00C42746">
        <w:br/>
      </w:r>
      <w:r>
        <w:t>(</w:t>
      </w:r>
      <w:r w:rsidR="00CF03CD">
        <w:t>Bretherton 2011; Hunter, Gray and Jones 2000; Lamb 2001</w:t>
      </w:r>
      <w:r>
        <w:t xml:space="preserve">). For example, </w:t>
      </w:r>
      <w:r w:rsidR="00C42746">
        <w:br/>
      </w:r>
      <w:r>
        <w:t>77 per cent of individuals have between two and ten spells of work only over the t</w:t>
      </w:r>
      <w:r w:rsidR="00E4427A">
        <w:t>en</w:t>
      </w:r>
      <w:r w:rsidR="007E4CFD">
        <w:noBreakHyphen/>
      </w:r>
      <w:r w:rsidR="00E4427A">
        <w:t xml:space="preserve">year period (not </w:t>
      </w:r>
      <w:r w:rsidR="008006D7">
        <w:t>shown</w:t>
      </w:r>
      <w:r w:rsidR="00E4427A">
        <w:t>).</w:t>
      </w:r>
    </w:p>
    <w:p w:rsidR="000566E0" w:rsidRDefault="003F0462" w:rsidP="00DE5B40">
      <w:pPr>
        <w:pStyle w:val="BodyText"/>
      </w:pPr>
      <w:r>
        <w:t>Initially, 45 per cent of individuals are in work only, 24 per cent in work and study</w:t>
      </w:r>
      <w:r w:rsidR="00572839">
        <w:t>,</w:t>
      </w:r>
      <w:r>
        <w:t xml:space="preserve"> and 21 per cent in study only (figure</w:t>
      </w:r>
      <w:r w:rsidR="00327397">
        <w:t> </w:t>
      </w:r>
      <w:r w:rsidR="00121B7F">
        <w:t>3.3</w:t>
      </w:r>
      <w:r w:rsidR="008A35F1">
        <w:t xml:space="preserve"> below</w:t>
      </w:r>
      <w:r>
        <w:t xml:space="preserve">). Unemployment affects </w:t>
      </w:r>
      <w:r w:rsidR="00FE0F23">
        <w:t>4</w:t>
      </w:r>
      <w:r>
        <w:t xml:space="preserve"> per cent of individuals and </w:t>
      </w:r>
      <w:r w:rsidR="00FE0F23">
        <w:t>6</w:t>
      </w:r>
      <w:r>
        <w:t xml:space="preserve"> per cent are </w:t>
      </w:r>
      <w:r w:rsidR="003F6024">
        <w:t>NILF</w:t>
      </w:r>
      <w:r>
        <w:t>. By June 2005, there has been a large shift in activities from study to work only — 83 per cent are in work only, 9</w:t>
      </w:r>
      <w:r w:rsidR="00A310CE">
        <w:t> </w:t>
      </w:r>
      <w:r>
        <w:t>per cent combine work and study and only 2 per cent are in study only. Unemployment and NILF have become less prevalent, affecting about 6 per cent of individuals. This distribution of activities persists for the remainder of the sample period.</w:t>
      </w:r>
    </w:p>
    <w:p w:rsidR="00A413CD" w:rsidRPr="0002368C" w:rsidRDefault="00A413CD" w:rsidP="00774848">
      <w:pPr>
        <w:pStyle w:val="FigureTitle"/>
      </w:pPr>
      <w:r>
        <w:rPr>
          <w:b w:val="0"/>
        </w:rPr>
        <w:lastRenderedPageBreak/>
        <w:t xml:space="preserve">Figure </w:t>
      </w:r>
      <w:bookmarkStart w:id="16" w:name="OLE_LINK13"/>
      <w:r w:rsidR="00121B7F">
        <w:rPr>
          <w:b w:val="0"/>
        </w:rPr>
        <w:t>3.</w:t>
      </w:r>
      <w:r w:rsidR="00C42746">
        <w:rPr>
          <w:b w:val="0"/>
          <w:noProof/>
        </w:rPr>
        <w:t>3</w:t>
      </w:r>
      <w:bookmarkEnd w:id="16"/>
      <w:r>
        <w:tab/>
        <w:t xml:space="preserve">Activities in the </w:t>
      </w:r>
      <w:r w:rsidR="00D44D55" w:rsidRPr="008006D7">
        <w:rPr>
          <w:i/>
        </w:rPr>
        <w:t>Churning with Work</w:t>
      </w:r>
      <w:r>
        <w:t xml:space="preserve"> pathway for youth</w:t>
      </w:r>
      <w:r w:rsidR="00A310CE">
        <w:t>s</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A413CD" w:rsidTr="00A413CD">
        <w:tc>
          <w:tcPr>
            <w:tcW w:w="8777" w:type="dxa"/>
          </w:tcPr>
          <w:p w:rsidR="00A413CD" w:rsidRPr="00AF4FFC" w:rsidRDefault="00AF4FFC" w:rsidP="00A413CD">
            <w:pPr>
              <w:pStyle w:val="Figure"/>
              <w:rPr>
                <w:rFonts w:ascii="Arial" w:hAnsi="Arial" w:cs="Arial"/>
                <w:b/>
                <w:sz w:val="20"/>
              </w:rPr>
            </w:pPr>
            <w:r w:rsidRPr="00AF4FFC">
              <w:rPr>
                <w:rFonts w:ascii="Arial" w:hAnsi="Arial" w:cs="Arial"/>
                <w:b/>
                <w:sz w:val="20"/>
              </w:rPr>
              <w:t>(A) A</w:t>
            </w:r>
            <w:r>
              <w:rPr>
                <w:rFonts w:ascii="Arial" w:hAnsi="Arial" w:cs="Arial"/>
                <w:b/>
                <w:sz w:val="20"/>
              </w:rPr>
              <w:t>ctivity sequences by individual</w:t>
            </w:r>
          </w:p>
          <w:p w:rsidR="00A413CD" w:rsidRDefault="00870DBE" w:rsidP="0010237B">
            <w:pPr>
              <w:pStyle w:val="Figure"/>
              <w:jc w:val="left"/>
            </w:pPr>
            <w:r>
              <w:rPr>
                <w:noProof/>
              </w:rPr>
              <w:t>  </w:t>
            </w:r>
            <w:r w:rsidR="007C193D">
              <w:rPr>
                <w:noProof/>
              </w:rPr>
              <w:t>        </w:t>
            </w:r>
            <w:r w:rsidR="0010237B">
              <w:rPr>
                <w:noProof/>
              </w:rPr>
              <w:drawing>
                <wp:inline distT="0" distB="0" distL="0" distR="0" wp14:anchorId="5B57BC03" wp14:editId="4FD4A19F">
                  <wp:extent cx="4512310" cy="3289935"/>
                  <wp:effectExtent l="0" t="0" r="0" b="0"/>
                  <wp:docPr id="2" name="Picture 2" descr="Figure 3.3 Activities in the Churning with Work pathway for youths panel A - Activity sequences by individual&#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Longitudinal Surveys\Hilda R10\100c\CB\meanprobdist\recode activity\final SI plots\done\y_5.png"/>
                          <pic:cNvPicPr>
                            <a:picLocks noChangeAspect="1" noChangeArrowheads="1"/>
                          </pic:cNvPicPr>
                        </pic:nvPicPr>
                        <pic:blipFill rotWithShape="1">
                          <a:blip r:embed="rId12">
                            <a:extLst>
                              <a:ext uri="{28A0092B-C50C-407E-A947-70E740481C1C}">
                                <a14:useLocalDpi xmlns:a14="http://schemas.microsoft.com/office/drawing/2010/main" val="0"/>
                              </a:ext>
                            </a:extLst>
                          </a:blip>
                          <a:srcRect l="-399" t="547" r="399" b="-547"/>
                          <a:stretch/>
                        </pic:blipFill>
                        <pic:spPr bwMode="auto">
                          <a:xfrm>
                            <a:off x="0" y="0"/>
                            <a:ext cx="4512310" cy="3289935"/>
                          </a:xfrm>
                          <a:prstGeom prst="rect">
                            <a:avLst/>
                          </a:prstGeom>
                          <a:noFill/>
                          <a:ln>
                            <a:noFill/>
                          </a:ln>
                        </pic:spPr>
                      </pic:pic>
                    </a:graphicData>
                  </a:graphic>
                </wp:inline>
              </w:drawing>
            </w:r>
          </w:p>
        </w:tc>
      </w:tr>
      <w:tr w:rsidR="00A413CD" w:rsidTr="00A413CD">
        <w:tc>
          <w:tcPr>
            <w:tcW w:w="8777" w:type="dxa"/>
          </w:tcPr>
          <w:p w:rsidR="00A413CD" w:rsidRPr="00AF4FFC" w:rsidRDefault="00774848" w:rsidP="00A413CD">
            <w:pPr>
              <w:pStyle w:val="Figure"/>
              <w:rPr>
                <w:rFonts w:ascii="Arial" w:hAnsi="Arial" w:cs="Arial"/>
                <w:b/>
                <w:sz w:val="20"/>
              </w:rPr>
            </w:pPr>
            <w:r w:rsidRPr="00AF4FFC">
              <w:rPr>
                <w:rFonts w:ascii="Arial" w:hAnsi="Arial" w:cs="Arial"/>
                <w:b/>
                <w:sz w:val="20"/>
              </w:rPr>
              <w:t>(B) Activities by monthly share</w:t>
            </w:r>
          </w:p>
          <w:p w:rsidR="00A413CD" w:rsidRDefault="00554EC6" w:rsidP="00DE3075">
            <w:pPr>
              <w:pStyle w:val="Figure"/>
            </w:pPr>
            <w:r>
              <w:rPr>
                <w:noProof/>
              </w:rPr>
              <w:drawing>
                <wp:inline distT="0" distB="0" distL="0" distR="0" wp14:anchorId="2B492522" wp14:editId="3022510F">
                  <wp:extent cx="4226400" cy="2764800"/>
                  <wp:effectExtent l="0" t="0" r="0" b="0"/>
                  <wp:docPr id="9" name="Picture 9" descr="Figure 3.3 Activities in the Churning with Work pathway for youths panel B - Activities by monthly sh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6400" cy="2764800"/>
                          </a:xfrm>
                          <a:prstGeom prst="rect">
                            <a:avLst/>
                          </a:prstGeom>
                          <a:noFill/>
                        </pic:spPr>
                      </pic:pic>
                    </a:graphicData>
                  </a:graphic>
                </wp:inline>
              </w:drawing>
            </w:r>
          </w:p>
        </w:tc>
      </w:tr>
    </w:tbl>
    <w:p w:rsidR="00A413CD" w:rsidRDefault="00A413CD" w:rsidP="00A413CD">
      <w:pPr>
        <w:pStyle w:val="Source"/>
      </w:pPr>
      <w:r>
        <w:rPr>
          <w:i/>
        </w:rPr>
        <w:t>Data source</w:t>
      </w:r>
      <w:r w:rsidRPr="00167F06">
        <w:t xml:space="preserve">: </w:t>
      </w:r>
      <w:r w:rsidR="005C3704">
        <w:t xml:space="preserve">Authors’ estimates </w:t>
      </w:r>
      <w:r>
        <w:t>based on HILDA waves 1–10.</w:t>
      </w:r>
    </w:p>
    <w:p w:rsidR="003F0462" w:rsidRDefault="003F0462" w:rsidP="003F0462">
      <w:pPr>
        <w:pStyle w:val="BodyText"/>
      </w:pPr>
      <w:r>
        <w:t>Individuals who are initially neither working nor looking for work are primarily engaged in study (table</w:t>
      </w:r>
      <w:r w:rsidR="00327397">
        <w:t> </w:t>
      </w:r>
      <w:r w:rsidR="00121B7F">
        <w:t>3.4</w:t>
      </w:r>
      <w:r>
        <w:t xml:space="preserve">). However, as time progresses and studies are completed, childcare becomes the main activity of those </w:t>
      </w:r>
      <w:r w:rsidR="003F6024">
        <w:t>NILF</w:t>
      </w:r>
      <w:r>
        <w:t>.</w:t>
      </w:r>
    </w:p>
    <w:p w:rsidR="007B2A1E" w:rsidRDefault="003F0462" w:rsidP="003F0462">
      <w:pPr>
        <w:pStyle w:val="BodyText"/>
      </w:pPr>
      <w:r>
        <w:lastRenderedPageBreak/>
        <w:t>In this pathway, education levels in 2001 are higher than in any other youth pathway: 52 per cent of individuals have already attained a medium level of education (Year 12</w:t>
      </w:r>
      <w:r w:rsidR="008006D7">
        <w:t xml:space="preserve">, </w:t>
      </w:r>
      <w:r>
        <w:t>Certificate III/IV</w:t>
      </w:r>
      <w:r w:rsidR="008006D7">
        <w:t>, Diploma</w:t>
      </w:r>
      <w:r>
        <w:t xml:space="preserve"> </w:t>
      </w:r>
      <w:r w:rsidR="008006D7">
        <w:t>or</w:t>
      </w:r>
      <w:r>
        <w:t xml:space="preserve"> Advanced Diploma) and 13 per cent have a hig</w:t>
      </w:r>
      <w:r w:rsidR="00D14EC0">
        <w:t>h level of education (Bachelor</w:t>
      </w:r>
      <w:r>
        <w:t xml:space="preserve"> Degree or above). </w:t>
      </w:r>
      <w:r w:rsidR="007B2A1E">
        <w:t xml:space="preserve">Individuals with these higher education levels tend to be working (with or without study). </w:t>
      </w:r>
      <w:r w:rsidR="00973A97">
        <w:t xml:space="preserve">About 35 per cent of youths in this pathway are studying </w:t>
      </w:r>
      <w:r w:rsidR="00A364A5">
        <w:t xml:space="preserve">(with or without work) </w:t>
      </w:r>
      <w:r w:rsidR="00973A97">
        <w:t>in 2001, and almost two</w:t>
      </w:r>
      <w:r w:rsidR="00C8200C">
        <w:t xml:space="preserve"> </w:t>
      </w:r>
      <w:r w:rsidR="00973A97">
        <w:t xml:space="preserve">thirds of them (64 per cent) are combining study with work (not shown). </w:t>
      </w:r>
      <w:r w:rsidR="00A364A5">
        <w:t xml:space="preserve">Individuals combining work and study in 2001 </w:t>
      </w:r>
      <w:r w:rsidR="007B2A1E">
        <w:t xml:space="preserve">tend to </w:t>
      </w:r>
      <w:r w:rsidR="00A364A5">
        <w:t xml:space="preserve">have already attained higher levels of education than those in study only — 30 per cent in study only have medium or high education levels but 58 per cent in work and study already have </w:t>
      </w:r>
      <w:r w:rsidR="007B2A1E">
        <w:t>medium or high education levels</w:t>
      </w:r>
      <w:r w:rsidR="007B4C32">
        <w:t xml:space="preserve"> (not shown)</w:t>
      </w:r>
      <w:r w:rsidR="007B2A1E">
        <w:t>.</w:t>
      </w:r>
    </w:p>
    <w:p w:rsidR="00EE58B5" w:rsidRDefault="003F0462" w:rsidP="00003AE7">
      <w:pPr>
        <w:pStyle w:val="BodyText"/>
      </w:pPr>
      <w:r>
        <w:t xml:space="preserve">With 77 per cent of individuals undertaking study (with and/or without work) during the </w:t>
      </w:r>
      <w:r w:rsidR="006F3452">
        <w:t>ten</w:t>
      </w:r>
      <w:r w:rsidR="00914827">
        <w:noBreakHyphen/>
      </w:r>
      <w:r w:rsidR="00973A97">
        <w:t xml:space="preserve">year </w:t>
      </w:r>
      <w:r>
        <w:t>period</w:t>
      </w:r>
      <w:r w:rsidR="006E78CB">
        <w:t xml:space="preserve"> (not </w:t>
      </w:r>
      <w:r w:rsidR="00D14EC0">
        <w:t>shown</w:t>
      </w:r>
      <w:r w:rsidR="006E78CB">
        <w:t>)</w:t>
      </w:r>
      <w:r>
        <w:t>, education levels rise: by 2010, 64 per cent have attained medium levels of education and 20 per cent have high levels</w:t>
      </w:r>
      <w:r w:rsidR="006E78CB">
        <w:t xml:space="preserve"> (table </w:t>
      </w:r>
      <w:r w:rsidR="00121B7F">
        <w:t>3.4</w:t>
      </w:r>
      <w:r w:rsidR="006E78CB">
        <w:t>)</w:t>
      </w:r>
      <w:r>
        <w:t xml:space="preserve">. </w:t>
      </w:r>
      <w:r w:rsidR="00203D0F">
        <w:t xml:space="preserve">This increase results mostly from individuals with Year 11 or lower completing Year 12 and/or qualifications at Certificate III/IV level. </w:t>
      </w:r>
      <w:r>
        <w:t>Th</w:t>
      </w:r>
      <w:r w:rsidR="00203D0F">
        <w:t>e</w:t>
      </w:r>
      <w:r>
        <w:t xml:space="preserve"> </w:t>
      </w:r>
      <w:r w:rsidR="00203D0F">
        <w:t xml:space="preserve">increase in broad education levels </w:t>
      </w:r>
      <w:r>
        <w:t>is smaller than that observed for youth</w:t>
      </w:r>
      <w:r w:rsidR="00126565">
        <w:t>s</w:t>
      </w:r>
      <w:r>
        <w:t xml:space="preserve"> in the </w:t>
      </w:r>
      <w:r w:rsidR="00D14EC0" w:rsidRPr="00D14EC0">
        <w:rPr>
          <w:i/>
        </w:rPr>
        <w:t>Education to W</w:t>
      </w:r>
      <w:r w:rsidRPr="00D14EC0">
        <w:rPr>
          <w:i/>
        </w:rPr>
        <w:t>ork</w:t>
      </w:r>
      <w:r>
        <w:t xml:space="preserve"> pathway, </w:t>
      </w:r>
      <w:r w:rsidR="00203D0F">
        <w:t xml:space="preserve">partly because </w:t>
      </w:r>
      <w:r>
        <w:t>the incidence, repetition</w:t>
      </w:r>
      <w:r>
        <w:rPr>
          <w:rStyle w:val="FootnoteReference"/>
        </w:rPr>
        <w:footnoteReference w:id="5"/>
      </w:r>
      <w:r>
        <w:t xml:space="preserve"> and to some extent duration of study activity are lower in this pathway. </w:t>
      </w:r>
      <w:r w:rsidR="00CC028A">
        <w:t>In addition, m</w:t>
      </w:r>
      <w:r w:rsidR="00E474FE">
        <w:t xml:space="preserve">ore detailed investigation of educational attainment showed that only about half </w:t>
      </w:r>
      <w:r w:rsidR="00CC028A">
        <w:t xml:space="preserve">of those individuals in this pathway who studied during the </w:t>
      </w:r>
      <w:r w:rsidR="006F3452">
        <w:t>ten</w:t>
      </w:r>
      <w:r w:rsidR="00914827">
        <w:noBreakHyphen/>
      </w:r>
      <w:r w:rsidR="00CC028A">
        <w:t>year period increased the</w:t>
      </w:r>
      <w:r w:rsidR="00E474FE">
        <w:t xml:space="preserve"> </w:t>
      </w:r>
      <w:r w:rsidR="00CC028A">
        <w:t xml:space="preserve">level of their highest </w:t>
      </w:r>
      <w:r w:rsidR="00E474FE">
        <w:t>qualification</w:t>
      </w:r>
      <w:r w:rsidR="00EE58B5">
        <w:t xml:space="preserve"> (box</w:t>
      </w:r>
      <w:r w:rsidR="00327397">
        <w:t> </w:t>
      </w:r>
      <w:r w:rsidR="00121B7F">
        <w:t>3.5</w:t>
      </w:r>
      <w:r w:rsidR="00EE58B5">
        <w:t>)</w:t>
      </w:r>
      <w:r w:rsidR="00E474FE">
        <w:t xml:space="preserve">. </w:t>
      </w:r>
      <w:r w:rsidR="00CC028A">
        <w:t>As a result, in 2010 individuals in this pathway have relatively low levels of education comp</w:t>
      </w:r>
      <w:r w:rsidR="007B4C32">
        <w:t>ared to the other youth pathways (table </w:t>
      </w:r>
      <w:r w:rsidR="00121B7F">
        <w:t>3.4</w:t>
      </w:r>
      <w:r w:rsidR="007B4C32">
        <w:t>)</w:t>
      </w:r>
      <w:r w:rsidR="00CC028A">
        <w:t>.</w:t>
      </w:r>
      <w:r w:rsidR="007B4C32">
        <w:t xml:space="preserve"> </w:t>
      </w:r>
    </w:p>
    <w:p w:rsidR="00D4159C" w:rsidRDefault="00D4159C">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D4159C">
        <w:tc>
          <w:tcPr>
            <w:tcW w:w="8771" w:type="dxa"/>
            <w:tcBorders>
              <w:top w:val="single" w:sz="6" w:space="0" w:color="auto"/>
              <w:bottom w:val="nil"/>
            </w:tcBorders>
          </w:tcPr>
          <w:p w:rsidR="00D4159C" w:rsidRDefault="00D4159C">
            <w:pPr>
              <w:pStyle w:val="BoxTitle"/>
            </w:pPr>
            <w:r>
              <w:rPr>
                <w:b w:val="0"/>
              </w:rPr>
              <w:t xml:space="preserve">Box </w:t>
            </w:r>
            <w:bookmarkStart w:id="17" w:name="OLE_LINK4"/>
            <w:r w:rsidR="00121B7F">
              <w:rPr>
                <w:b w:val="0"/>
              </w:rPr>
              <w:t>3.</w:t>
            </w:r>
            <w:r w:rsidR="00C42746">
              <w:rPr>
                <w:b w:val="0"/>
                <w:noProof/>
              </w:rPr>
              <w:t>5</w:t>
            </w:r>
            <w:bookmarkEnd w:id="17"/>
            <w:r>
              <w:tab/>
              <w:t>Study activity and changes in the profile of three broad levels of education</w:t>
            </w:r>
          </w:p>
        </w:tc>
      </w:tr>
      <w:tr w:rsidR="00D4159C">
        <w:trPr>
          <w:cantSplit/>
        </w:trPr>
        <w:tc>
          <w:tcPr>
            <w:tcW w:w="8771" w:type="dxa"/>
            <w:tcBorders>
              <w:top w:val="nil"/>
              <w:left w:val="single" w:sz="6" w:space="0" w:color="auto"/>
              <w:bottom w:val="nil"/>
              <w:right w:val="single" w:sz="6" w:space="0" w:color="auto"/>
            </w:tcBorders>
          </w:tcPr>
          <w:p w:rsidR="00D4159C" w:rsidRDefault="00D4159C" w:rsidP="00003AE7">
            <w:pPr>
              <w:pStyle w:val="Box"/>
            </w:pPr>
            <w:r>
              <w:t>Not all study activity over the ten</w:t>
            </w:r>
            <w:r>
              <w:noBreakHyphen/>
              <w:t>year period changes the broad education profile as reported in the tables. There are three main reasons why this can occur.</w:t>
            </w:r>
          </w:p>
          <w:p w:rsidR="00D4159C" w:rsidRDefault="00D4159C" w:rsidP="00003AE7">
            <w:pPr>
              <w:pStyle w:val="Box"/>
            </w:pPr>
            <w:r>
              <w:t>First, the categories in the education profile are quite broad. The categories are based on each individual’s highest completed qualification and those qualifications have been grouped into ‘high’, ‘medium’ and ‘low’ levels. H</w:t>
            </w:r>
            <w:r w:rsidRPr="00CD0417">
              <w:t xml:space="preserve">igh </w:t>
            </w:r>
            <w:r>
              <w:t xml:space="preserve">level education comprises </w:t>
            </w:r>
            <w:r w:rsidRPr="00CD0417">
              <w:t xml:space="preserve">Bachelor </w:t>
            </w:r>
            <w:r w:rsidR="00D14EC0">
              <w:t>D</w:t>
            </w:r>
            <w:r w:rsidRPr="00CD0417">
              <w:t xml:space="preserve">egree </w:t>
            </w:r>
            <w:r>
              <w:t xml:space="preserve">and </w:t>
            </w:r>
            <w:r w:rsidRPr="00CD0417">
              <w:t>above</w:t>
            </w:r>
            <w:r>
              <w:t>. M</w:t>
            </w:r>
            <w:r w:rsidRPr="00CD0417">
              <w:t xml:space="preserve">edium </w:t>
            </w:r>
            <w:r>
              <w:t xml:space="preserve">represents </w:t>
            </w:r>
            <w:r w:rsidRPr="00CD0417">
              <w:t xml:space="preserve">Year 12, Certificate III/IV, Diploma </w:t>
            </w:r>
            <w:r>
              <w:t>and</w:t>
            </w:r>
            <w:r w:rsidRPr="00CD0417">
              <w:t xml:space="preserve"> Advanced Diploma</w:t>
            </w:r>
            <w:r>
              <w:t>.</w:t>
            </w:r>
            <w:r w:rsidRPr="00CD0417">
              <w:t xml:space="preserve"> </w:t>
            </w:r>
            <w:r>
              <w:t>L</w:t>
            </w:r>
            <w:r w:rsidRPr="00CD0417">
              <w:t xml:space="preserve">ow </w:t>
            </w:r>
            <w:r>
              <w:t xml:space="preserve">contains </w:t>
            </w:r>
            <w:r w:rsidRPr="00CD0417">
              <w:t>Certificat</w:t>
            </w:r>
            <w:r>
              <w:t>e I/II, Certificate not defined,</w:t>
            </w:r>
            <w:r w:rsidRPr="00CD0417">
              <w:t xml:space="preserve"> Year 11 </w:t>
            </w:r>
            <w:r>
              <w:t xml:space="preserve">and below. Therefore, some individuals can change their highest completed qualification — say, from </w:t>
            </w:r>
            <w:r w:rsidRPr="00CD0417">
              <w:t xml:space="preserve">Diploma </w:t>
            </w:r>
            <w:r>
              <w:t>to</w:t>
            </w:r>
            <w:r w:rsidRPr="00CD0417">
              <w:t xml:space="preserve"> Advanced Diploma</w:t>
            </w:r>
            <w:r>
              <w:t xml:space="preserve"> — without changing the broad education profile.</w:t>
            </w:r>
          </w:p>
          <w:p w:rsidR="00D4159C" w:rsidRDefault="00D4159C" w:rsidP="00003AE7">
            <w:pPr>
              <w:pStyle w:val="Box"/>
            </w:pPr>
            <w:r>
              <w:t>Second, not all qualifications undertaken are completed during this ten</w:t>
            </w:r>
            <w:r>
              <w:noBreakHyphen/>
              <w:t>year period. Some individuals discontinue study for a qualification part way through (due to ‘module completion’ in some vocational education and training courses, or ‘dropout’) and some individuals who enrol later in the period continue to study beyond 2010 and their completion status is not observed (that is, these data are censored).</w:t>
            </w:r>
          </w:p>
          <w:p w:rsidR="00D4159C" w:rsidRDefault="00D4159C" w:rsidP="00003AE7">
            <w:pPr>
              <w:pStyle w:val="Box"/>
            </w:pPr>
            <w:r>
              <w:t>Third, some individuals may complete an additional qualification at or below the level of their highest qualification.</w:t>
            </w:r>
          </w:p>
          <w:p w:rsidR="00D4159C" w:rsidRDefault="00D4159C" w:rsidP="00003AE7">
            <w:pPr>
              <w:pStyle w:val="Box"/>
            </w:pPr>
            <w:r>
              <w:t xml:space="preserve">For example, although 77 per cent of youths in the </w:t>
            </w:r>
            <w:r w:rsidRPr="00E3593F">
              <w:rPr>
                <w:i/>
              </w:rPr>
              <w:t xml:space="preserve">Churning with </w:t>
            </w:r>
            <w:r>
              <w:rPr>
                <w:i/>
              </w:rPr>
              <w:t>W</w:t>
            </w:r>
            <w:r w:rsidRPr="00E3593F">
              <w:rPr>
                <w:i/>
              </w:rPr>
              <w:t>ork</w:t>
            </w:r>
            <w:r>
              <w:t xml:space="preserve"> pathway reported any study activity during the ten years, only a third of those individuals contributed to the increase in the broad education level for that pathway. Another 19 per cent of those who had studied increased the level of their highest qualification but remained at the same broad education level. The study activity of the remaining individuals (48 per cent) represented study at the same level as their highest qualification, at a lower level, or study towards a higher level qualification that was either abandoned before — or ongoing at — mid</w:t>
            </w:r>
            <w:r>
              <w:noBreakHyphen/>
              <w:t>2010.</w:t>
            </w:r>
          </w:p>
        </w:tc>
      </w:tr>
      <w:tr w:rsidR="00D4159C">
        <w:trPr>
          <w:cantSplit/>
        </w:trPr>
        <w:tc>
          <w:tcPr>
            <w:tcW w:w="8771" w:type="dxa"/>
            <w:tcBorders>
              <w:top w:val="nil"/>
              <w:left w:val="single" w:sz="6" w:space="0" w:color="auto"/>
              <w:bottom w:val="nil"/>
              <w:right w:val="single" w:sz="6" w:space="0" w:color="auto"/>
            </w:tcBorders>
          </w:tcPr>
          <w:p w:rsidR="00D4159C" w:rsidRDefault="00D4159C">
            <w:pPr>
              <w:pStyle w:val="BoxSource"/>
            </w:pPr>
            <w:r>
              <w:rPr>
                <w:i/>
              </w:rPr>
              <w:t>Source</w:t>
            </w:r>
            <w:r>
              <w:t xml:space="preserve">: </w:t>
            </w:r>
            <w:r w:rsidR="005C3704">
              <w:t xml:space="preserve">Authors’ estimates </w:t>
            </w:r>
            <w:r>
              <w:t>based on HILDA waves 1–10.</w:t>
            </w:r>
          </w:p>
        </w:tc>
      </w:tr>
      <w:tr w:rsidR="00D4159C">
        <w:trPr>
          <w:cantSplit/>
        </w:trPr>
        <w:tc>
          <w:tcPr>
            <w:tcW w:w="8771" w:type="dxa"/>
            <w:tcBorders>
              <w:top w:val="nil"/>
              <w:left w:val="single" w:sz="6" w:space="0" w:color="auto"/>
              <w:bottom w:val="single" w:sz="6" w:space="0" w:color="auto"/>
              <w:right w:val="single" w:sz="6" w:space="0" w:color="auto"/>
            </w:tcBorders>
          </w:tcPr>
          <w:p w:rsidR="00D4159C" w:rsidRDefault="00D4159C">
            <w:pPr>
              <w:pStyle w:val="Box"/>
              <w:spacing w:before="0" w:line="120" w:lineRule="exact"/>
            </w:pPr>
          </w:p>
        </w:tc>
      </w:tr>
      <w:tr w:rsidR="00D4159C" w:rsidRPr="000863A5">
        <w:tc>
          <w:tcPr>
            <w:tcW w:w="8771" w:type="dxa"/>
            <w:tcBorders>
              <w:top w:val="nil"/>
              <w:left w:val="nil"/>
              <w:bottom w:val="nil"/>
              <w:right w:val="nil"/>
            </w:tcBorders>
          </w:tcPr>
          <w:p w:rsidR="00D4159C" w:rsidRPr="00626D32" w:rsidRDefault="00D4159C" w:rsidP="00003AE7">
            <w:pPr>
              <w:pStyle w:val="BoxSpaceBelow"/>
            </w:pPr>
          </w:p>
        </w:tc>
      </w:tr>
    </w:tbl>
    <w:p w:rsidR="003F0462" w:rsidRDefault="003F0462" w:rsidP="003F0462">
      <w:pPr>
        <w:pStyle w:val="BodyText"/>
      </w:pPr>
      <w:r>
        <w:t xml:space="preserve">Over the </w:t>
      </w:r>
      <w:r w:rsidR="00812837">
        <w:t>ten</w:t>
      </w:r>
      <w:r>
        <w:t xml:space="preserve"> years, individuals undertake an average of about three out of the five activities. Two of the activities are likely to involve work, since everyone has at least one spell (and an average of 2.9 spells) of work lasting an average of 32</w:t>
      </w:r>
      <w:r w:rsidR="00327397">
        <w:t> </w:t>
      </w:r>
      <w:r>
        <w:t>months (2 years, 8 months) and 71 per cent have an average of two spells (with average duration of 9.4 months) of work and study combined (table</w:t>
      </w:r>
      <w:r w:rsidR="00327397">
        <w:t> </w:t>
      </w:r>
      <w:r w:rsidR="00121B7F">
        <w:t>3.5</w:t>
      </w:r>
      <w:r>
        <w:t xml:space="preserve">). Multiple short spells of work (with or without study) could indicate churning or turbulence in employment, particularly if interspersed with spells of unemployment or NILF. </w:t>
      </w:r>
      <w:r w:rsidR="00157E02">
        <w:t>However, periods in which there are spells of work only interspersed with work and study do not necessarily indicate interruptions to employment, although the</w:t>
      </w:r>
      <w:r w:rsidR="006C4202">
        <w:t>y</w:t>
      </w:r>
      <w:r w:rsidR="00157E02">
        <w:t xml:space="preserve"> could </w:t>
      </w:r>
      <w:r w:rsidR="006C4202">
        <w:t>include job changes</w:t>
      </w:r>
      <w:r w:rsidR="00157E02">
        <w:t xml:space="preserve">. Similarly, a long spell of work only (or </w:t>
      </w:r>
      <w:r w:rsidR="001B418A">
        <w:t>a long spell of work and study)</w:t>
      </w:r>
      <w:r w:rsidR="00157E02">
        <w:t xml:space="preserve"> does not rule out job changes during that spell. </w:t>
      </w:r>
    </w:p>
    <w:p w:rsidR="003F0462" w:rsidRDefault="003F0462" w:rsidP="003F0462">
      <w:pPr>
        <w:pStyle w:val="BodyText"/>
      </w:pPr>
      <w:r>
        <w:lastRenderedPageBreak/>
        <w:t xml:space="preserve">Compared to the </w:t>
      </w:r>
      <w:r w:rsidR="006E78CB" w:rsidRPr="006E78CB">
        <w:rPr>
          <w:i/>
        </w:rPr>
        <w:t>W</w:t>
      </w:r>
      <w:r w:rsidRPr="006E78CB">
        <w:rPr>
          <w:i/>
        </w:rPr>
        <w:t xml:space="preserve">ork and </w:t>
      </w:r>
      <w:r w:rsidR="006E78CB" w:rsidRPr="006E78CB">
        <w:rPr>
          <w:i/>
        </w:rPr>
        <w:t>S</w:t>
      </w:r>
      <w:r w:rsidRPr="006E78CB">
        <w:rPr>
          <w:i/>
        </w:rPr>
        <w:t xml:space="preserve">tudy to </w:t>
      </w:r>
      <w:r w:rsidR="006E78CB" w:rsidRPr="006E78CB">
        <w:rPr>
          <w:i/>
        </w:rPr>
        <w:t>W</w:t>
      </w:r>
      <w:r w:rsidRPr="006E78CB">
        <w:rPr>
          <w:i/>
        </w:rPr>
        <w:t>ork</w:t>
      </w:r>
      <w:r>
        <w:t xml:space="preserve"> pathway</w:t>
      </w:r>
      <w:r w:rsidR="00573895">
        <w:t>,</w:t>
      </w:r>
      <w:r>
        <w:t xml:space="preserve"> a larger share of individuals sp</w:t>
      </w:r>
      <w:r w:rsidR="00573895">
        <w:t>end time unemployed and/or NILF, and</w:t>
      </w:r>
      <w:r>
        <w:t xml:space="preserve"> these experiences are also more likely to be repeated and to last longer. </w:t>
      </w:r>
    </w:p>
    <w:p w:rsidR="000566E0" w:rsidRDefault="000566E0" w:rsidP="000566E0">
      <w:pPr>
        <w:pStyle w:val="TableTitle"/>
      </w:pPr>
      <w:r>
        <w:rPr>
          <w:b w:val="0"/>
        </w:rPr>
        <w:t xml:space="preserve">Table </w:t>
      </w:r>
      <w:bookmarkStart w:id="18" w:name="OLE_LINK15"/>
      <w:r w:rsidR="00121B7F">
        <w:rPr>
          <w:b w:val="0"/>
        </w:rPr>
        <w:t>3.</w:t>
      </w:r>
      <w:r w:rsidR="00C42746">
        <w:rPr>
          <w:b w:val="0"/>
          <w:noProof/>
        </w:rPr>
        <w:t>4</w:t>
      </w:r>
      <w:bookmarkEnd w:id="18"/>
      <w:r>
        <w:tab/>
        <w:t xml:space="preserve">Selected characteristics of </w:t>
      </w:r>
      <w:r w:rsidR="001678FB">
        <w:t xml:space="preserve">individuals </w:t>
      </w:r>
      <w:r>
        <w:t xml:space="preserve">in the </w:t>
      </w:r>
      <w:r w:rsidR="00D44D55" w:rsidRPr="00A81DBA">
        <w:rPr>
          <w:i/>
        </w:rPr>
        <w:t>Churning with Work</w:t>
      </w:r>
      <w:r>
        <w:t xml:space="preserve"> pathway</w:t>
      </w:r>
      <w:r w:rsidR="001678FB">
        <w:t xml:space="preserve"> for youths</w:t>
      </w:r>
    </w:p>
    <w:tbl>
      <w:tblPr>
        <w:tblW w:w="0" w:type="auto"/>
        <w:tblLayout w:type="fixed"/>
        <w:tblCellMar>
          <w:left w:w="0" w:type="dxa"/>
          <w:right w:w="0" w:type="dxa"/>
        </w:tblCellMar>
        <w:tblLook w:val="0000" w:firstRow="0" w:lastRow="0" w:firstColumn="0" w:lastColumn="0" w:noHBand="0" w:noVBand="0"/>
      </w:tblPr>
      <w:tblGrid>
        <w:gridCol w:w="3969"/>
        <w:gridCol w:w="1843"/>
        <w:gridCol w:w="1134"/>
        <w:gridCol w:w="1843"/>
      </w:tblGrid>
      <w:tr w:rsidR="000566E0" w:rsidTr="00DE224D">
        <w:tc>
          <w:tcPr>
            <w:tcW w:w="3969" w:type="dxa"/>
            <w:tcBorders>
              <w:top w:val="single" w:sz="6" w:space="0" w:color="auto"/>
              <w:bottom w:val="single" w:sz="6" w:space="0" w:color="auto"/>
            </w:tcBorders>
            <w:shd w:val="clear" w:color="auto" w:fill="auto"/>
            <w:vAlign w:val="bottom"/>
          </w:tcPr>
          <w:p w:rsidR="000566E0" w:rsidRDefault="000566E0" w:rsidP="00DE224D">
            <w:pPr>
              <w:pStyle w:val="TableColumnHeading"/>
              <w:jc w:val="left"/>
            </w:pPr>
            <w:r>
              <w:t>Characteristic</w:t>
            </w:r>
          </w:p>
        </w:tc>
        <w:tc>
          <w:tcPr>
            <w:tcW w:w="1843" w:type="dxa"/>
            <w:tcBorders>
              <w:top w:val="single" w:sz="6" w:space="0" w:color="auto"/>
              <w:bottom w:val="single" w:sz="6" w:space="0" w:color="auto"/>
            </w:tcBorders>
            <w:shd w:val="clear" w:color="auto" w:fill="auto"/>
            <w:vAlign w:val="bottom"/>
          </w:tcPr>
          <w:p w:rsidR="000566E0" w:rsidRDefault="000566E0" w:rsidP="00DE224D">
            <w:pPr>
              <w:pStyle w:val="TableColumnHeading"/>
              <w:jc w:val="left"/>
            </w:pPr>
            <w:r>
              <w:t>Measure</w:t>
            </w:r>
          </w:p>
        </w:tc>
        <w:tc>
          <w:tcPr>
            <w:tcW w:w="1134" w:type="dxa"/>
            <w:tcBorders>
              <w:top w:val="single" w:sz="6" w:space="0" w:color="auto"/>
              <w:bottom w:val="single" w:sz="6" w:space="0" w:color="auto"/>
            </w:tcBorders>
            <w:vAlign w:val="bottom"/>
          </w:tcPr>
          <w:p w:rsidR="000566E0" w:rsidRDefault="000566E0" w:rsidP="00DE224D">
            <w:pPr>
              <w:pStyle w:val="TableColumnHeading"/>
            </w:pPr>
            <w:r>
              <w:t>CW pathway</w:t>
            </w:r>
          </w:p>
        </w:tc>
        <w:tc>
          <w:tcPr>
            <w:tcW w:w="1843" w:type="dxa"/>
            <w:tcBorders>
              <w:top w:val="single" w:sz="6" w:space="0" w:color="auto"/>
              <w:bottom w:val="single" w:sz="6" w:space="0" w:color="auto"/>
            </w:tcBorders>
            <w:shd w:val="clear" w:color="auto" w:fill="auto"/>
            <w:vAlign w:val="bottom"/>
          </w:tcPr>
          <w:p w:rsidR="000566E0" w:rsidRDefault="000566E0" w:rsidP="00DE224D">
            <w:pPr>
              <w:pStyle w:val="TableColumnHeading"/>
              <w:ind w:right="0"/>
            </w:pPr>
            <w:r>
              <w:t>All youth pathways</w:t>
            </w:r>
          </w:p>
        </w:tc>
      </w:tr>
      <w:tr w:rsidR="000566E0" w:rsidTr="000566E0">
        <w:tc>
          <w:tcPr>
            <w:tcW w:w="3969" w:type="dxa"/>
          </w:tcPr>
          <w:p w:rsidR="000566E0" w:rsidRPr="00ED5DF6" w:rsidRDefault="000566E0" w:rsidP="000566E0">
            <w:pPr>
              <w:pStyle w:val="TableBodyText"/>
              <w:spacing w:before="80"/>
              <w:jc w:val="left"/>
              <w:rPr>
                <w:b/>
              </w:rPr>
            </w:pPr>
            <w:r w:rsidRPr="00ED5DF6">
              <w:rPr>
                <w:b/>
              </w:rPr>
              <w:t>In 2001:</w:t>
            </w:r>
          </w:p>
        </w:tc>
        <w:tc>
          <w:tcPr>
            <w:tcW w:w="1843" w:type="dxa"/>
          </w:tcPr>
          <w:p w:rsidR="000566E0" w:rsidRDefault="000566E0" w:rsidP="000566E0">
            <w:pPr>
              <w:pStyle w:val="TableBodyText"/>
              <w:spacing w:before="80"/>
              <w:jc w:val="left"/>
            </w:pPr>
          </w:p>
        </w:tc>
        <w:tc>
          <w:tcPr>
            <w:tcW w:w="1134" w:type="dxa"/>
          </w:tcPr>
          <w:p w:rsidR="000566E0" w:rsidRDefault="000566E0" w:rsidP="000566E0">
            <w:pPr>
              <w:pStyle w:val="TableBodyText"/>
              <w:spacing w:before="80"/>
            </w:pPr>
          </w:p>
        </w:tc>
        <w:tc>
          <w:tcPr>
            <w:tcW w:w="1843" w:type="dxa"/>
          </w:tcPr>
          <w:p w:rsidR="000566E0" w:rsidRDefault="000566E0" w:rsidP="000566E0">
            <w:pPr>
              <w:pStyle w:val="TableBodyText"/>
              <w:spacing w:before="80"/>
              <w:ind w:right="0"/>
            </w:pPr>
          </w:p>
        </w:tc>
      </w:tr>
      <w:tr w:rsidR="000566E0" w:rsidTr="000566E0">
        <w:tc>
          <w:tcPr>
            <w:tcW w:w="3969" w:type="dxa"/>
          </w:tcPr>
          <w:p w:rsidR="000566E0" w:rsidRDefault="000566E0" w:rsidP="000566E0">
            <w:pPr>
              <w:pStyle w:val="TableBodyText"/>
              <w:jc w:val="left"/>
            </w:pPr>
            <w:r>
              <w:t>age</w:t>
            </w:r>
          </w:p>
        </w:tc>
        <w:tc>
          <w:tcPr>
            <w:tcW w:w="1843" w:type="dxa"/>
          </w:tcPr>
          <w:p w:rsidR="000566E0" w:rsidRDefault="000566E0" w:rsidP="000566E0">
            <w:pPr>
              <w:pStyle w:val="TableBodyText"/>
              <w:jc w:val="left"/>
            </w:pPr>
            <w:r>
              <w:t>years, average</w:t>
            </w:r>
          </w:p>
        </w:tc>
        <w:tc>
          <w:tcPr>
            <w:tcW w:w="1134" w:type="dxa"/>
          </w:tcPr>
          <w:p w:rsidR="000566E0" w:rsidRDefault="000566E0" w:rsidP="000566E0">
            <w:pPr>
              <w:pStyle w:val="TableBodyText"/>
            </w:pPr>
            <w:r>
              <w:t>20.2</w:t>
            </w:r>
          </w:p>
        </w:tc>
        <w:tc>
          <w:tcPr>
            <w:tcW w:w="1843" w:type="dxa"/>
            <w:vAlign w:val="bottom"/>
          </w:tcPr>
          <w:p w:rsidR="000566E0" w:rsidRPr="00165DAA" w:rsidRDefault="000566E0" w:rsidP="000566E0">
            <w:pPr>
              <w:pStyle w:val="TableBodyText"/>
              <w:ind w:right="0"/>
            </w:pPr>
            <w:r w:rsidRPr="00165DAA">
              <w:t>19.2</w:t>
            </w:r>
          </w:p>
        </w:tc>
      </w:tr>
      <w:tr w:rsidR="000566E0" w:rsidTr="000566E0">
        <w:tc>
          <w:tcPr>
            <w:tcW w:w="3969" w:type="dxa"/>
          </w:tcPr>
          <w:p w:rsidR="000566E0" w:rsidRDefault="000566E0" w:rsidP="000566E0">
            <w:pPr>
              <w:pStyle w:val="TableBodyText"/>
              <w:jc w:val="left"/>
            </w:pPr>
            <w:r>
              <w:t>gender</w:t>
            </w:r>
          </w:p>
        </w:tc>
        <w:tc>
          <w:tcPr>
            <w:tcW w:w="1843" w:type="dxa"/>
          </w:tcPr>
          <w:p w:rsidR="000566E0" w:rsidRDefault="000566E0" w:rsidP="000566E0">
            <w:pPr>
              <w:pStyle w:val="TableBodyText"/>
              <w:jc w:val="left"/>
            </w:pPr>
            <w:r>
              <w:t>% female</w:t>
            </w:r>
          </w:p>
        </w:tc>
        <w:tc>
          <w:tcPr>
            <w:tcW w:w="1134" w:type="dxa"/>
          </w:tcPr>
          <w:p w:rsidR="000566E0" w:rsidRDefault="000566E0" w:rsidP="000566E0">
            <w:pPr>
              <w:pStyle w:val="TableBodyText"/>
            </w:pPr>
            <w:r>
              <w:t>49.67</w:t>
            </w:r>
          </w:p>
        </w:tc>
        <w:tc>
          <w:tcPr>
            <w:tcW w:w="1843" w:type="dxa"/>
            <w:vAlign w:val="bottom"/>
          </w:tcPr>
          <w:p w:rsidR="000566E0" w:rsidRPr="00165DAA" w:rsidRDefault="000566E0" w:rsidP="000566E0">
            <w:pPr>
              <w:pStyle w:val="TableBodyText"/>
              <w:ind w:right="0"/>
            </w:pPr>
            <w:r w:rsidRPr="00165DAA">
              <w:t>54.39</w:t>
            </w:r>
          </w:p>
        </w:tc>
      </w:tr>
      <w:tr w:rsidR="000566E0" w:rsidTr="000566E0">
        <w:tc>
          <w:tcPr>
            <w:tcW w:w="3969" w:type="dxa"/>
          </w:tcPr>
          <w:p w:rsidR="000566E0" w:rsidRDefault="000566E0" w:rsidP="000566E0">
            <w:pPr>
              <w:pStyle w:val="TableBodyText"/>
              <w:jc w:val="left"/>
            </w:pPr>
            <w:r>
              <w:t>locality (remoteness)</w:t>
            </w:r>
          </w:p>
        </w:tc>
        <w:tc>
          <w:tcPr>
            <w:tcW w:w="1843" w:type="dxa"/>
          </w:tcPr>
          <w:p w:rsidR="000566E0" w:rsidRDefault="000566E0" w:rsidP="000566E0">
            <w:pPr>
              <w:pStyle w:val="TableBodyText"/>
              <w:jc w:val="left"/>
            </w:pPr>
            <w:r>
              <w:t>% major city</w:t>
            </w:r>
          </w:p>
        </w:tc>
        <w:tc>
          <w:tcPr>
            <w:tcW w:w="1134" w:type="dxa"/>
          </w:tcPr>
          <w:p w:rsidR="000566E0" w:rsidRDefault="000566E0" w:rsidP="000566E0">
            <w:pPr>
              <w:pStyle w:val="TableBodyText"/>
            </w:pPr>
            <w:r>
              <w:t>58.94</w:t>
            </w:r>
          </w:p>
        </w:tc>
        <w:tc>
          <w:tcPr>
            <w:tcW w:w="1843" w:type="dxa"/>
            <w:vAlign w:val="bottom"/>
          </w:tcPr>
          <w:p w:rsidR="000566E0" w:rsidRPr="00165DAA" w:rsidRDefault="000566E0" w:rsidP="000566E0">
            <w:pPr>
              <w:pStyle w:val="TableBodyText"/>
              <w:ind w:right="0"/>
            </w:pPr>
            <w:r w:rsidRPr="00165DAA">
              <w:t>61.35</w:t>
            </w:r>
          </w:p>
        </w:tc>
      </w:tr>
      <w:tr w:rsidR="000566E0" w:rsidTr="00BA5BC0">
        <w:tc>
          <w:tcPr>
            <w:tcW w:w="3969" w:type="dxa"/>
          </w:tcPr>
          <w:p w:rsidR="000566E0" w:rsidRDefault="000566E0" w:rsidP="000566E0">
            <w:pPr>
              <w:pStyle w:val="TableBodyText"/>
              <w:jc w:val="left"/>
            </w:pPr>
            <w:r>
              <w:t>highest level of education</w:t>
            </w:r>
            <w:r w:rsidRPr="00DE4890">
              <w:rPr>
                <w:rStyle w:val="NoteLabel"/>
              </w:rPr>
              <w:t>a</w:t>
            </w:r>
          </w:p>
        </w:tc>
        <w:tc>
          <w:tcPr>
            <w:tcW w:w="1843" w:type="dxa"/>
            <w:vAlign w:val="bottom"/>
          </w:tcPr>
          <w:p w:rsidR="000566E0" w:rsidRDefault="000566E0" w:rsidP="00BA5BC0">
            <w:pPr>
              <w:pStyle w:val="TableBodyText"/>
              <w:jc w:val="left"/>
            </w:pPr>
            <w:r>
              <w:t>% high</w:t>
            </w:r>
          </w:p>
        </w:tc>
        <w:tc>
          <w:tcPr>
            <w:tcW w:w="1134" w:type="dxa"/>
            <w:vAlign w:val="bottom"/>
          </w:tcPr>
          <w:p w:rsidR="000566E0" w:rsidRDefault="000566E0" w:rsidP="00BA5BC0">
            <w:pPr>
              <w:pStyle w:val="TableBodyText"/>
            </w:pPr>
            <w:r>
              <w:t>12.58</w:t>
            </w:r>
          </w:p>
        </w:tc>
        <w:tc>
          <w:tcPr>
            <w:tcW w:w="1843" w:type="dxa"/>
            <w:vAlign w:val="bottom"/>
          </w:tcPr>
          <w:p w:rsidR="000566E0" w:rsidRPr="00165DAA" w:rsidRDefault="000566E0" w:rsidP="000566E0">
            <w:pPr>
              <w:pStyle w:val="TableBodyText"/>
              <w:ind w:right="0"/>
            </w:pPr>
            <w:r w:rsidRPr="00165DAA">
              <w:t>9.23</w:t>
            </w:r>
          </w:p>
        </w:tc>
      </w:tr>
      <w:tr w:rsidR="000566E0" w:rsidTr="000566E0">
        <w:tc>
          <w:tcPr>
            <w:tcW w:w="3969" w:type="dxa"/>
          </w:tcPr>
          <w:p w:rsidR="000566E0" w:rsidRDefault="000566E0" w:rsidP="000566E0">
            <w:pPr>
              <w:pStyle w:val="TableBodyText"/>
              <w:jc w:val="left"/>
            </w:pPr>
          </w:p>
        </w:tc>
        <w:tc>
          <w:tcPr>
            <w:tcW w:w="1843" w:type="dxa"/>
          </w:tcPr>
          <w:p w:rsidR="000566E0" w:rsidRDefault="000566E0" w:rsidP="00C30F41">
            <w:pPr>
              <w:pStyle w:val="TableBodyText"/>
              <w:jc w:val="left"/>
            </w:pPr>
            <w:r>
              <w:t xml:space="preserve">% </w:t>
            </w:r>
            <w:r w:rsidR="00C30F41">
              <w:t>m</w:t>
            </w:r>
            <w:r>
              <w:t>edium</w:t>
            </w:r>
          </w:p>
        </w:tc>
        <w:tc>
          <w:tcPr>
            <w:tcW w:w="1134" w:type="dxa"/>
          </w:tcPr>
          <w:p w:rsidR="000566E0" w:rsidRDefault="000566E0" w:rsidP="000566E0">
            <w:pPr>
              <w:pStyle w:val="TableBodyText"/>
            </w:pPr>
            <w:r>
              <w:t>51.88</w:t>
            </w:r>
          </w:p>
        </w:tc>
        <w:tc>
          <w:tcPr>
            <w:tcW w:w="1843" w:type="dxa"/>
            <w:vAlign w:val="bottom"/>
          </w:tcPr>
          <w:p w:rsidR="000566E0" w:rsidRPr="00165DAA" w:rsidRDefault="000566E0" w:rsidP="000566E0">
            <w:pPr>
              <w:pStyle w:val="TableBodyText"/>
              <w:ind w:right="0"/>
            </w:pPr>
            <w:r w:rsidRPr="00165DAA">
              <w:t>43.90</w:t>
            </w:r>
          </w:p>
        </w:tc>
      </w:tr>
      <w:tr w:rsidR="000566E0" w:rsidTr="000566E0">
        <w:tc>
          <w:tcPr>
            <w:tcW w:w="3969" w:type="dxa"/>
          </w:tcPr>
          <w:p w:rsidR="000566E0" w:rsidRDefault="000566E0" w:rsidP="000566E0">
            <w:pPr>
              <w:pStyle w:val="TableBodyText"/>
              <w:jc w:val="left"/>
            </w:pPr>
          </w:p>
        </w:tc>
        <w:tc>
          <w:tcPr>
            <w:tcW w:w="1843" w:type="dxa"/>
          </w:tcPr>
          <w:p w:rsidR="000566E0" w:rsidRDefault="000566E0" w:rsidP="000566E0">
            <w:pPr>
              <w:pStyle w:val="TableBodyText"/>
              <w:jc w:val="left"/>
            </w:pPr>
            <w:r>
              <w:t>% low</w:t>
            </w:r>
          </w:p>
        </w:tc>
        <w:tc>
          <w:tcPr>
            <w:tcW w:w="1134" w:type="dxa"/>
          </w:tcPr>
          <w:p w:rsidR="000566E0" w:rsidRDefault="000566E0" w:rsidP="000566E0">
            <w:pPr>
              <w:pStyle w:val="TableBodyText"/>
            </w:pPr>
            <w:r>
              <w:t>35.54</w:t>
            </w:r>
          </w:p>
        </w:tc>
        <w:tc>
          <w:tcPr>
            <w:tcW w:w="1843" w:type="dxa"/>
            <w:vAlign w:val="bottom"/>
          </w:tcPr>
          <w:p w:rsidR="000566E0" w:rsidRPr="00165DAA" w:rsidRDefault="000566E0" w:rsidP="000566E0">
            <w:pPr>
              <w:pStyle w:val="TableBodyText"/>
              <w:ind w:right="0"/>
            </w:pPr>
            <w:r w:rsidRPr="00165DAA">
              <w:t>46.86</w:t>
            </w:r>
          </w:p>
        </w:tc>
      </w:tr>
      <w:tr w:rsidR="000566E0" w:rsidTr="000566E0">
        <w:tc>
          <w:tcPr>
            <w:tcW w:w="3969" w:type="dxa"/>
          </w:tcPr>
          <w:p w:rsidR="000566E0" w:rsidRDefault="006A600A" w:rsidP="000566E0">
            <w:pPr>
              <w:pStyle w:val="TableBodyText"/>
              <w:jc w:val="left"/>
            </w:pPr>
            <w:r>
              <w:t>u</w:t>
            </w:r>
            <w:r w:rsidR="000566E0">
              <w:t>nemployed</w:t>
            </w:r>
          </w:p>
        </w:tc>
        <w:tc>
          <w:tcPr>
            <w:tcW w:w="1843" w:type="dxa"/>
          </w:tcPr>
          <w:p w:rsidR="000566E0" w:rsidRDefault="000566E0" w:rsidP="000566E0">
            <w:pPr>
              <w:pStyle w:val="TableBodyText"/>
              <w:jc w:val="left"/>
            </w:pPr>
            <w:r>
              <w:t>% U</w:t>
            </w:r>
          </w:p>
        </w:tc>
        <w:tc>
          <w:tcPr>
            <w:tcW w:w="1134" w:type="dxa"/>
          </w:tcPr>
          <w:p w:rsidR="000566E0" w:rsidRDefault="000566E0" w:rsidP="000566E0">
            <w:pPr>
              <w:pStyle w:val="TableBodyText"/>
            </w:pPr>
            <w:r>
              <w:t>8.39</w:t>
            </w:r>
          </w:p>
        </w:tc>
        <w:tc>
          <w:tcPr>
            <w:tcW w:w="1843" w:type="dxa"/>
            <w:vAlign w:val="bottom"/>
          </w:tcPr>
          <w:p w:rsidR="000566E0" w:rsidRPr="00165DAA" w:rsidRDefault="000566E0" w:rsidP="000566E0">
            <w:pPr>
              <w:pStyle w:val="TableBodyText"/>
              <w:ind w:right="0"/>
            </w:pPr>
            <w:r w:rsidRPr="00165DAA">
              <w:t>9.81</w:t>
            </w:r>
          </w:p>
        </w:tc>
      </w:tr>
      <w:tr w:rsidR="000566E0" w:rsidTr="000566E0">
        <w:tc>
          <w:tcPr>
            <w:tcW w:w="3969" w:type="dxa"/>
          </w:tcPr>
          <w:p w:rsidR="000566E0" w:rsidRDefault="000566E0" w:rsidP="000566E0">
            <w:pPr>
              <w:pStyle w:val="TableBodyText"/>
              <w:jc w:val="left"/>
            </w:pPr>
            <w:r>
              <w:t>NILF (inc</w:t>
            </w:r>
            <w:r w:rsidR="00406870">
              <w:t>l</w:t>
            </w:r>
            <w:r>
              <w:t>. marginally attached)</w:t>
            </w:r>
          </w:p>
        </w:tc>
        <w:tc>
          <w:tcPr>
            <w:tcW w:w="1843" w:type="dxa"/>
          </w:tcPr>
          <w:p w:rsidR="000566E0" w:rsidRDefault="000566E0" w:rsidP="000566E0">
            <w:pPr>
              <w:pStyle w:val="TableBodyText"/>
              <w:jc w:val="left"/>
            </w:pPr>
            <w:r>
              <w:t>% NILF</w:t>
            </w:r>
          </w:p>
        </w:tc>
        <w:tc>
          <w:tcPr>
            <w:tcW w:w="1134" w:type="dxa"/>
          </w:tcPr>
          <w:p w:rsidR="000566E0" w:rsidRDefault="000566E0" w:rsidP="000566E0">
            <w:pPr>
              <w:pStyle w:val="TableBodyText"/>
            </w:pPr>
            <w:r>
              <w:t>13.69</w:t>
            </w:r>
          </w:p>
        </w:tc>
        <w:tc>
          <w:tcPr>
            <w:tcW w:w="1843" w:type="dxa"/>
            <w:vAlign w:val="bottom"/>
          </w:tcPr>
          <w:p w:rsidR="000566E0" w:rsidRPr="00165DAA" w:rsidRDefault="000566E0" w:rsidP="000566E0">
            <w:pPr>
              <w:pStyle w:val="TableBodyText"/>
              <w:ind w:right="0"/>
            </w:pPr>
            <w:r w:rsidRPr="00165DAA">
              <w:t>27.37</w:t>
            </w:r>
          </w:p>
        </w:tc>
      </w:tr>
      <w:tr w:rsidR="000566E0" w:rsidTr="000566E0">
        <w:tc>
          <w:tcPr>
            <w:tcW w:w="3969" w:type="dxa"/>
          </w:tcPr>
          <w:p w:rsidR="000566E0" w:rsidRPr="00ED5DF6" w:rsidRDefault="000566E0" w:rsidP="000566E0">
            <w:pPr>
              <w:pStyle w:val="TableBodyText"/>
              <w:jc w:val="left"/>
              <w:rPr>
                <w:i/>
              </w:rPr>
            </w:pPr>
            <w:r w:rsidRPr="00ED5DF6">
              <w:rPr>
                <w:i/>
              </w:rPr>
              <w:t>of which:</w:t>
            </w:r>
          </w:p>
        </w:tc>
        <w:tc>
          <w:tcPr>
            <w:tcW w:w="1843" w:type="dxa"/>
          </w:tcPr>
          <w:p w:rsidR="000566E0" w:rsidRDefault="000566E0" w:rsidP="000566E0">
            <w:pPr>
              <w:pStyle w:val="TableBodyText"/>
              <w:jc w:val="left"/>
            </w:pPr>
          </w:p>
        </w:tc>
        <w:tc>
          <w:tcPr>
            <w:tcW w:w="1134" w:type="dxa"/>
            <w:vAlign w:val="bottom"/>
          </w:tcPr>
          <w:p w:rsidR="000566E0" w:rsidRDefault="000566E0" w:rsidP="000566E0">
            <w:pPr>
              <w:pStyle w:val="TableBodyText"/>
            </w:pPr>
          </w:p>
        </w:tc>
        <w:tc>
          <w:tcPr>
            <w:tcW w:w="1843" w:type="dxa"/>
            <w:vAlign w:val="bottom"/>
          </w:tcPr>
          <w:p w:rsidR="000566E0" w:rsidRPr="00165DAA" w:rsidRDefault="000566E0" w:rsidP="000566E0">
            <w:pPr>
              <w:pStyle w:val="TableBodyText"/>
              <w:ind w:right="0"/>
            </w:pPr>
          </w:p>
        </w:tc>
      </w:tr>
      <w:tr w:rsidR="000566E0" w:rsidTr="000566E0">
        <w:tc>
          <w:tcPr>
            <w:tcW w:w="3969" w:type="dxa"/>
          </w:tcPr>
          <w:p w:rsidR="000566E0" w:rsidRDefault="000566E0" w:rsidP="000566E0">
            <w:pPr>
              <w:pStyle w:val="TableBodyText"/>
              <w:ind w:firstLine="278"/>
              <w:jc w:val="left"/>
            </w:pPr>
            <w:r>
              <w:t>home duties/childcare</w:t>
            </w:r>
          </w:p>
        </w:tc>
        <w:tc>
          <w:tcPr>
            <w:tcW w:w="1843" w:type="dxa"/>
          </w:tcPr>
          <w:p w:rsidR="000566E0" w:rsidRDefault="000566E0" w:rsidP="000566E0">
            <w:pPr>
              <w:pStyle w:val="TableBodyText"/>
              <w:jc w:val="left"/>
            </w:pPr>
            <w:r>
              <w:t>% of NILF</w:t>
            </w:r>
          </w:p>
        </w:tc>
        <w:tc>
          <w:tcPr>
            <w:tcW w:w="1134" w:type="dxa"/>
            <w:vAlign w:val="bottom"/>
          </w:tcPr>
          <w:p w:rsidR="000566E0" w:rsidRDefault="000566E0" w:rsidP="000566E0">
            <w:pPr>
              <w:pStyle w:val="TableBodyText"/>
            </w:pPr>
            <w:r>
              <w:t>16.13</w:t>
            </w:r>
          </w:p>
        </w:tc>
        <w:tc>
          <w:tcPr>
            <w:tcW w:w="1843" w:type="dxa"/>
            <w:vAlign w:val="bottom"/>
          </w:tcPr>
          <w:p w:rsidR="000566E0" w:rsidRPr="00165DAA" w:rsidRDefault="000566E0" w:rsidP="000566E0">
            <w:pPr>
              <w:pStyle w:val="TableBodyText"/>
              <w:ind w:right="0"/>
            </w:pPr>
            <w:r w:rsidRPr="00165DAA">
              <w:t>16.67</w:t>
            </w:r>
          </w:p>
        </w:tc>
      </w:tr>
      <w:tr w:rsidR="000566E0" w:rsidTr="000566E0">
        <w:tc>
          <w:tcPr>
            <w:tcW w:w="3969" w:type="dxa"/>
          </w:tcPr>
          <w:p w:rsidR="000566E0" w:rsidRDefault="000566E0" w:rsidP="000566E0">
            <w:pPr>
              <w:pStyle w:val="TableBodyText"/>
              <w:ind w:firstLine="278"/>
              <w:jc w:val="left"/>
            </w:pPr>
            <w:r>
              <w:t>study</w:t>
            </w:r>
          </w:p>
        </w:tc>
        <w:tc>
          <w:tcPr>
            <w:tcW w:w="1843" w:type="dxa"/>
          </w:tcPr>
          <w:p w:rsidR="000566E0" w:rsidRDefault="000566E0" w:rsidP="000566E0">
            <w:pPr>
              <w:pStyle w:val="TableBodyText"/>
              <w:jc w:val="left"/>
            </w:pPr>
            <w:r>
              <w:t>% of NILF</w:t>
            </w:r>
          </w:p>
        </w:tc>
        <w:tc>
          <w:tcPr>
            <w:tcW w:w="1134" w:type="dxa"/>
          </w:tcPr>
          <w:p w:rsidR="000566E0" w:rsidRDefault="000566E0" w:rsidP="000566E0">
            <w:pPr>
              <w:pStyle w:val="TableBodyText"/>
            </w:pPr>
            <w:r>
              <w:t>56.45</w:t>
            </w:r>
          </w:p>
        </w:tc>
        <w:tc>
          <w:tcPr>
            <w:tcW w:w="1843" w:type="dxa"/>
            <w:vAlign w:val="bottom"/>
          </w:tcPr>
          <w:p w:rsidR="000566E0" w:rsidRPr="00165DAA" w:rsidRDefault="000566E0" w:rsidP="000566E0">
            <w:pPr>
              <w:pStyle w:val="TableBodyText"/>
              <w:ind w:right="0"/>
            </w:pPr>
            <w:r w:rsidRPr="00165DAA">
              <w:t>64.58</w:t>
            </w:r>
          </w:p>
        </w:tc>
      </w:tr>
      <w:tr w:rsidR="000566E0" w:rsidTr="000566E0">
        <w:tc>
          <w:tcPr>
            <w:tcW w:w="3969" w:type="dxa"/>
          </w:tcPr>
          <w:p w:rsidR="000566E0" w:rsidRDefault="000566E0" w:rsidP="000566E0">
            <w:pPr>
              <w:pStyle w:val="TableBodyText"/>
              <w:ind w:firstLine="278"/>
              <w:jc w:val="left"/>
            </w:pPr>
            <w:r>
              <w:t>marginally attached to labour force</w:t>
            </w:r>
          </w:p>
        </w:tc>
        <w:tc>
          <w:tcPr>
            <w:tcW w:w="1843" w:type="dxa"/>
          </w:tcPr>
          <w:p w:rsidR="000566E0" w:rsidRDefault="000566E0" w:rsidP="000566E0">
            <w:pPr>
              <w:pStyle w:val="TableBodyText"/>
              <w:jc w:val="left"/>
            </w:pPr>
            <w:r>
              <w:t>% of NILF</w:t>
            </w:r>
          </w:p>
        </w:tc>
        <w:tc>
          <w:tcPr>
            <w:tcW w:w="1134" w:type="dxa"/>
          </w:tcPr>
          <w:p w:rsidR="000566E0" w:rsidRDefault="000566E0" w:rsidP="000566E0">
            <w:pPr>
              <w:pStyle w:val="TableBodyText"/>
            </w:pPr>
            <w:r>
              <w:t>14.52</w:t>
            </w:r>
          </w:p>
        </w:tc>
        <w:tc>
          <w:tcPr>
            <w:tcW w:w="1843" w:type="dxa"/>
            <w:vAlign w:val="bottom"/>
          </w:tcPr>
          <w:p w:rsidR="000566E0" w:rsidRPr="00165DAA" w:rsidRDefault="000566E0" w:rsidP="000566E0">
            <w:pPr>
              <w:pStyle w:val="TableBodyText"/>
              <w:ind w:right="0"/>
            </w:pPr>
            <w:r w:rsidRPr="00165DAA">
              <w:t>11.67</w:t>
            </w:r>
          </w:p>
        </w:tc>
      </w:tr>
      <w:tr w:rsidR="000566E0" w:rsidTr="00BA5BC0">
        <w:tc>
          <w:tcPr>
            <w:tcW w:w="3969" w:type="dxa"/>
          </w:tcPr>
          <w:p w:rsidR="000566E0" w:rsidRDefault="000566E0" w:rsidP="000566E0">
            <w:pPr>
              <w:pStyle w:val="TableBodyText"/>
              <w:ind w:firstLine="278"/>
              <w:jc w:val="left"/>
            </w:pPr>
            <w:r>
              <w:t>other reasons</w:t>
            </w:r>
            <w:r>
              <w:rPr>
                <w:rStyle w:val="NoteLabel"/>
              </w:rPr>
              <w:t>b</w:t>
            </w:r>
          </w:p>
        </w:tc>
        <w:tc>
          <w:tcPr>
            <w:tcW w:w="1843" w:type="dxa"/>
            <w:vAlign w:val="bottom"/>
          </w:tcPr>
          <w:p w:rsidR="000566E0" w:rsidRDefault="000566E0" w:rsidP="00BA5BC0">
            <w:pPr>
              <w:pStyle w:val="TableBodyText"/>
              <w:jc w:val="left"/>
            </w:pPr>
            <w:r>
              <w:t>% of NILF</w:t>
            </w:r>
          </w:p>
        </w:tc>
        <w:tc>
          <w:tcPr>
            <w:tcW w:w="1134" w:type="dxa"/>
            <w:vAlign w:val="bottom"/>
          </w:tcPr>
          <w:p w:rsidR="000566E0" w:rsidRDefault="000566E0" w:rsidP="000566E0">
            <w:pPr>
              <w:pStyle w:val="TableBodyText"/>
            </w:pPr>
            <w:r>
              <w:t>12.90</w:t>
            </w:r>
          </w:p>
        </w:tc>
        <w:tc>
          <w:tcPr>
            <w:tcW w:w="1843" w:type="dxa"/>
            <w:vAlign w:val="bottom"/>
          </w:tcPr>
          <w:p w:rsidR="000566E0" w:rsidRPr="00165DAA" w:rsidRDefault="000566E0" w:rsidP="000566E0">
            <w:pPr>
              <w:pStyle w:val="TableBodyText"/>
              <w:ind w:right="0"/>
            </w:pPr>
            <w:r>
              <w:t>7.08</w:t>
            </w:r>
          </w:p>
        </w:tc>
      </w:tr>
      <w:tr w:rsidR="000566E0" w:rsidTr="000566E0">
        <w:tc>
          <w:tcPr>
            <w:tcW w:w="3969" w:type="dxa"/>
          </w:tcPr>
          <w:p w:rsidR="000566E0" w:rsidRDefault="000566E0" w:rsidP="000566E0">
            <w:pPr>
              <w:pStyle w:val="TableBodyText"/>
              <w:jc w:val="left"/>
            </w:pPr>
          </w:p>
        </w:tc>
        <w:tc>
          <w:tcPr>
            <w:tcW w:w="1843" w:type="dxa"/>
          </w:tcPr>
          <w:p w:rsidR="000566E0" w:rsidRDefault="000566E0" w:rsidP="000566E0">
            <w:pPr>
              <w:pStyle w:val="TableBodyText"/>
              <w:jc w:val="left"/>
            </w:pPr>
          </w:p>
        </w:tc>
        <w:tc>
          <w:tcPr>
            <w:tcW w:w="1134" w:type="dxa"/>
            <w:vAlign w:val="bottom"/>
          </w:tcPr>
          <w:p w:rsidR="000566E0" w:rsidRDefault="000566E0" w:rsidP="000566E0">
            <w:pPr>
              <w:pStyle w:val="TableBodyText"/>
            </w:pPr>
          </w:p>
        </w:tc>
        <w:tc>
          <w:tcPr>
            <w:tcW w:w="1843" w:type="dxa"/>
          </w:tcPr>
          <w:p w:rsidR="000566E0" w:rsidRDefault="000566E0" w:rsidP="000566E0">
            <w:pPr>
              <w:pStyle w:val="TableBodyText"/>
              <w:ind w:right="0"/>
            </w:pPr>
          </w:p>
        </w:tc>
      </w:tr>
      <w:tr w:rsidR="000566E0" w:rsidTr="000566E0">
        <w:tc>
          <w:tcPr>
            <w:tcW w:w="3969" w:type="dxa"/>
          </w:tcPr>
          <w:p w:rsidR="000566E0" w:rsidRPr="00ED5DF6" w:rsidRDefault="000566E0" w:rsidP="000566E0">
            <w:pPr>
              <w:pStyle w:val="TableBodyText"/>
              <w:spacing w:before="80"/>
              <w:jc w:val="left"/>
              <w:rPr>
                <w:b/>
              </w:rPr>
            </w:pPr>
            <w:r w:rsidRPr="00ED5DF6">
              <w:rPr>
                <w:b/>
              </w:rPr>
              <w:t>In 2010:</w:t>
            </w:r>
          </w:p>
        </w:tc>
        <w:tc>
          <w:tcPr>
            <w:tcW w:w="1843" w:type="dxa"/>
          </w:tcPr>
          <w:p w:rsidR="000566E0" w:rsidRDefault="000566E0" w:rsidP="000566E0">
            <w:pPr>
              <w:pStyle w:val="TableBodyText"/>
              <w:spacing w:before="80"/>
              <w:jc w:val="left"/>
            </w:pPr>
          </w:p>
        </w:tc>
        <w:tc>
          <w:tcPr>
            <w:tcW w:w="1134" w:type="dxa"/>
            <w:vAlign w:val="bottom"/>
          </w:tcPr>
          <w:p w:rsidR="000566E0" w:rsidRDefault="000566E0" w:rsidP="000566E0">
            <w:pPr>
              <w:pStyle w:val="TableBodyText"/>
            </w:pPr>
          </w:p>
        </w:tc>
        <w:tc>
          <w:tcPr>
            <w:tcW w:w="1843" w:type="dxa"/>
          </w:tcPr>
          <w:p w:rsidR="000566E0" w:rsidRDefault="000566E0" w:rsidP="000566E0">
            <w:pPr>
              <w:pStyle w:val="TableBodyText"/>
              <w:spacing w:before="80"/>
              <w:ind w:right="0"/>
            </w:pPr>
          </w:p>
        </w:tc>
      </w:tr>
      <w:tr w:rsidR="000566E0" w:rsidTr="000566E0">
        <w:tc>
          <w:tcPr>
            <w:tcW w:w="3969" w:type="dxa"/>
          </w:tcPr>
          <w:p w:rsidR="000566E0" w:rsidRDefault="000566E0" w:rsidP="000566E0">
            <w:pPr>
              <w:pStyle w:val="TableBodyText"/>
              <w:jc w:val="left"/>
            </w:pPr>
            <w:r>
              <w:t>locality (remoteness)</w:t>
            </w:r>
          </w:p>
        </w:tc>
        <w:tc>
          <w:tcPr>
            <w:tcW w:w="1843" w:type="dxa"/>
          </w:tcPr>
          <w:p w:rsidR="000566E0" w:rsidRDefault="000566E0" w:rsidP="000566E0">
            <w:pPr>
              <w:pStyle w:val="TableBodyText"/>
              <w:jc w:val="left"/>
            </w:pPr>
            <w:r>
              <w:t>% major city</w:t>
            </w:r>
          </w:p>
        </w:tc>
        <w:tc>
          <w:tcPr>
            <w:tcW w:w="1134" w:type="dxa"/>
          </w:tcPr>
          <w:p w:rsidR="000566E0" w:rsidRDefault="000566E0" w:rsidP="000566E0">
            <w:pPr>
              <w:pStyle w:val="TableBodyText"/>
            </w:pPr>
            <w:r>
              <w:t>57.17</w:t>
            </w:r>
          </w:p>
        </w:tc>
        <w:tc>
          <w:tcPr>
            <w:tcW w:w="1843" w:type="dxa"/>
            <w:vAlign w:val="bottom"/>
          </w:tcPr>
          <w:p w:rsidR="000566E0" w:rsidRPr="00165DAA" w:rsidRDefault="000566E0" w:rsidP="000566E0">
            <w:pPr>
              <w:pStyle w:val="TableBodyText"/>
              <w:ind w:right="0"/>
            </w:pPr>
            <w:r w:rsidRPr="00165DAA">
              <w:t>62.03</w:t>
            </w:r>
          </w:p>
        </w:tc>
      </w:tr>
      <w:tr w:rsidR="000566E0" w:rsidTr="00BA5BC0">
        <w:tc>
          <w:tcPr>
            <w:tcW w:w="3969" w:type="dxa"/>
          </w:tcPr>
          <w:p w:rsidR="000566E0" w:rsidRDefault="000566E0" w:rsidP="000566E0">
            <w:pPr>
              <w:pStyle w:val="TableBodyText"/>
              <w:jc w:val="left"/>
            </w:pPr>
            <w:r>
              <w:t>highest level of education</w:t>
            </w:r>
            <w:r w:rsidRPr="00DE4890">
              <w:rPr>
                <w:rStyle w:val="NoteLabel"/>
              </w:rPr>
              <w:t>a</w:t>
            </w:r>
          </w:p>
        </w:tc>
        <w:tc>
          <w:tcPr>
            <w:tcW w:w="1843" w:type="dxa"/>
            <w:vAlign w:val="bottom"/>
          </w:tcPr>
          <w:p w:rsidR="000566E0" w:rsidRDefault="000566E0" w:rsidP="00BA5BC0">
            <w:pPr>
              <w:pStyle w:val="TableBodyText"/>
              <w:jc w:val="left"/>
            </w:pPr>
            <w:r>
              <w:t>% high</w:t>
            </w:r>
          </w:p>
        </w:tc>
        <w:tc>
          <w:tcPr>
            <w:tcW w:w="1134" w:type="dxa"/>
            <w:vAlign w:val="bottom"/>
          </w:tcPr>
          <w:p w:rsidR="000566E0" w:rsidRDefault="000566E0" w:rsidP="00BA5BC0">
            <w:pPr>
              <w:pStyle w:val="TableBodyText"/>
            </w:pPr>
            <w:r>
              <w:t>19.65</w:t>
            </w:r>
          </w:p>
        </w:tc>
        <w:tc>
          <w:tcPr>
            <w:tcW w:w="1843" w:type="dxa"/>
            <w:vAlign w:val="bottom"/>
          </w:tcPr>
          <w:p w:rsidR="000566E0" w:rsidRPr="00165DAA" w:rsidRDefault="000566E0" w:rsidP="000566E0">
            <w:pPr>
              <w:pStyle w:val="TableBodyText"/>
              <w:ind w:right="0"/>
            </w:pPr>
            <w:r w:rsidRPr="00165DAA">
              <w:t>30.55</w:t>
            </w:r>
          </w:p>
        </w:tc>
      </w:tr>
      <w:tr w:rsidR="000566E0" w:rsidTr="000566E0">
        <w:tc>
          <w:tcPr>
            <w:tcW w:w="3969" w:type="dxa"/>
          </w:tcPr>
          <w:p w:rsidR="000566E0" w:rsidRDefault="000566E0" w:rsidP="000566E0">
            <w:pPr>
              <w:pStyle w:val="TableBodyText"/>
              <w:jc w:val="left"/>
            </w:pPr>
          </w:p>
        </w:tc>
        <w:tc>
          <w:tcPr>
            <w:tcW w:w="1843" w:type="dxa"/>
          </w:tcPr>
          <w:p w:rsidR="000566E0" w:rsidRDefault="000566E0" w:rsidP="00C30F41">
            <w:pPr>
              <w:pStyle w:val="TableBodyText"/>
              <w:jc w:val="left"/>
            </w:pPr>
            <w:r>
              <w:t xml:space="preserve">% </w:t>
            </w:r>
            <w:r w:rsidR="00C30F41">
              <w:t>m</w:t>
            </w:r>
            <w:r>
              <w:t>edium</w:t>
            </w:r>
          </w:p>
        </w:tc>
        <w:tc>
          <w:tcPr>
            <w:tcW w:w="1134" w:type="dxa"/>
          </w:tcPr>
          <w:p w:rsidR="000566E0" w:rsidRDefault="000566E0" w:rsidP="000566E0">
            <w:pPr>
              <w:pStyle w:val="TableBodyText"/>
            </w:pPr>
            <w:r>
              <w:t>63.80</w:t>
            </w:r>
          </w:p>
        </w:tc>
        <w:tc>
          <w:tcPr>
            <w:tcW w:w="1843" w:type="dxa"/>
            <w:vAlign w:val="bottom"/>
          </w:tcPr>
          <w:p w:rsidR="000566E0" w:rsidRPr="00165DAA" w:rsidRDefault="000566E0" w:rsidP="000566E0">
            <w:pPr>
              <w:pStyle w:val="TableBodyText"/>
              <w:ind w:right="0"/>
            </w:pPr>
            <w:r w:rsidRPr="00165DAA">
              <w:t>55.41</w:t>
            </w:r>
          </w:p>
        </w:tc>
      </w:tr>
      <w:tr w:rsidR="000566E0" w:rsidTr="000566E0">
        <w:tc>
          <w:tcPr>
            <w:tcW w:w="3969" w:type="dxa"/>
          </w:tcPr>
          <w:p w:rsidR="000566E0" w:rsidRDefault="000566E0" w:rsidP="000566E0">
            <w:pPr>
              <w:pStyle w:val="TableBodyText"/>
              <w:jc w:val="left"/>
            </w:pPr>
          </w:p>
        </w:tc>
        <w:tc>
          <w:tcPr>
            <w:tcW w:w="1843" w:type="dxa"/>
          </w:tcPr>
          <w:p w:rsidR="000566E0" w:rsidRDefault="000566E0" w:rsidP="000566E0">
            <w:pPr>
              <w:pStyle w:val="TableBodyText"/>
              <w:jc w:val="left"/>
            </w:pPr>
            <w:r>
              <w:t>% low</w:t>
            </w:r>
          </w:p>
        </w:tc>
        <w:tc>
          <w:tcPr>
            <w:tcW w:w="1134" w:type="dxa"/>
          </w:tcPr>
          <w:p w:rsidR="000566E0" w:rsidRDefault="000566E0" w:rsidP="000566E0">
            <w:pPr>
              <w:pStyle w:val="TableBodyText"/>
            </w:pPr>
            <w:r>
              <w:t>16.55</w:t>
            </w:r>
          </w:p>
        </w:tc>
        <w:tc>
          <w:tcPr>
            <w:tcW w:w="1843" w:type="dxa"/>
            <w:vAlign w:val="bottom"/>
          </w:tcPr>
          <w:p w:rsidR="000566E0" w:rsidRPr="00165DAA" w:rsidRDefault="000566E0" w:rsidP="000566E0">
            <w:pPr>
              <w:pStyle w:val="TableBodyText"/>
              <w:ind w:right="0"/>
            </w:pPr>
            <w:r w:rsidRPr="00165DAA">
              <w:t>14.02</w:t>
            </w:r>
          </w:p>
        </w:tc>
      </w:tr>
      <w:tr w:rsidR="000566E0" w:rsidTr="000566E0">
        <w:tc>
          <w:tcPr>
            <w:tcW w:w="3969" w:type="dxa"/>
          </w:tcPr>
          <w:p w:rsidR="000566E0" w:rsidRDefault="006A600A" w:rsidP="000566E0">
            <w:pPr>
              <w:pStyle w:val="TableBodyText"/>
              <w:jc w:val="left"/>
            </w:pPr>
            <w:r>
              <w:t>u</w:t>
            </w:r>
            <w:r w:rsidR="000566E0">
              <w:t>nemployed</w:t>
            </w:r>
          </w:p>
        </w:tc>
        <w:tc>
          <w:tcPr>
            <w:tcW w:w="1843" w:type="dxa"/>
          </w:tcPr>
          <w:p w:rsidR="000566E0" w:rsidRDefault="000566E0" w:rsidP="000566E0">
            <w:pPr>
              <w:pStyle w:val="TableBodyText"/>
              <w:jc w:val="left"/>
            </w:pPr>
            <w:r>
              <w:t>% U</w:t>
            </w:r>
          </w:p>
        </w:tc>
        <w:tc>
          <w:tcPr>
            <w:tcW w:w="1134" w:type="dxa"/>
          </w:tcPr>
          <w:p w:rsidR="000566E0" w:rsidRDefault="000566E0" w:rsidP="000566E0">
            <w:pPr>
              <w:pStyle w:val="TableBodyText"/>
            </w:pPr>
            <w:r>
              <w:t>3.09</w:t>
            </w:r>
          </w:p>
        </w:tc>
        <w:tc>
          <w:tcPr>
            <w:tcW w:w="1843" w:type="dxa"/>
            <w:vAlign w:val="bottom"/>
          </w:tcPr>
          <w:p w:rsidR="000566E0" w:rsidRPr="00165DAA" w:rsidRDefault="000566E0" w:rsidP="000566E0">
            <w:pPr>
              <w:pStyle w:val="TableBodyText"/>
              <w:ind w:right="0"/>
            </w:pPr>
            <w:r w:rsidRPr="00165DAA">
              <w:t>4.45</w:t>
            </w:r>
          </w:p>
        </w:tc>
      </w:tr>
      <w:tr w:rsidR="000566E0" w:rsidTr="000566E0">
        <w:tc>
          <w:tcPr>
            <w:tcW w:w="3969" w:type="dxa"/>
          </w:tcPr>
          <w:p w:rsidR="000566E0" w:rsidRDefault="000566E0" w:rsidP="000566E0">
            <w:pPr>
              <w:pStyle w:val="TableBodyText"/>
              <w:jc w:val="left"/>
            </w:pPr>
            <w:r>
              <w:t>NILF (inc</w:t>
            </w:r>
            <w:r w:rsidR="00406870">
              <w:t>l</w:t>
            </w:r>
            <w:r>
              <w:t>. marginally attached)</w:t>
            </w:r>
          </w:p>
        </w:tc>
        <w:tc>
          <w:tcPr>
            <w:tcW w:w="1843" w:type="dxa"/>
          </w:tcPr>
          <w:p w:rsidR="000566E0" w:rsidRDefault="000566E0" w:rsidP="000566E0">
            <w:pPr>
              <w:pStyle w:val="TableBodyText"/>
              <w:jc w:val="left"/>
            </w:pPr>
            <w:r>
              <w:t>% NILF</w:t>
            </w:r>
          </w:p>
        </w:tc>
        <w:tc>
          <w:tcPr>
            <w:tcW w:w="1134" w:type="dxa"/>
          </w:tcPr>
          <w:p w:rsidR="000566E0" w:rsidRDefault="000566E0" w:rsidP="000566E0">
            <w:pPr>
              <w:pStyle w:val="TableBodyText"/>
            </w:pPr>
            <w:r>
              <w:t>8.39</w:t>
            </w:r>
          </w:p>
        </w:tc>
        <w:tc>
          <w:tcPr>
            <w:tcW w:w="1843" w:type="dxa"/>
            <w:vAlign w:val="bottom"/>
          </w:tcPr>
          <w:p w:rsidR="000566E0" w:rsidRPr="00165DAA" w:rsidRDefault="000566E0" w:rsidP="000566E0">
            <w:pPr>
              <w:pStyle w:val="TableBodyText"/>
              <w:ind w:right="0"/>
            </w:pPr>
            <w:r w:rsidRPr="00165DAA">
              <w:t>12.20</w:t>
            </w:r>
          </w:p>
        </w:tc>
      </w:tr>
      <w:tr w:rsidR="000566E0" w:rsidTr="000566E0">
        <w:tc>
          <w:tcPr>
            <w:tcW w:w="3969" w:type="dxa"/>
          </w:tcPr>
          <w:p w:rsidR="000566E0" w:rsidRPr="00ED5DF6" w:rsidRDefault="000566E0" w:rsidP="000566E0">
            <w:pPr>
              <w:pStyle w:val="TableBodyText"/>
              <w:jc w:val="left"/>
              <w:rPr>
                <w:i/>
              </w:rPr>
            </w:pPr>
            <w:r w:rsidRPr="00ED5DF6">
              <w:rPr>
                <w:i/>
              </w:rPr>
              <w:t>of which:</w:t>
            </w:r>
          </w:p>
        </w:tc>
        <w:tc>
          <w:tcPr>
            <w:tcW w:w="1843" w:type="dxa"/>
          </w:tcPr>
          <w:p w:rsidR="000566E0" w:rsidRDefault="000566E0" w:rsidP="000566E0">
            <w:pPr>
              <w:pStyle w:val="TableBodyText"/>
              <w:jc w:val="left"/>
            </w:pPr>
          </w:p>
        </w:tc>
        <w:tc>
          <w:tcPr>
            <w:tcW w:w="1134" w:type="dxa"/>
            <w:vAlign w:val="bottom"/>
          </w:tcPr>
          <w:p w:rsidR="000566E0" w:rsidRDefault="000566E0" w:rsidP="000566E0">
            <w:pPr>
              <w:pStyle w:val="TableBodyText"/>
            </w:pPr>
          </w:p>
        </w:tc>
        <w:tc>
          <w:tcPr>
            <w:tcW w:w="1843" w:type="dxa"/>
            <w:vAlign w:val="bottom"/>
          </w:tcPr>
          <w:p w:rsidR="000566E0" w:rsidRPr="00165DAA" w:rsidRDefault="000566E0" w:rsidP="000566E0">
            <w:pPr>
              <w:pStyle w:val="TableBodyText"/>
              <w:ind w:right="0"/>
            </w:pPr>
          </w:p>
        </w:tc>
      </w:tr>
      <w:tr w:rsidR="000566E0" w:rsidTr="000566E0">
        <w:tc>
          <w:tcPr>
            <w:tcW w:w="3969" w:type="dxa"/>
          </w:tcPr>
          <w:p w:rsidR="000566E0" w:rsidRDefault="000566E0" w:rsidP="000566E0">
            <w:pPr>
              <w:pStyle w:val="TableBodyText"/>
              <w:ind w:firstLine="278"/>
              <w:jc w:val="left"/>
            </w:pPr>
            <w:r>
              <w:t>home duties/childcare</w:t>
            </w:r>
          </w:p>
        </w:tc>
        <w:tc>
          <w:tcPr>
            <w:tcW w:w="1843" w:type="dxa"/>
          </w:tcPr>
          <w:p w:rsidR="000566E0" w:rsidRDefault="000566E0" w:rsidP="000566E0">
            <w:pPr>
              <w:pStyle w:val="TableBodyText"/>
              <w:jc w:val="left"/>
            </w:pPr>
            <w:r>
              <w:t>% of NILF</w:t>
            </w:r>
          </w:p>
        </w:tc>
        <w:tc>
          <w:tcPr>
            <w:tcW w:w="1134" w:type="dxa"/>
            <w:vAlign w:val="bottom"/>
          </w:tcPr>
          <w:p w:rsidR="000566E0" w:rsidRDefault="000566E0" w:rsidP="000566E0">
            <w:pPr>
              <w:pStyle w:val="TableBodyText"/>
            </w:pPr>
            <w:r>
              <w:t>65.79</w:t>
            </w:r>
          </w:p>
        </w:tc>
        <w:tc>
          <w:tcPr>
            <w:tcW w:w="1843" w:type="dxa"/>
            <w:vAlign w:val="bottom"/>
          </w:tcPr>
          <w:p w:rsidR="000566E0" w:rsidRPr="00165DAA" w:rsidRDefault="000566E0" w:rsidP="000566E0">
            <w:pPr>
              <w:pStyle w:val="TableBodyText"/>
              <w:ind w:right="0"/>
            </w:pPr>
            <w:r w:rsidRPr="00165DAA">
              <w:t>66.36</w:t>
            </w:r>
          </w:p>
        </w:tc>
      </w:tr>
      <w:tr w:rsidR="000566E0" w:rsidTr="000566E0">
        <w:tc>
          <w:tcPr>
            <w:tcW w:w="3969" w:type="dxa"/>
          </w:tcPr>
          <w:p w:rsidR="000566E0" w:rsidRDefault="000566E0" w:rsidP="000566E0">
            <w:pPr>
              <w:pStyle w:val="TableBodyText"/>
              <w:ind w:firstLine="278"/>
              <w:jc w:val="left"/>
            </w:pPr>
            <w:r>
              <w:t>study</w:t>
            </w:r>
          </w:p>
        </w:tc>
        <w:tc>
          <w:tcPr>
            <w:tcW w:w="1843" w:type="dxa"/>
          </w:tcPr>
          <w:p w:rsidR="000566E0" w:rsidRDefault="000566E0" w:rsidP="000566E0">
            <w:pPr>
              <w:pStyle w:val="TableBodyText"/>
              <w:jc w:val="left"/>
            </w:pPr>
            <w:r>
              <w:t>% of NILF</w:t>
            </w:r>
          </w:p>
        </w:tc>
        <w:tc>
          <w:tcPr>
            <w:tcW w:w="1134" w:type="dxa"/>
          </w:tcPr>
          <w:p w:rsidR="000566E0" w:rsidRDefault="000566E0" w:rsidP="000566E0">
            <w:pPr>
              <w:pStyle w:val="TableBodyText"/>
            </w:pPr>
            <w:r>
              <w:t>13.16</w:t>
            </w:r>
          </w:p>
        </w:tc>
        <w:tc>
          <w:tcPr>
            <w:tcW w:w="1843" w:type="dxa"/>
            <w:vAlign w:val="bottom"/>
          </w:tcPr>
          <w:p w:rsidR="000566E0" w:rsidRPr="00165DAA" w:rsidRDefault="000566E0" w:rsidP="000566E0">
            <w:pPr>
              <w:pStyle w:val="TableBodyText"/>
              <w:ind w:right="0"/>
            </w:pPr>
            <w:r w:rsidRPr="00165DAA">
              <w:t>13.08</w:t>
            </w:r>
          </w:p>
        </w:tc>
      </w:tr>
      <w:tr w:rsidR="000566E0" w:rsidTr="000566E0">
        <w:tc>
          <w:tcPr>
            <w:tcW w:w="3969" w:type="dxa"/>
            <w:shd w:val="clear" w:color="auto" w:fill="auto"/>
          </w:tcPr>
          <w:p w:rsidR="000566E0" w:rsidRDefault="000566E0" w:rsidP="000566E0">
            <w:pPr>
              <w:pStyle w:val="TableBodyText"/>
              <w:ind w:firstLine="278"/>
              <w:jc w:val="left"/>
            </w:pPr>
            <w:r>
              <w:t>marginally attached to labour force</w:t>
            </w:r>
          </w:p>
        </w:tc>
        <w:tc>
          <w:tcPr>
            <w:tcW w:w="1843" w:type="dxa"/>
            <w:shd w:val="clear" w:color="auto" w:fill="auto"/>
          </w:tcPr>
          <w:p w:rsidR="000566E0" w:rsidRDefault="000566E0" w:rsidP="000566E0">
            <w:pPr>
              <w:pStyle w:val="TableBodyText"/>
              <w:jc w:val="left"/>
            </w:pPr>
            <w:r>
              <w:t>% of NILF</w:t>
            </w:r>
          </w:p>
        </w:tc>
        <w:tc>
          <w:tcPr>
            <w:tcW w:w="1134" w:type="dxa"/>
          </w:tcPr>
          <w:p w:rsidR="000566E0" w:rsidRDefault="000566E0" w:rsidP="000566E0">
            <w:pPr>
              <w:pStyle w:val="TableBodyText"/>
            </w:pPr>
            <w:r>
              <w:t>10.53</w:t>
            </w:r>
          </w:p>
        </w:tc>
        <w:tc>
          <w:tcPr>
            <w:tcW w:w="1843" w:type="dxa"/>
            <w:shd w:val="clear" w:color="auto" w:fill="auto"/>
            <w:vAlign w:val="bottom"/>
          </w:tcPr>
          <w:p w:rsidR="000566E0" w:rsidRPr="00165DAA" w:rsidRDefault="000566E0" w:rsidP="000566E0">
            <w:pPr>
              <w:pStyle w:val="TableBodyText"/>
              <w:ind w:right="0"/>
            </w:pPr>
            <w:r w:rsidRPr="00165DAA">
              <w:t>5.61</w:t>
            </w:r>
          </w:p>
        </w:tc>
      </w:tr>
      <w:tr w:rsidR="000566E0" w:rsidTr="00BA5BC0">
        <w:tc>
          <w:tcPr>
            <w:tcW w:w="3969" w:type="dxa"/>
            <w:tcBorders>
              <w:bottom w:val="single" w:sz="6" w:space="0" w:color="auto"/>
            </w:tcBorders>
            <w:shd w:val="clear" w:color="auto" w:fill="auto"/>
          </w:tcPr>
          <w:p w:rsidR="000566E0" w:rsidRDefault="000566E0" w:rsidP="000566E0">
            <w:pPr>
              <w:pStyle w:val="TableBodyText"/>
              <w:ind w:firstLine="278"/>
              <w:jc w:val="left"/>
            </w:pPr>
            <w:r>
              <w:t>other reasons</w:t>
            </w:r>
            <w:r>
              <w:rPr>
                <w:rStyle w:val="NoteLabel"/>
              </w:rPr>
              <w:t>b</w:t>
            </w:r>
          </w:p>
        </w:tc>
        <w:tc>
          <w:tcPr>
            <w:tcW w:w="1843" w:type="dxa"/>
            <w:tcBorders>
              <w:bottom w:val="single" w:sz="6" w:space="0" w:color="auto"/>
            </w:tcBorders>
            <w:shd w:val="clear" w:color="auto" w:fill="auto"/>
            <w:vAlign w:val="bottom"/>
          </w:tcPr>
          <w:p w:rsidR="000566E0" w:rsidRDefault="000566E0" w:rsidP="00BA5BC0">
            <w:pPr>
              <w:pStyle w:val="TableBodyText"/>
              <w:jc w:val="left"/>
            </w:pPr>
            <w:r>
              <w:t>% of NILF</w:t>
            </w:r>
          </w:p>
        </w:tc>
        <w:tc>
          <w:tcPr>
            <w:tcW w:w="1134" w:type="dxa"/>
            <w:tcBorders>
              <w:bottom w:val="single" w:sz="6" w:space="0" w:color="auto"/>
            </w:tcBorders>
            <w:vAlign w:val="bottom"/>
          </w:tcPr>
          <w:p w:rsidR="000566E0" w:rsidRDefault="000566E0" w:rsidP="000566E0">
            <w:pPr>
              <w:pStyle w:val="TableBodyText"/>
            </w:pPr>
            <w:r>
              <w:t>10.53</w:t>
            </w:r>
          </w:p>
        </w:tc>
        <w:tc>
          <w:tcPr>
            <w:tcW w:w="1843" w:type="dxa"/>
            <w:tcBorders>
              <w:bottom w:val="single" w:sz="6" w:space="0" w:color="auto"/>
            </w:tcBorders>
            <w:shd w:val="clear" w:color="auto" w:fill="auto"/>
            <w:vAlign w:val="bottom"/>
          </w:tcPr>
          <w:p w:rsidR="000566E0" w:rsidRPr="00165DAA" w:rsidRDefault="000566E0" w:rsidP="000566E0">
            <w:pPr>
              <w:pStyle w:val="TableBodyText"/>
              <w:ind w:right="0"/>
            </w:pPr>
            <w:r>
              <w:t>14.95</w:t>
            </w:r>
          </w:p>
        </w:tc>
      </w:tr>
    </w:tbl>
    <w:p w:rsidR="000566E0" w:rsidRDefault="00A310CE" w:rsidP="000566E0">
      <w:pPr>
        <w:pStyle w:val="Note"/>
      </w:pPr>
      <w:r>
        <w:rPr>
          <w:rStyle w:val="NoteLabel"/>
        </w:rPr>
        <w:t>a</w:t>
      </w:r>
      <w:r>
        <w:t> </w:t>
      </w:r>
      <w:r w:rsidR="000566E0">
        <w:t xml:space="preserve">Educational attainment has been classified as high (Bachelor </w:t>
      </w:r>
      <w:r w:rsidR="00D14EC0">
        <w:t>D</w:t>
      </w:r>
      <w:r w:rsidR="000566E0">
        <w:t>egree or above), medium (Year 12, Certificate III/IV, Diploma or Advanced Diploma) and low (Certificate I/II, Certificate not defined, Year 11 or lower).</w:t>
      </w:r>
      <w:r>
        <w:t>  </w:t>
      </w:r>
      <w:r w:rsidR="000566E0">
        <w:rPr>
          <w:rStyle w:val="NoteLabel"/>
        </w:rPr>
        <w:t>b</w:t>
      </w:r>
      <w:r>
        <w:t> </w:t>
      </w:r>
      <w:r w:rsidR="000566E0">
        <w:t>May include caring for others with illness/disability, retirement/voluntarily inactive, own illness/disability (rendering the individual temporarily or permanently unable to work), travel/holidays/leisure activities, working in an unpaid voluntary job, or other (unspecified) activities.</w:t>
      </w:r>
    </w:p>
    <w:p w:rsidR="000566E0" w:rsidRDefault="000566E0" w:rsidP="000566E0">
      <w:pPr>
        <w:pStyle w:val="Source"/>
      </w:pPr>
      <w:r>
        <w:rPr>
          <w:i/>
        </w:rPr>
        <w:t>Source</w:t>
      </w:r>
      <w:r>
        <w:t xml:space="preserve">: </w:t>
      </w:r>
      <w:r w:rsidR="005C3704">
        <w:t xml:space="preserve">Authors’ estimates </w:t>
      </w:r>
      <w:r>
        <w:t>based on HILDA waves 1–10.</w:t>
      </w:r>
    </w:p>
    <w:p w:rsidR="00A413CD" w:rsidRDefault="00A413CD" w:rsidP="00DE5B40">
      <w:pPr>
        <w:pStyle w:val="BodyText"/>
      </w:pPr>
    </w:p>
    <w:p w:rsidR="00F00460" w:rsidRDefault="00F00460" w:rsidP="00F00460">
      <w:pPr>
        <w:pStyle w:val="TableTitle"/>
      </w:pPr>
      <w:r>
        <w:rPr>
          <w:b w:val="0"/>
        </w:rPr>
        <w:lastRenderedPageBreak/>
        <w:t xml:space="preserve">Table </w:t>
      </w:r>
      <w:bookmarkStart w:id="19" w:name="OLE_LINK14"/>
      <w:r w:rsidR="00121B7F">
        <w:rPr>
          <w:b w:val="0"/>
        </w:rPr>
        <w:t>3.</w:t>
      </w:r>
      <w:r w:rsidR="00C42746">
        <w:rPr>
          <w:b w:val="0"/>
          <w:noProof/>
        </w:rPr>
        <w:t>5</w:t>
      </w:r>
      <w:bookmarkEnd w:id="19"/>
      <w:r>
        <w:tab/>
        <w:t xml:space="preserve">Selected characteristics of </w:t>
      </w:r>
      <w:r w:rsidR="00DE224D">
        <w:t xml:space="preserve">activity patterns in </w:t>
      </w:r>
      <w:r>
        <w:t xml:space="preserve">the </w:t>
      </w:r>
      <w:r w:rsidR="00D44D55" w:rsidRPr="00A81DBA">
        <w:rPr>
          <w:i/>
        </w:rPr>
        <w:t>Churning with Work</w:t>
      </w:r>
      <w:r>
        <w:t xml:space="preserve"> pathway</w:t>
      </w:r>
      <w:r w:rsidR="001678FB">
        <w:t xml:space="preserve"> (youth</w:t>
      </w:r>
      <w:r w:rsidR="00A310CE">
        <w:t>s</w:t>
      </w:r>
      <w:r w:rsidR="001678FB">
        <w:t>)</w:t>
      </w:r>
      <w:r w:rsidR="001678FB" w:rsidRPr="001678FB">
        <w:rPr>
          <w:rStyle w:val="NoteLabel"/>
          <w:b/>
        </w:rPr>
        <w:t>a</w:t>
      </w:r>
    </w:p>
    <w:tbl>
      <w:tblPr>
        <w:tblW w:w="0" w:type="auto"/>
        <w:tblLayout w:type="fixed"/>
        <w:tblCellMar>
          <w:left w:w="0" w:type="dxa"/>
          <w:right w:w="0" w:type="dxa"/>
        </w:tblCellMar>
        <w:tblLook w:val="0000" w:firstRow="0" w:lastRow="0" w:firstColumn="0" w:lastColumn="0" w:noHBand="0" w:noVBand="0"/>
      </w:tblPr>
      <w:tblGrid>
        <w:gridCol w:w="3544"/>
        <w:gridCol w:w="992"/>
        <w:gridCol w:w="993"/>
        <w:gridCol w:w="992"/>
        <w:gridCol w:w="850"/>
        <w:gridCol w:w="1418"/>
      </w:tblGrid>
      <w:tr w:rsidR="00F00460" w:rsidTr="00DE224D">
        <w:tc>
          <w:tcPr>
            <w:tcW w:w="3544" w:type="dxa"/>
            <w:tcBorders>
              <w:top w:val="single" w:sz="6" w:space="0" w:color="auto"/>
              <w:bottom w:val="single" w:sz="6" w:space="0" w:color="auto"/>
            </w:tcBorders>
            <w:shd w:val="clear" w:color="auto" w:fill="auto"/>
          </w:tcPr>
          <w:p w:rsidR="00F00460" w:rsidRDefault="00F00460" w:rsidP="00F00460">
            <w:pPr>
              <w:pStyle w:val="TableColumnHeading"/>
              <w:jc w:val="left"/>
            </w:pPr>
            <w:r>
              <w:t> </w:t>
            </w:r>
          </w:p>
        </w:tc>
        <w:tc>
          <w:tcPr>
            <w:tcW w:w="992" w:type="dxa"/>
            <w:tcBorders>
              <w:top w:val="single" w:sz="6" w:space="0" w:color="auto"/>
              <w:bottom w:val="single" w:sz="6" w:space="0" w:color="auto"/>
            </w:tcBorders>
            <w:shd w:val="clear" w:color="auto" w:fill="auto"/>
            <w:vAlign w:val="bottom"/>
          </w:tcPr>
          <w:p w:rsidR="00F00460" w:rsidRDefault="00F00460" w:rsidP="00DE224D">
            <w:pPr>
              <w:pStyle w:val="TableColumnHeading"/>
            </w:pPr>
            <w:r>
              <w:t>Work only</w:t>
            </w:r>
          </w:p>
        </w:tc>
        <w:tc>
          <w:tcPr>
            <w:tcW w:w="993" w:type="dxa"/>
            <w:tcBorders>
              <w:top w:val="single" w:sz="6" w:space="0" w:color="auto"/>
              <w:bottom w:val="single" w:sz="6" w:space="0" w:color="auto"/>
            </w:tcBorders>
            <w:shd w:val="clear" w:color="auto" w:fill="auto"/>
            <w:vAlign w:val="bottom"/>
          </w:tcPr>
          <w:p w:rsidR="00F00460" w:rsidRDefault="00F00460" w:rsidP="00DE224D">
            <w:pPr>
              <w:pStyle w:val="TableColumnHeading"/>
            </w:pPr>
            <w:r>
              <w:t>Work and study</w:t>
            </w:r>
          </w:p>
        </w:tc>
        <w:tc>
          <w:tcPr>
            <w:tcW w:w="992" w:type="dxa"/>
            <w:tcBorders>
              <w:top w:val="single" w:sz="6" w:space="0" w:color="auto"/>
              <w:bottom w:val="single" w:sz="6" w:space="0" w:color="auto"/>
            </w:tcBorders>
            <w:shd w:val="clear" w:color="auto" w:fill="auto"/>
            <w:vAlign w:val="bottom"/>
          </w:tcPr>
          <w:p w:rsidR="00F00460" w:rsidRDefault="00F00460" w:rsidP="00DE224D">
            <w:pPr>
              <w:pStyle w:val="TableColumnHeading"/>
            </w:pPr>
            <w:r>
              <w:t>Study only</w:t>
            </w:r>
          </w:p>
        </w:tc>
        <w:tc>
          <w:tcPr>
            <w:tcW w:w="850" w:type="dxa"/>
            <w:tcBorders>
              <w:top w:val="single" w:sz="6" w:space="0" w:color="auto"/>
              <w:bottom w:val="single" w:sz="6" w:space="0" w:color="auto"/>
            </w:tcBorders>
            <w:shd w:val="clear" w:color="auto" w:fill="auto"/>
            <w:vAlign w:val="bottom"/>
          </w:tcPr>
          <w:p w:rsidR="00F00460" w:rsidRDefault="00F00460" w:rsidP="00DE224D">
            <w:pPr>
              <w:pStyle w:val="TableColumnHeading"/>
            </w:pPr>
            <w:r>
              <w:t>NILF</w:t>
            </w:r>
          </w:p>
        </w:tc>
        <w:tc>
          <w:tcPr>
            <w:tcW w:w="1418" w:type="dxa"/>
            <w:tcBorders>
              <w:top w:val="single" w:sz="6" w:space="0" w:color="auto"/>
              <w:bottom w:val="single" w:sz="6" w:space="0" w:color="auto"/>
            </w:tcBorders>
            <w:shd w:val="clear" w:color="auto" w:fill="auto"/>
            <w:vAlign w:val="bottom"/>
          </w:tcPr>
          <w:p w:rsidR="00F00460" w:rsidRDefault="00F00460" w:rsidP="00DE224D">
            <w:pPr>
              <w:pStyle w:val="TableColumnHeading"/>
              <w:ind w:right="6"/>
            </w:pPr>
            <w:r>
              <w:t>Unemployment</w:t>
            </w:r>
          </w:p>
        </w:tc>
      </w:tr>
      <w:tr w:rsidR="00F00460" w:rsidTr="00F00460">
        <w:tc>
          <w:tcPr>
            <w:tcW w:w="3544" w:type="dxa"/>
          </w:tcPr>
          <w:p w:rsidR="00F00460" w:rsidRDefault="00F00460" w:rsidP="00F00460">
            <w:pPr>
              <w:pStyle w:val="TableBodyText"/>
              <w:jc w:val="left"/>
            </w:pPr>
            <w:r>
              <w:t>Average time in the activity (per cent)</w:t>
            </w:r>
          </w:p>
        </w:tc>
        <w:tc>
          <w:tcPr>
            <w:tcW w:w="992" w:type="dxa"/>
          </w:tcPr>
          <w:p w:rsidR="00F00460" w:rsidRDefault="00F00460" w:rsidP="00F00460">
            <w:pPr>
              <w:pStyle w:val="TableBodyText"/>
            </w:pPr>
            <w:r>
              <w:t>76.93</w:t>
            </w:r>
          </w:p>
        </w:tc>
        <w:tc>
          <w:tcPr>
            <w:tcW w:w="993" w:type="dxa"/>
          </w:tcPr>
          <w:p w:rsidR="00F00460" w:rsidRDefault="00F00460" w:rsidP="00F00460">
            <w:pPr>
              <w:pStyle w:val="TableBodyText"/>
            </w:pPr>
            <w:r>
              <w:t>11.15</w:t>
            </w:r>
          </w:p>
        </w:tc>
        <w:tc>
          <w:tcPr>
            <w:tcW w:w="992" w:type="dxa"/>
          </w:tcPr>
          <w:p w:rsidR="00F00460" w:rsidRDefault="00F00460" w:rsidP="00F00460">
            <w:pPr>
              <w:pStyle w:val="TableBodyText"/>
            </w:pPr>
            <w:r>
              <w:t>4.46</w:t>
            </w:r>
          </w:p>
        </w:tc>
        <w:tc>
          <w:tcPr>
            <w:tcW w:w="850" w:type="dxa"/>
          </w:tcPr>
          <w:p w:rsidR="00F00460" w:rsidRDefault="00F00460" w:rsidP="00F00460">
            <w:pPr>
              <w:pStyle w:val="TableBodyText"/>
            </w:pPr>
            <w:r>
              <w:t>4.24</w:t>
            </w:r>
          </w:p>
        </w:tc>
        <w:tc>
          <w:tcPr>
            <w:tcW w:w="1418" w:type="dxa"/>
          </w:tcPr>
          <w:p w:rsidR="00F00460" w:rsidRDefault="00F00460" w:rsidP="00F00460">
            <w:pPr>
              <w:pStyle w:val="TableBodyText"/>
              <w:ind w:right="6"/>
            </w:pPr>
            <w:r>
              <w:t>3.23</w:t>
            </w:r>
          </w:p>
        </w:tc>
      </w:tr>
      <w:tr w:rsidR="00F00460" w:rsidTr="00F00460">
        <w:tc>
          <w:tcPr>
            <w:tcW w:w="3544" w:type="dxa"/>
          </w:tcPr>
          <w:p w:rsidR="00F00460" w:rsidRDefault="00F00460" w:rsidP="00F00460">
            <w:pPr>
              <w:pStyle w:val="TableBodyText"/>
              <w:jc w:val="left"/>
            </w:pPr>
            <w:r>
              <w:t xml:space="preserve">Share of path with at least one spell of the activity </w:t>
            </w:r>
          </w:p>
        </w:tc>
        <w:tc>
          <w:tcPr>
            <w:tcW w:w="992" w:type="dxa"/>
          </w:tcPr>
          <w:p w:rsidR="00F00460" w:rsidRDefault="00F00460" w:rsidP="00F00460">
            <w:pPr>
              <w:pStyle w:val="TableBodyText"/>
            </w:pPr>
            <w:r>
              <w:t>100.00</w:t>
            </w:r>
          </w:p>
        </w:tc>
        <w:tc>
          <w:tcPr>
            <w:tcW w:w="993" w:type="dxa"/>
          </w:tcPr>
          <w:p w:rsidR="00F00460" w:rsidRDefault="00F00460" w:rsidP="00F00460">
            <w:pPr>
              <w:pStyle w:val="TableBodyText"/>
            </w:pPr>
            <w:r>
              <w:t>71.08</w:t>
            </w:r>
          </w:p>
        </w:tc>
        <w:tc>
          <w:tcPr>
            <w:tcW w:w="992" w:type="dxa"/>
          </w:tcPr>
          <w:p w:rsidR="00F00460" w:rsidRDefault="00F00460" w:rsidP="00F00460">
            <w:pPr>
              <w:pStyle w:val="TableBodyText"/>
            </w:pPr>
            <w:r>
              <w:t>38.85</w:t>
            </w:r>
          </w:p>
        </w:tc>
        <w:tc>
          <w:tcPr>
            <w:tcW w:w="850" w:type="dxa"/>
          </w:tcPr>
          <w:p w:rsidR="00F00460" w:rsidRDefault="00F00460" w:rsidP="00F00460">
            <w:pPr>
              <w:pStyle w:val="TableBodyText"/>
            </w:pPr>
            <w:r>
              <w:t>40.84</w:t>
            </w:r>
          </w:p>
        </w:tc>
        <w:tc>
          <w:tcPr>
            <w:tcW w:w="1418" w:type="dxa"/>
          </w:tcPr>
          <w:p w:rsidR="00F00460" w:rsidRDefault="00F00460" w:rsidP="00F00460">
            <w:pPr>
              <w:pStyle w:val="TableBodyText"/>
              <w:ind w:right="6"/>
            </w:pPr>
            <w:r>
              <w:t>43.71</w:t>
            </w:r>
          </w:p>
        </w:tc>
      </w:tr>
      <w:tr w:rsidR="00F00460" w:rsidTr="00F00460">
        <w:tc>
          <w:tcPr>
            <w:tcW w:w="8789" w:type="dxa"/>
            <w:gridSpan w:val="6"/>
          </w:tcPr>
          <w:p w:rsidR="00F00460" w:rsidRDefault="00F00460" w:rsidP="00F00460">
            <w:pPr>
              <w:pStyle w:val="TableBodyText"/>
              <w:ind w:right="0"/>
              <w:jc w:val="left"/>
            </w:pPr>
            <w:r>
              <w:t>Conditional on at least one spell of the activity:</w:t>
            </w:r>
          </w:p>
        </w:tc>
      </w:tr>
      <w:tr w:rsidR="00F00460" w:rsidTr="00F00460">
        <w:tc>
          <w:tcPr>
            <w:tcW w:w="3544" w:type="dxa"/>
          </w:tcPr>
          <w:p w:rsidR="00F00460" w:rsidRDefault="00F00460" w:rsidP="00F00460">
            <w:pPr>
              <w:pStyle w:val="TableBodyText"/>
              <w:ind w:left="142"/>
              <w:jc w:val="left"/>
            </w:pPr>
            <w:r>
              <w:t>average number of spells</w:t>
            </w:r>
          </w:p>
        </w:tc>
        <w:tc>
          <w:tcPr>
            <w:tcW w:w="992" w:type="dxa"/>
          </w:tcPr>
          <w:p w:rsidR="00F00460" w:rsidRDefault="00F00460" w:rsidP="00F00460">
            <w:pPr>
              <w:pStyle w:val="TableBodyText"/>
            </w:pPr>
            <w:r>
              <w:t>2.93</w:t>
            </w:r>
          </w:p>
        </w:tc>
        <w:tc>
          <w:tcPr>
            <w:tcW w:w="993" w:type="dxa"/>
          </w:tcPr>
          <w:p w:rsidR="00F00460" w:rsidRDefault="00F00460" w:rsidP="00F00460">
            <w:pPr>
              <w:pStyle w:val="TableBodyText"/>
            </w:pPr>
            <w:r>
              <w:t>2.01</w:t>
            </w:r>
          </w:p>
        </w:tc>
        <w:tc>
          <w:tcPr>
            <w:tcW w:w="992" w:type="dxa"/>
          </w:tcPr>
          <w:p w:rsidR="00F00460" w:rsidRDefault="00F00460" w:rsidP="00F00460">
            <w:pPr>
              <w:pStyle w:val="TableBodyText"/>
            </w:pPr>
            <w:r>
              <w:t>1.65</w:t>
            </w:r>
          </w:p>
        </w:tc>
        <w:tc>
          <w:tcPr>
            <w:tcW w:w="850" w:type="dxa"/>
          </w:tcPr>
          <w:p w:rsidR="00F00460" w:rsidRDefault="00F00460" w:rsidP="00F00460">
            <w:pPr>
              <w:pStyle w:val="TableBodyText"/>
            </w:pPr>
            <w:r>
              <w:t>1.78</w:t>
            </w:r>
          </w:p>
        </w:tc>
        <w:tc>
          <w:tcPr>
            <w:tcW w:w="1418" w:type="dxa"/>
          </w:tcPr>
          <w:p w:rsidR="00F00460" w:rsidRDefault="00F00460" w:rsidP="00F00460">
            <w:pPr>
              <w:pStyle w:val="TableBodyText"/>
              <w:ind w:right="6"/>
            </w:pPr>
            <w:r>
              <w:t>2.31</w:t>
            </w:r>
          </w:p>
        </w:tc>
      </w:tr>
      <w:tr w:rsidR="00F00460" w:rsidTr="00F00460">
        <w:tc>
          <w:tcPr>
            <w:tcW w:w="3544" w:type="dxa"/>
            <w:tcBorders>
              <w:bottom w:val="single" w:sz="6" w:space="0" w:color="auto"/>
            </w:tcBorders>
          </w:tcPr>
          <w:p w:rsidR="00F00460" w:rsidRDefault="00F00460" w:rsidP="00F00460">
            <w:pPr>
              <w:pStyle w:val="TableBodyText"/>
              <w:ind w:left="142"/>
              <w:jc w:val="left"/>
            </w:pPr>
            <w:r>
              <w:t>average length of spell (months)</w:t>
            </w:r>
          </w:p>
        </w:tc>
        <w:tc>
          <w:tcPr>
            <w:tcW w:w="992" w:type="dxa"/>
            <w:tcBorders>
              <w:bottom w:val="single" w:sz="6" w:space="0" w:color="auto"/>
            </w:tcBorders>
            <w:shd w:val="clear" w:color="auto" w:fill="auto"/>
            <w:vAlign w:val="bottom"/>
          </w:tcPr>
          <w:p w:rsidR="00F00460" w:rsidRPr="001E1823" w:rsidRDefault="00F00460" w:rsidP="00F00460">
            <w:pPr>
              <w:pStyle w:val="TableBodyText"/>
              <w:ind w:left="142"/>
            </w:pPr>
            <w:r w:rsidRPr="001E1823">
              <w:t>31.54</w:t>
            </w:r>
          </w:p>
        </w:tc>
        <w:tc>
          <w:tcPr>
            <w:tcW w:w="993" w:type="dxa"/>
            <w:tcBorders>
              <w:bottom w:val="single" w:sz="6" w:space="0" w:color="auto"/>
            </w:tcBorders>
            <w:shd w:val="clear" w:color="auto" w:fill="auto"/>
            <w:vAlign w:val="bottom"/>
          </w:tcPr>
          <w:p w:rsidR="00F00460" w:rsidRPr="001E1823" w:rsidRDefault="00F00460" w:rsidP="00F00460">
            <w:pPr>
              <w:pStyle w:val="TableBodyText"/>
              <w:ind w:left="142"/>
            </w:pPr>
            <w:r w:rsidRPr="001E1823">
              <w:t>9.37</w:t>
            </w:r>
          </w:p>
        </w:tc>
        <w:tc>
          <w:tcPr>
            <w:tcW w:w="992" w:type="dxa"/>
            <w:tcBorders>
              <w:bottom w:val="single" w:sz="6" w:space="0" w:color="auto"/>
            </w:tcBorders>
            <w:shd w:val="clear" w:color="auto" w:fill="auto"/>
            <w:vAlign w:val="bottom"/>
          </w:tcPr>
          <w:p w:rsidR="00F00460" w:rsidRPr="001E1823" w:rsidRDefault="00F00460" w:rsidP="00F00460">
            <w:pPr>
              <w:pStyle w:val="TableBodyText"/>
              <w:ind w:left="142"/>
            </w:pPr>
            <w:r w:rsidRPr="001E1823">
              <w:t>8.36</w:t>
            </w:r>
          </w:p>
        </w:tc>
        <w:tc>
          <w:tcPr>
            <w:tcW w:w="850" w:type="dxa"/>
            <w:tcBorders>
              <w:bottom w:val="single" w:sz="6" w:space="0" w:color="auto"/>
            </w:tcBorders>
            <w:shd w:val="clear" w:color="auto" w:fill="auto"/>
            <w:vAlign w:val="bottom"/>
          </w:tcPr>
          <w:p w:rsidR="00F00460" w:rsidRPr="001E1823" w:rsidRDefault="00F00460" w:rsidP="00F00460">
            <w:pPr>
              <w:pStyle w:val="TableBodyText"/>
              <w:ind w:left="142"/>
            </w:pPr>
            <w:r w:rsidRPr="001E1823">
              <w:t>6.98</w:t>
            </w:r>
          </w:p>
        </w:tc>
        <w:tc>
          <w:tcPr>
            <w:tcW w:w="1418" w:type="dxa"/>
            <w:tcBorders>
              <w:bottom w:val="single" w:sz="6" w:space="0" w:color="auto"/>
            </w:tcBorders>
            <w:shd w:val="clear" w:color="auto" w:fill="auto"/>
            <w:vAlign w:val="bottom"/>
          </w:tcPr>
          <w:p w:rsidR="00F00460" w:rsidRPr="001E1823" w:rsidRDefault="00F00460" w:rsidP="00F00460">
            <w:pPr>
              <w:pStyle w:val="TableBodyText"/>
              <w:ind w:left="142" w:right="0"/>
            </w:pPr>
            <w:r w:rsidRPr="001E1823">
              <w:t>3.84</w:t>
            </w:r>
          </w:p>
        </w:tc>
      </w:tr>
    </w:tbl>
    <w:p w:rsidR="00F00460" w:rsidRDefault="00A310CE" w:rsidP="00F00460">
      <w:pPr>
        <w:pStyle w:val="Note"/>
      </w:pPr>
      <w:r>
        <w:rPr>
          <w:rStyle w:val="NoteLabel"/>
        </w:rPr>
        <w:t>a</w:t>
      </w:r>
      <w:r>
        <w:t> </w:t>
      </w:r>
      <w:r w:rsidR="00F00460">
        <w:t>Pathway size 453 (51.7 per cent of youths); average number of activities 2.94.</w:t>
      </w:r>
    </w:p>
    <w:p w:rsidR="00F00460" w:rsidRPr="00F257C3" w:rsidRDefault="00F00460" w:rsidP="00F00460">
      <w:pPr>
        <w:pStyle w:val="Source"/>
      </w:pPr>
      <w:r>
        <w:rPr>
          <w:i/>
        </w:rPr>
        <w:t>Source</w:t>
      </w:r>
      <w:r>
        <w:t xml:space="preserve">: </w:t>
      </w:r>
      <w:r w:rsidR="005C3704">
        <w:t xml:space="preserve">Authors’ estimates </w:t>
      </w:r>
      <w:r>
        <w:t>based on HILDA waves 1–10.</w:t>
      </w:r>
    </w:p>
    <w:p w:rsidR="00DE5B40" w:rsidRDefault="00DE5B40" w:rsidP="00DE5B40">
      <w:pPr>
        <w:pStyle w:val="Heading3"/>
      </w:pPr>
      <w:r>
        <w:t xml:space="preserve">Young adults in the </w:t>
      </w:r>
      <w:r w:rsidR="003C2423" w:rsidRPr="003C2423">
        <w:rPr>
          <w:i/>
        </w:rPr>
        <w:t>W</w:t>
      </w:r>
      <w:r w:rsidRPr="003C2423">
        <w:rPr>
          <w:i/>
        </w:rPr>
        <w:t>ork</w:t>
      </w:r>
      <w:r>
        <w:t xml:space="preserve"> pathway</w:t>
      </w:r>
    </w:p>
    <w:p w:rsidR="005444B7" w:rsidRDefault="005444B7" w:rsidP="005444B7">
      <w:pPr>
        <w:pStyle w:val="BodyText"/>
      </w:pPr>
      <w:r>
        <w:t>This is the largest pathway for young adults, containing 63 per cent of individuals in the age segment</w:t>
      </w:r>
      <w:r w:rsidR="00F12F23">
        <w:t xml:space="preserve"> (table </w:t>
      </w:r>
      <w:r w:rsidR="00121B7F">
        <w:t>3.7</w:t>
      </w:r>
      <w:r w:rsidR="008A35F1">
        <w:t xml:space="preserve"> below</w:t>
      </w:r>
      <w:r w:rsidR="00F12F23">
        <w:t>)</w:t>
      </w:r>
      <w:r>
        <w:t xml:space="preserve">. In 2001 individuals in this pathway are aged </w:t>
      </w:r>
      <w:r w:rsidR="0077002F">
        <w:br/>
      </w:r>
      <w:r>
        <w:t>25–39</w:t>
      </w:r>
      <w:r w:rsidR="00F12F23">
        <w:t> </w:t>
      </w:r>
      <w:r>
        <w:t>years with an average age of 32.9 years</w:t>
      </w:r>
      <w:r w:rsidR="00F12F23">
        <w:t xml:space="preserve"> (table </w:t>
      </w:r>
      <w:r w:rsidR="00121B7F">
        <w:t>3.6</w:t>
      </w:r>
      <w:r w:rsidR="008A35F1">
        <w:t xml:space="preserve"> below</w:t>
      </w:r>
      <w:r w:rsidR="00F12F23">
        <w:t>)</w:t>
      </w:r>
      <w:r>
        <w:t>.</w:t>
      </w:r>
      <w:r>
        <w:rPr>
          <w:rStyle w:val="FootnoteReference"/>
        </w:rPr>
        <w:footnoteReference w:id="6"/>
      </w:r>
      <w:r>
        <w:t xml:space="preserve"> Although </w:t>
      </w:r>
      <w:r w:rsidR="00573895">
        <w:t xml:space="preserve">women represent </w:t>
      </w:r>
      <w:r>
        <w:t xml:space="preserve">55 per cent of the young adult segment, in this pathway </w:t>
      </w:r>
      <w:r w:rsidR="00573895">
        <w:t xml:space="preserve">individuals </w:t>
      </w:r>
      <w:r>
        <w:t>are more likely to be men (44 per cent are women).</w:t>
      </w:r>
    </w:p>
    <w:p w:rsidR="005444B7" w:rsidRDefault="005444B7" w:rsidP="005444B7">
      <w:pPr>
        <w:pStyle w:val="BodyText"/>
      </w:pPr>
      <w:r>
        <w:t>Th</w:t>
      </w:r>
      <w:r w:rsidR="003B60FE">
        <w:t xml:space="preserve">e </w:t>
      </w:r>
      <w:r w:rsidR="003B60FE" w:rsidRPr="003B60FE">
        <w:rPr>
          <w:i/>
        </w:rPr>
        <w:t>Work</w:t>
      </w:r>
      <w:r w:rsidR="003B60FE">
        <w:t xml:space="preserve"> </w:t>
      </w:r>
      <w:r>
        <w:t xml:space="preserve">pathway </w:t>
      </w:r>
      <w:r w:rsidRPr="005444B7">
        <w:t>mostly</w:t>
      </w:r>
      <w:r>
        <w:t xml:space="preserve"> comprises individuals who have made the transition from education to work.</w:t>
      </w:r>
      <w:r>
        <w:rPr>
          <w:rStyle w:val="FootnoteReference"/>
        </w:rPr>
        <w:footnoteReference w:id="7"/>
      </w:r>
      <w:r>
        <w:t xml:space="preserve"> It is what might be termed a ‘traditional’ study and work history for individuals in their prime working age. Employment is clearly the main focus, although there are also some experiences of unemployment or withdrawal from the workforce</w:t>
      </w:r>
      <w:r w:rsidR="003B60FE">
        <w:t xml:space="preserve"> (figure </w:t>
      </w:r>
      <w:r w:rsidR="00121B7F">
        <w:t>3.4</w:t>
      </w:r>
      <w:r w:rsidR="008A35F1">
        <w:t xml:space="preserve"> below</w:t>
      </w:r>
      <w:r w:rsidR="003B60FE">
        <w:t>)</w:t>
      </w:r>
      <w:r>
        <w:t xml:space="preserve">. Individuals returning to education typically combine study with work, as they are more likely to have financial and family responsibilities. </w:t>
      </w:r>
      <w:r w:rsidR="00307EA1">
        <w:t xml:space="preserve">For example, in 2001, 58 per cent of individuals in this pathway already had parenting responsibilities for children aged </w:t>
      </w:r>
      <w:r w:rsidR="00573895">
        <w:t>less than</w:t>
      </w:r>
      <w:r w:rsidR="00307EA1">
        <w:t xml:space="preserve"> 18 years</w:t>
      </w:r>
      <w:r w:rsidR="0082003B">
        <w:t>. Among those with parenting responsibilities, over 90 per cent were employed and almost half (45 per cent) of th</w:t>
      </w:r>
      <w:r w:rsidR="008A6DC3">
        <w:t>ose employed parents</w:t>
      </w:r>
      <w:r w:rsidR="0082003B">
        <w:t xml:space="preserve"> were women (not </w:t>
      </w:r>
      <w:r w:rsidR="007B4C32">
        <w:t>shown</w:t>
      </w:r>
      <w:r w:rsidR="0082003B">
        <w:t>).</w:t>
      </w:r>
    </w:p>
    <w:p w:rsidR="005444B7" w:rsidRPr="009F1726" w:rsidRDefault="001541AD" w:rsidP="005444B7">
      <w:pPr>
        <w:pStyle w:val="BodyText"/>
      </w:pPr>
      <w:r>
        <w:t>In 2001, education levels in this pathway reflect the average for all young adults</w:t>
      </w:r>
      <w:r w:rsidR="007B4C32">
        <w:t xml:space="preserve"> (table </w:t>
      </w:r>
      <w:r w:rsidR="00121B7F">
        <w:t>3.6</w:t>
      </w:r>
      <w:r w:rsidR="007B4C32">
        <w:t>)</w:t>
      </w:r>
      <w:r>
        <w:t xml:space="preserve">. </w:t>
      </w:r>
      <w:r w:rsidR="009B4EA0">
        <w:t xml:space="preserve">Education levels are higher in this pathway than in the </w:t>
      </w:r>
      <w:r w:rsidR="00DB1C24" w:rsidRPr="00DB1C24">
        <w:rPr>
          <w:i/>
        </w:rPr>
        <w:t>P</w:t>
      </w:r>
      <w:r w:rsidR="009B4EA0" w:rsidRPr="00DB1C24">
        <w:rPr>
          <w:i/>
        </w:rPr>
        <w:t>rolonged NILF</w:t>
      </w:r>
      <w:r w:rsidR="009B4EA0">
        <w:t xml:space="preserve"> </w:t>
      </w:r>
      <w:r w:rsidR="009B4EA0">
        <w:lastRenderedPageBreak/>
        <w:t xml:space="preserve">pathway but lower than in the </w:t>
      </w:r>
      <w:r w:rsidR="009B4EA0" w:rsidRPr="00DB1C24">
        <w:rPr>
          <w:i/>
        </w:rPr>
        <w:t>Work</w:t>
      </w:r>
      <w:r w:rsidR="00A81DBA">
        <w:rPr>
          <w:i/>
        </w:rPr>
        <w:t>,</w:t>
      </w:r>
      <w:r w:rsidR="009B4EA0" w:rsidRPr="00DB1C24">
        <w:rPr>
          <w:i/>
        </w:rPr>
        <w:t xml:space="preserve"> with or without </w:t>
      </w:r>
      <w:r w:rsidR="00A310CE">
        <w:rPr>
          <w:i/>
        </w:rPr>
        <w:t>S</w:t>
      </w:r>
      <w:r w:rsidR="009B4EA0" w:rsidRPr="00DB1C24">
        <w:rPr>
          <w:i/>
        </w:rPr>
        <w:t>tudy</w:t>
      </w:r>
      <w:r w:rsidR="009B4EA0">
        <w:t xml:space="preserve"> pathway. </w:t>
      </w:r>
      <w:r w:rsidR="007903D2">
        <w:t xml:space="preserve">In 2001, </w:t>
      </w:r>
      <w:r w:rsidR="005444B7">
        <w:t>24</w:t>
      </w:r>
      <w:r w:rsidR="007B4C32">
        <w:t> </w:t>
      </w:r>
      <w:r w:rsidR="005444B7">
        <w:t>per</w:t>
      </w:r>
      <w:r w:rsidR="00A81DBA">
        <w:t> </w:t>
      </w:r>
      <w:r w:rsidR="005444B7">
        <w:t xml:space="preserve">cent </w:t>
      </w:r>
      <w:r w:rsidR="009B4EA0">
        <w:t xml:space="preserve">of these young adults </w:t>
      </w:r>
      <w:r w:rsidR="005444B7">
        <w:t>have a low educational level</w:t>
      </w:r>
      <w:r w:rsidR="00703143">
        <w:t>,</w:t>
      </w:r>
      <w:r w:rsidR="005444B7">
        <w:t xml:space="preserve"> 47 per cent have a medium level of education</w:t>
      </w:r>
      <w:r w:rsidR="00703143">
        <w:t>,</w:t>
      </w:r>
      <w:r w:rsidR="005444B7">
        <w:t xml:space="preserve"> and 29 per cent have high levels of education. </w:t>
      </w:r>
      <w:r w:rsidR="005444B7" w:rsidRPr="009F1726">
        <w:t xml:space="preserve">Compared to </w:t>
      </w:r>
      <w:r w:rsidR="00E4427A" w:rsidRPr="009F1726">
        <w:t xml:space="preserve">the education levels in the </w:t>
      </w:r>
      <w:r w:rsidR="005444B7" w:rsidRPr="009F1726">
        <w:t xml:space="preserve">youth </w:t>
      </w:r>
      <w:r w:rsidR="00E4427A" w:rsidRPr="009F1726">
        <w:t>segment</w:t>
      </w:r>
      <w:r w:rsidR="005444B7" w:rsidRPr="009F1726">
        <w:t xml:space="preserve">, </w:t>
      </w:r>
      <w:r w:rsidR="009F1726" w:rsidRPr="009F1726">
        <w:t xml:space="preserve">the </w:t>
      </w:r>
      <w:r w:rsidR="005444B7" w:rsidRPr="009F1726">
        <w:t xml:space="preserve">starting levels for </w:t>
      </w:r>
      <w:r w:rsidR="009F1726" w:rsidRPr="009F1726">
        <w:t>young adults in this pathway</w:t>
      </w:r>
      <w:r w:rsidR="005444B7" w:rsidRPr="009F1726">
        <w:t xml:space="preserve"> </w:t>
      </w:r>
      <w:r w:rsidR="009F1726" w:rsidRPr="009F1726">
        <w:t>(aged 25</w:t>
      </w:r>
      <w:r w:rsidR="009F1726">
        <w:t>–</w:t>
      </w:r>
      <w:r w:rsidR="009F1726" w:rsidRPr="009F1726">
        <w:t>39 years, with a</w:t>
      </w:r>
      <w:r w:rsidR="00A04AAF">
        <w:t>n</w:t>
      </w:r>
      <w:r w:rsidR="009F1726" w:rsidRPr="009F1726">
        <w:t xml:space="preserve"> average of 32.9 years) </w:t>
      </w:r>
      <w:r w:rsidR="005444B7" w:rsidRPr="009F1726">
        <w:t xml:space="preserve">are </w:t>
      </w:r>
      <w:r w:rsidR="00A04AAF">
        <w:t>similar to</w:t>
      </w:r>
      <w:r w:rsidR="005444B7" w:rsidRPr="009F1726">
        <w:t xml:space="preserve"> </w:t>
      </w:r>
      <w:r w:rsidR="009F1726" w:rsidRPr="009F1726">
        <w:t xml:space="preserve">the </w:t>
      </w:r>
      <w:r w:rsidR="005444B7" w:rsidRPr="009F1726">
        <w:t xml:space="preserve">final levels </w:t>
      </w:r>
      <w:r w:rsidR="00A04AAF">
        <w:t>of education</w:t>
      </w:r>
      <w:r w:rsidR="00A04AAF" w:rsidRPr="009F1726">
        <w:t xml:space="preserve"> </w:t>
      </w:r>
      <w:r w:rsidR="00A04AAF">
        <w:t>for</w:t>
      </w:r>
      <w:r w:rsidR="005444B7" w:rsidRPr="009F1726">
        <w:t xml:space="preserve"> </w:t>
      </w:r>
      <w:r w:rsidR="009F1726" w:rsidRPr="009F1726">
        <w:t xml:space="preserve">the </w:t>
      </w:r>
      <w:r w:rsidR="005444B7" w:rsidRPr="009F1726">
        <w:t>youth</w:t>
      </w:r>
      <w:r w:rsidR="009F1726" w:rsidRPr="009F1726">
        <w:t xml:space="preserve"> segment (aged 24–33 years with an average age of 29.2 years in 2010)</w:t>
      </w:r>
      <w:r w:rsidR="007B4C32">
        <w:t xml:space="preserve"> (see table </w:t>
      </w:r>
      <w:r w:rsidR="00121B7F">
        <w:t>3.4</w:t>
      </w:r>
      <w:r w:rsidR="00BB0004">
        <w:t xml:space="preserve"> above</w:t>
      </w:r>
      <w:r w:rsidR="007B4C32">
        <w:t>)</w:t>
      </w:r>
      <w:r w:rsidR="009F1726" w:rsidRPr="009F1726">
        <w:t>.</w:t>
      </w:r>
    </w:p>
    <w:p w:rsidR="00E540AC" w:rsidRDefault="005444B7" w:rsidP="005444B7">
      <w:pPr>
        <w:pStyle w:val="BodyText"/>
      </w:pPr>
      <w:r>
        <w:t xml:space="preserve">Work is the dominant activity in this pathway. Initially, 86 per cent of individuals are in work only and a further 6 </w:t>
      </w:r>
      <w:r w:rsidR="009A2572">
        <w:t>per cent combine work and study</w:t>
      </w:r>
      <w:r>
        <w:t xml:space="preserve"> </w:t>
      </w:r>
      <w:r w:rsidR="009A2572">
        <w:t xml:space="preserve">and there is not much change in the prevalence of work in 10 years </w:t>
      </w:r>
      <w:r w:rsidR="00F35AA0">
        <w:t>(figure </w:t>
      </w:r>
      <w:r w:rsidR="00121B7F">
        <w:t>3.4</w:t>
      </w:r>
      <w:r w:rsidR="00BB0004">
        <w:t xml:space="preserve"> below</w:t>
      </w:r>
      <w:r w:rsidR="00F35AA0">
        <w:t>)</w:t>
      </w:r>
      <w:r w:rsidR="00E540AC">
        <w:t xml:space="preserve">. </w:t>
      </w:r>
    </w:p>
    <w:p w:rsidR="005444B7" w:rsidRDefault="005444B7" w:rsidP="005444B7">
      <w:pPr>
        <w:pStyle w:val="BodyText"/>
      </w:pPr>
      <w:r>
        <w:t xml:space="preserve">For many </w:t>
      </w:r>
      <w:r w:rsidR="00A04AAF">
        <w:t xml:space="preserve">individuals </w:t>
      </w:r>
      <w:r>
        <w:t xml:space="preserve">there is also continuity of ‘being in employment’, even though there might be changes in jobs and employers. About one third of individuals in this pathway are in work only throughout the </w:t>
      </w:r>
      <w:r w:rsidR="00812837">
        <w:t>ten</w:t>
      </w:r>
      <w:r>
        <w:t xml:space="preserve"> years. For the remaining two</w:t>
      </w:r>
      <w:r w:rsidR="00C8200C">
        <w:t xml:space="preserve"> </w:t>
      </w:r>
      <w:r>
        <w:t>thirds, work only is the dominant activity, followed by work and study</w:t>
      </w:r>
      <w:r w:rsidR="007B4C32">
        <w:t xml:space="preserve"> (not shown)</w:t>
      </w:r>
      <w:r>
        <w:t xml:space="preserve">. </w:t>
      </w:r>
    </w:p>
    <w:p w:rsidR="00E540AC" w:rsidRDefault="005444B7" w:rsidP="00DE5B40">
      <w:pPr>
        <w:pStyle w:val="BodyText"/>
      </w:pPr>
      <w:r>
        <w:t>Individuals in this pathway average about two spells of work only, lasting 54</w:t>
      </w:r>
      <w:r w:rsidR="00A310CE">
        <w:t> </w:t>
      </w:r>
      <w:r>
        <w:t>months (4 years, 6 months) per spell. Forty per cent of individuals also have an average of 1.63 spells of work and study lasting 7.4 months per spell</w:t>
      </w:r>
      <w:r w:rsidR="00F35AA0">
        <w:t xml:space="preserve"> (table </w:t>
      </w:r>
      <w:r w:rsidR="00121B7F">
        <w:t>3.7</w:t>
      </w:r>
      <w:r w:rsidR="00F35AA0">
        <w:t>)</w:t>
      </w:r>
      <w:r>
        <w:t xml:space="preserve">. </w:t>
      </w:r>
    </w:p>
    <w:p w:rsidR="007903D2" w:rsidRDefault="00E540AC" w:rsidP="00DE5B40">
      <w:pPr>
        <w:pStyle w:val="BodyText"/>
      </w:pPr>
      <w:r>
        <w:t>Broad e</w:t>
      </w:r>
      <w:r w:rsidR="00F53631">
        <w:t xml:space="preserve">ducation levels in the </w:t>
      </w:r>
      <w:r w:rsidR="00F53631" w:rsidRPr="00DB1C24">
        <w:rPr>
          <w:i/>
        </w:rPr>
        <w:t>Work</w:t>
      </w:r>
      <w:r w:rsidR="00F53631">
        <w:t xml:space="preserve"> pathway do not change much over the </w:t>
      </w:r>
      <w:r w:rsidR="00812837">
        <w:t>ten</w:t>
      </w:r>
      <w:r w:rsidR="00F53631">
        <w:t xml:space="preserve"> years despite 41 per cent of individuals studying </w:t>
      </w:r>
      <w:r>
        <w:t>at some point</w:t>
      </w:r>
      <w:r w:rsidR="009A2572">
        <w:t>,</w:t>
      </w:r>
      <w:r>
        <w:t xml:space="preserve"> </w:t>
      </w:r>
      <w:r w:rsidR="009A2572">
        <w:t>mostly while working</w:t>
      </w:r>
      <w:r w:rsidR="00F53631">
        <w:t xml:space="preserve">. This is because </w:t>
      </w:r>
      <w:r>
        <w:t>7</w:t>
      </w:r>
      <w:r w:rsidR="00F53631">
        <w:t xml:space="preserve">5 per cent of </w:t>
      </w:r>
      <w:r w:rsidR="009A2572">
        <w:t xml:space="preserve">the </w:t>
      </w:r>
      <w:r w:rsidR="00F53631">
        <w:t xml:space="preserve">individuals in this pathway who studied </w:t>
      </w:r>
      <w:r w:rsidR="009A2572">
        <w:t xml:space="preserve">either </w:t>
      </w:r>
      <w:r w:rsidR="00F53631">
        <w:t xml:space="preserve">completed a qualification </w:t>
      </w:r>
      <w:r>
        <w:t>at the same or lower level t</w:t>
      </w:r>
      <w:r w:rsidR="009A2572">
        <w:t xml:space="preserve">han their highest qualification, </w:t>
      </w:r>
      <w:r>
        <w:t>or began a higher level qualification that was either still being undertaken in 2010 or was abandoned earlier (see box</w:t>
      </w:r>
      <w:r w:rsidR="00327397">
        <w:t> </w:t>
      </w:r>
      <w:r w:rsidR="00121B7F">
        <w:t>3.5</w:t>
      </w:r>
      <w:r w:rsidR="00BB0004">
        <w:t xml:space="preserve"> above</w:t>
      </w:r>
      <w:r>
        <w:t>)</w:t>
      </w:r>
      <w:r w:rsidR="00F53631">
        <w:t>.</w:t>
      </w:r>
      <w:r>
        <w:t xml:space="preserve"> Of the 25 per cent of ‘students’ who completed a higher level qualification, less than half increased the broad education profile for the pathway</w:t>
      </w:r>
      <w:r w:rsidR="008F013F">
        <w:t xml:space="preserve"> (not </w:t>
      </w:r>
      <w:r w:rsidR="00A67709">
        <w:t>shown</w:t>
      </w:r>
      <w:r w:rsidR="008F013F">
        <w:t>)</w:t>
      </w:r>
      <w:r>
        <w:t>.</w:t>
      </w:r>
    </w:p>
    <w:p w:rsidR="000566E0" w:rsidRDefault="005444B7" w:rsidP="00DE5B40">
      <w:pPr>
        <w:pStyle w:val="BodyText"/>
      </w:pPr>
      <w:r>
        <w:t>NILF and unemployment are far less common experiences among individuals in this pathway</w:t>
      </w:r>
      <w:r w:rsidR="00BF39A1">
        <w:t>,</w:t>
      </w:r>
      <w:r>
        <w:t xml:space="preserve"> compared to the other young adult pathways. In any given month, less than 2 per cent of individuals are unemployed and </w:t>
      </w:r>
      <w:r w:rsidR="00B5500D">
        <w:t>up to 5.3</w:t>
      </w:r>
      <w:r>
        <w:t xml:space="preserve"> per cent are NILF</w:t>
      </w:r>
      <w:r w:rsidR="008F013F">
        <w:t xml:space="preserve"> (figure </w:t>
      </w:r>
      <w:r w:rsidR="00121B7F">
        <w:t>3.4</w:t>
      </w:r>
      <w:r w:rsidR="008F013F">
        <w:t>)</w:t>
      </w:r>
      <w:r w:rsidR="00395944">
        <w:t>.</w:t>
      </w:r>
      <w:r w:rsidR="00DD5816">
        <w:rPr>
          <w:rStyle w:val="FootnoteReference"/>
        </w:rPr>
        <w:footnoteReference w:id="8"/>
      </w:r>
      <w:r>
        <w:t xml:space="preserve"> Over the </w:t>
      </w:r>
      <w:r w:rsidR="00051834">
        <w:t>ten</w:t>
      </w:r>
      <w:r w:rsidR="00914827">
        <w:noBreakHyphen/>
      </w:r>
      <w:r>
        <w:t xml:space="preserve">year period, </w:t>
      </w:r>
      <w:r w:rsidR="00BF39A1">
        <w:t xml:space="preserve">29 per cent of individuals in this pathway are </w:t>
      </w:r>
      <w:r>
        <w:t xml:space="preserve">NILF and </w:t>
      </w:r>
      <w:r w:rsidR="00BF39A1">
        <w:t>23 per cent are unemployed</w:t>
      </w:r>
      <w:r>
        <w:t xml:space="preserve">. These individuals have about 1.6 spells of NILF and/or unemployment lasting an average of </w:t>
      </w:r>
      <w:r w:rsidR="008F013F">
        <w:t>six </w:t>
      </w:r>
      <w:r>
        <w:t xml:space="preserve">months per NILF spell and </w:t>
      </w:r>
      <w:r w:rsidR="008F013F">
        <w:t>three </w:t>
      </w:r>
      <w:r>
        <w:t>months per unemployment spell</w:t>
      </w:r>
      <w:r w:rsidR="008F013F">
        <w:t xml:space="preserve"> (table </w:t>
      </w:r>
      <w:r w:rsidR="00121B7F">
        <w:t>3.7</w:t>
      </w:r>
      <w:r w:rsidR="008F013F">
        <w:t>)</w:t>
      </w:r>
      <w:r>
        <w:t>.</w:t>
      </w:r>
      <w:r w:rsidR="00395944">
        <w:t xml:space="preserve"> This is much less than the two pathways </w:t>
      </w:r>
      <w:r w:rsidR="00DD5816">
        <w:t xml:space="preserve">characterised by significant </w:t>
      </w:r>
      <w:r w:rsidR="00395944">
        <w:t>NILF</w:t>
      </w:r>
      <w:r w:rsidR="00DD5816">
        <w:t xml:space="preserve"> activity, where most young adults </w:t>
      </w:r>
      <w:r w:rsidR="00DD5816">
        <w:lastRenderedPageBreak/>
        <w:t>spend significant time in NILF and unemployment, and averaging two spells of each.</w:t>
      </w:r>
    </w:p>
    <w:p w:rsidR="008B6DA4" w:rsidRPr="0002368C" w:rsidRDefault="008B6DA4" w:rsidP="008B6DA4">
      <w:pPr>
        <w:pStyle w:val="FigureTitle"/>
      </w:pPr>
      <w:r>
        <w:rPr>
          <w:b w:val="0"/>
        </w:rPr>
        <w:t xml:space="preserve">Figure </w:t>
      </w:r>
      <w:bookmarkStart w:id="20" w:name="OLE_LINK18"/>
      <w:r w:rsidR="00121B7F">
        <w:rPr>
          <w:b w:val="0"/>
        </w:rPr>
        <w:t>3.</w:t>
      </w:r>
      <w:r w:rsidR="00C42746">
        <w:rPr>
          <w:b w:val="0"/>
          <w:noProof/>
        </w:rPr>
        <w:t>4</w:t>
      </w:r>
      <w:bookmarkEnd w:id="20"/>
      <w:r>
        <w:tab/>
        <w:t xml:space="preserve">Activities in the </w:t>
      </w:r>
      <w:r w:rsidR="00D44D55" w:rsidRPr="00BF39A1">
        <w:rPr>
          <w:i/>
        </w:rPr>
        <w:t>Work</w:t>
      </w:r>
      <w:r>
        <w:t xml:space="preserve"> pathway for you</w:t>
      </w:r>
      <w:r w:rsidR="000566E0">
        <w:t>ng adults</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8B6DA4" w:rsidTr="008B6DA4">
        <w:tc>
          <w:tcPr>
            <w:tcW w:w="8777" w:type="dxa"/>
          </w:tcPr>
          <w:p w:rsidR="008B6DA4" w:rsidRPr="00AF4FFC" w:rsidRDefault="008B6DA4" w:rsidP="008B6DA4">
            <w:pPr>
              <w:pStyle w:val="Figure"/>
              <w:rPr>
                <w:rFonts w:ascii="Arial" w:hAnsi="Arial" w:cs="Arial"/>
                <w:b/>
                <w:sz w:val="20"/>
              </w:rPr>
            </w:pPr>
            <w:r w:rsidRPr="00AF4FFC">
              <w:rPr>
                <w:rFonts w:ascii="Arial" w:hAnsi="Arial" w:cs="Arial"/>
                <w:b/>
                <w:sz w:val="20"/>
              </w:rPr>
              <w:t>(A) Activity sequences by individual</w:t>
            </w:r>
          </w:p>
          <w:p w:rsidR="008B6DA4" w:rsidRDefault="00F725D5" w:rsidP="00084092">
            <w:pPr>
              <w:pStyle w:val="Figure"/>
              <w:jc w:val="left"/>
            </w:pPr>
            <w:r>
              <w:t> </w:t>
            </w:r>
            <w:r w:rsidR="007C193D">
              <w:t>       </w:t>
            </w:r>
            <w:r w:rsidR="007C193D">
              <w:rPr>
                <w:noProof/>
              </w:rPr>
              <w:drawing>
                <wp:inline distT="0" distB="0" distL="0" distR="0" wp14:anchorId="2F8C7FC5" wp14:editId="3C0E81CE">
                  <wp:extent cx="4518000" cy="3286800"/>
                  <wp:effectExtent l="0" t="0" r="0" b="0"/>
                  <wp:docPr id="4" name="Picture 4" descr="Figure 3.4 Activities in the Work pathway for young adults panel A - Activity sequences by individual&#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Longitudinal Surveys\Hilda R10\100c\CB\meanprobdist\recode activity\final SI plots\ya_3.png"/>
                          <pic:cNvPicPr>
                            <a:picLocks noChangeAspect="1" noChangeArrowheads="1"/>
                          </pic:cNvPicPr>
                        </pic:nvPicPr>
                        <pic:blipFill rotWithShape="1">
                          <a:blip r:embed="rId14">
                            <a:extLst>
                              <a:ext uri="{28A0092B-C50C-407E-A947-70E740481C1C}">
                                <a14:useLocalDpi xmlns:a14="http://schemas.microsoft.com/office/drawing/2010/main" val="0"/>
                              </a:ext>
                            </a:extLst>
                          </a:blip>
                          <a:srcRect l="-398" t="548" r="398" b="-548"/>
                          <a:stretch/>
                        </pic:blipFill>
                        <pic:spPr bwMode="auto">
                          <a:xfrm>
                            <a:off x="0" y="0"/>
                            <a:ext cx="4518000" cy="3286800"/>
                          </a:xfrm>
                          <a:prstGeom prst="rect">
                            <a:avLst/>
                          </a:prstGeom>
                          <a:noFill/>
                          <a:ln>
                            <a:noFill/>
                          </a:ln>
                        </pic:spPr>
                      </pic:pic>
                    </a:graphicData>
                  </a:graphic>
                </wp:inline>
              </w:drawing>
            </w:r>
          </w:p>
        </w:tc>
      </w:tr>
      <w:tr w:rsidR="008B6DA4" w:rsidTr="008B6DA4">
        <w:tc>
          <w:tcPr>
            <w:tcW w:w="8777" w:type="dxa"/>
          </w:tcPr>
          <w:p w:rsidR="008B6DA4" w:rsidRPr="00AF4FFC" w:rsidRDefault="008B6DA4" w:rsidP="008B6DA4">
            <w:pPr>
              <w:pStyle w:val="Figure"/>
              <w:rPr>
                <w:rFonts w:ascii="Arial" w:hAnsi="Arial" w:cs="Arial"/>
                <w:b/>
                <w:sz w:val="20"/>
              </w:rPr>
            </w:pPr>
            <w:r w:rsidRPr="00AF4FFC">
              <w:rPr>
                <w:rFonts w:ascii="Arial" w:hAnsi="Arial" w:cs="Arial"/>
                <w:b/>
                <w:sz w:val="20"/>
              </w:rPr>
              <w:t>(B) Activities by monthly share</w:t>
            </w:r>
          </w:p>
          <w:p w:rsidR="008B6DA4" w:rsidRDefault="002817BD" w:rsidP="00DE3075">
            <w:pPr>
              <w:pStyle w:val="Figure"/>
            </w:pPr>
            <w:r>
              <w:rPr>
                <w:noProof/>
              </w:rPr>
              <w:drawing>
                <wp:inline distT="0" distB="0" distL="0" distR="0" wp14:anchorId="1396A27E" wp14:editId="14E46968">
                  <wp:extent cx="4165200" cy="2725200"/>
                  <wp:effectExtent l="0" t="0" r="0" b="0"/>
                  <wp:docPr id="19" name="Picture 19" descr="Figure 3.4 Activities in the Work pathway for young adults panel B - Activities by monthly sh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5200" cy="2725200"/>
                          </a:xfrm>
                          <a:prstGeom prst="rect">
                            <a:avLst/>
                          </a:prstGeom>
                          <a:noFill/>
                        </pic:spPr>
                      </pic:pic>
                    </a:graphicData>
                  </a:graphic>
                </wp:inline>
              </w:drawing>
            </w:r>
          </w:p>
        </w:tc>
      </w:tr>
    </w:tbl>
    <w:p w:rsidR="008B6DA4" w:rsidRPr="00A413CD" w:rsidRDefault="008B6DA4" w:rsidP="002817BD">
      <w:pPr>
        <w:pStyle w:val="Source"/>
      </w:pPr>
      <w:r>
        <w:rPr>
          <w:i/>
        </w:rPr>
        <w:t>Data source</w:t>
      </w:r>
      <w:r w:rsidRPr="00167F06">
        <w:t xml:space="preserve">: </w:t>
      </w:r>
      <w:r w:rsidR="005C3704">
        <w:t xml:space="preserve">Authors’ estimates </w:t>
      </w:r>
      <w:r>
        <w:t>based on HILDA waves 1–10.</w:t>
      </w:r>
    </w:p>
    <w:p w:rsidR="000566E0" w:rsidRDefault="000566E0" w:rsidP="000566E0">
      <w:pPr>
        <w:pStyle w:val="TableTitle"/>
      </w:pPr>
      <w:r>
        <w:rPr>
          <w:b w:val="0"/>
        </w:rPr>
        <w:lastRenderedPageBreak/>
        <w:t xml:space="preserve">Table </w:t>
      </w:r>
      <w:bookmarkStart w:id="21" w:name="OLE_LINK17"/>
      <w:r w:rsidR="00121B7F">
        <w:rPr>
          <w:b w:val="0"/>
        </w:rPr>
        <w:t>3.</w:t>
      </w:r>
      <w:r w:rsidR="00C42746">
        <w:rPr>
          <w:b w:val="0"/>
          <w:noProof/>
        </w:rPr>
        <w:t>6</w:t>
      </w:r>
      <w:bookmarkEnd w:id="21"/>
      <w:r>
        <w:tab/>
        <w:t xml:space="preserve">Selected characteristics of individuals in the </w:t>
      </w:r>
      <w:r w:rsidRPr="00BF39A1">
        <w:rPr>
          <w:i/>
        </w:rPr>
        <w:t>W</w:t>
      </w:r>
      <w:r w:rsidR="00D44D55" w:rsidRPr="00BF39A1">
        <w:rPr>
          <w:i/>
        </w:rPr>
        <w:t>ork</w:t>
      </w:r>
      <w:r>
        <w:t xml:space="preserve"> pathway for young adults</w:t>
      </w:r>
    </w:p>
    <w:tbl>
      <w:tblPr>
        <w:tblW w:w="0" w:type="auto"/>
        <w:tblLayout w:type="fixed"/>
        <w:tblCellMar>
          <w:left w:w="0" w:type="dxa"/>
          <w:right w:w="0" w:type="dxa"/>
        </w:tblCellMar>
        <w:tblLook w:val="0000" w:firstRow="0" w:lastRow="0" w:firstColumn="0" w:lastColumn="0" w:noHBand="0" w:noVBand="0"/>
      </w:tblPr>
      <w:tblGrid>
        <w:gridCol w:w="3969"/>
        <w:gridCol w:w="1843"/>
        <w:gridCol w:w="1134"/>
        <w:gridCol w:w="1843"/>
      </w:tblGrid>
      <w:tr w:rsidR="000566E0" w:rsidTr="000D286A">
        <w:tc>
          <w:tcPr>
            <w:tcW w:w="3969" w:type="dxa"/>
            <w:tcBorders>
              <w:top w:val="single" w:sz="6" w:space="0" w:color="auto"/>
              <w:bottom w:val="single" w:sz="6" w:space="0" w:color="auto"/>
            </w:tcBorders>
            <w:shd w:val="clear" w:color="auto" w:fill="auto"/>
            <w:vAlign w:val="bottom"/>
          </w:tcPr>
          <w:p w:rsidR="000566E0" w:rsidRDefault="000566E0" w:rsidP="000D286A">
            <w:pPr>
              <w:pStyle w:val="TableColumnHeading"/>
              <w:jc w:val="left"/>
            </w:pPr>
            <w:r>
              <w:t>Characteristic</w:t>
            </w:r>
          </w:p>
        </w:tc>
        <w:tc>
          <w:tcPr>
            <w:tcW w:w="1843" w:type="dxa"/>
            <w:tcBorders>
              <w:top w:val="single" w:sz="6" w:space="0" w:color="auto"/>
              <w:bottom w:val="single" w:sz="6" w:space="0" w:color="auto"/>
            </w:tcBorders>
            <w:shd w:val="clear" w:color="auto" w:fill="auto"/>
            <w:vAlign w:val="bottom"/>
          </w:tcPr>
          <w:p w:rsidR="000566E0" w:rsidRDefault="000566E0" w:rsidP="000D286A">
            <w:pPr>
              <w:pStyle w:val="TableColumnHeading"/>
              <w:jc w:val="left"/>
            </w:pPr>
            <w:r>
              <w:t>Measure</w:t>
            </w:r>
          </w:p>
        </w:tc>
        <w:tc>
          <w:tcPr>
            <w:tcW w:w="1134" w:type="dxa"/>
            <w:tcBorders>
              <w:top w:val="single" w:sz="6" w:space="0" w:color="auto"/>
              <w:bottom w:val="single" w:sz="6" w:space="0" w:color="auto"/>
            </w:tcBorders>
            <w:vAlign w:val="bottom"/>
          </w:tcPr>
          <w:p w:rsidR="000566E0" w:rsidRDefault="000566E0" w:rsidP="000D286A">
            <w:pPr>
              <w:pStyle w:val="TableColumnHeading"/>
            </w:pPr>
            <w:r>
              <w:t>W pathway</w:t>
            </w:r>
          </w:p>
        </w:tc>
        <w:tc>
          <w:tcPr>
            <w:tcW w:w="1843" w:type="dxa"/>
            <w:tcBorders>
              <w:top w:val="single" w:sz="6" w:space="0" w:color="auto"/>
              <w:bottom w:val="single" w:sz="6" w:space="0" w:color="auto"/>
            </w:tcBorders>
            <w:shd w:val="clear" w:color="auto" w:fill="auto"/>
            <w:vAlign w:val="bottom"/>
          </w:tcPr>
          <w:p w:rsidR="000566E0" w:rsidRDefault="000566E0" w:rsidP="000D286A">
            <w:pPr>
              <w:pStyle w:val="TableColumnHeading"/>
              <w:ind w:right="0"/>
            </w:pPr>
            <w:r>
              <w:t>All young adult pathways</w:t>
            </w:r>
          </w:p>
        </w:tc>
      </w:tr>
      <w:tr w:rsidR="000566E0" w:rsidTr="000566E0">
        <w:tc>
          <w:tcPr>
            <w:tcW w:w="3969" w:type="dxa"/>
          </w:tcPr>
          <w:p w:rsidR="000566E0" w:rsidRPr="00ED5DF6" w:rsidRDefault="000566E0" w:rsidP="000566E0">
            <w:pPr>
              <w:pStyle w:val="TableBodyText"/>
              <w:spacing w:before="80"/>
              <w:jc w:val="left"/>
              <w:rPr>
                <w:b/>
              </w:rPr>
            </w:pPr>
            <w:r w:rsidRPr="00ED5DF6">
              <w:rPr>
                <w:b/>
              </w:rPr>
              <w:t>In 2001:</w:t>
            </w:r>
          </w:p>
        </w:tc>
        <w:tc>
          <w:tcPr>
            <w:tcW w:w="1843" w:type="dxa"/>
          </w:tcPr>
          <w:p w:rsidR="000566E0" w:rsidRDefault="000566E0" w:rsidP="000566E0">
            <w:pPr>
              <w:pStyle w:val="TableBodyText"/>
              <w:spacing w:before="80"/>
              <w:jc w:val="left"/>
            </w:pPr>
          </w:p>
        </w:tc>
        <w:tc>
          <w:tcPr>
            <w:tcW w:w="1134" w:type="dxa"/>
          </w:tcPr>
          <w:p w:rsidR="000566E0" w:rsidRDefault="000566E0" w:rsidP="000566E0">
            <w:pPr>
              <w:pStyle w:val="TableBodyText"/>
              <w:spacing w:before="80"/>
            </w:pPr>
          </w:p>
        </w:tc>
        <w:tc>
          <w:tcPr>
            <w:tcW w:w="1843" w:type="dxa"/>
          </w:tcPr>
          <w:p w:rsidR="000566E0" w:rsidRDefault="000566E0" w:rsidP="000566E0">
            <w:pPr>
              <w:pStyle w:val="TableBodyText"/>
              <w:spacing w:before="80"/>
              <w:ind w:right="0"/>
            </w:pPr>
          </w:p>
        </w:tc>
      </w:tr>
      <w:tr w:rsidR="000566E0" w:rsidTr="000566E0">
        <w:tc>
          <w:tcPr>
            <w:tcW w:w="3969" w:type="dxa"/>
          </w:tcPr>
          <w:p w:rsidR="000566E0" w:rsidRDefault="000566E0" w:rsidP="000566E0">
            <w:pPr>
              <w:pStyle w:val="TableBodyText"/>
              <w:jc w:val="left"/>
            </w:pPr>
            <w:r>
              <w:t>age</w:t>
            </w:r>
          </w:p>
        </w:tc>
        <w:tc>
          <w:tcPr>
            <w:tcW w:w="1843" w:type="dxa"/>
          </w:tcPr>
          <w:p w:rsidR="000566E0" w:rsidRDefault="000566E0" w:rsidP="000566E0">
            <w:pPr>
              <w:pStyle w:val="TableBodyText"/>
              <w:jc w:val="left"/>
            </w:pPr>
            <w:r>
              <w:t>years, average</w:t>
            </w:r>
          </w:p>
        </w:tc>
        <w:tc>
          <w:tcPr>
            <w:tcW w:w="1134" w:type="dxa"/>
            <w:vAlign w:val="bottom"/>
          </w:tcPr>
          <w:p w:rsidR="000566E0" w:rsidRDefault="000566E0" w:rsidP="000566E0">
            <w:pPr>
              <w:pStyle w:val="TableBodyText"/>
            </w:pPr>
            <w:r>
              <w:t>32.9</w:t>
            </w:r>
          </w:p>
        </w:tc>
        <w:tc>
          <w:tcPr>
            <w:tcW w:w="1843" w:type="dxa"/>
            <w:vAlign w:val="bottom"/>
          </w:tcPr>
          <w:p w:rsidR="000566E0" w:rsidRDefault="000566E0" w:rsidP="000566E0">
            <w:pPr>
              <w:pStyle w:val="TableBodyText"/>
              <w:ind w:right="0"/>
            </w:pPr>
            <w:r>
              <w:t>32.7</w:t>
            </w:r>
          </w:p>
        </w:tc>
      </w:tr>
      <w:tr w:rsidR="000566E0" w:rsidTr="000566E0">
        <w:tc>
          <w:tcPr>
            <w:tcW w:w="3969" w:type="dxa"/>
          </w:tcPr>
          <w:p w:rsidR="000566E0" w:rsidRDefault="000566E0" w:rsidP="000566E0">
            <w:pPr>
              <w:pStyle w:val="TableBodyText"/>
              <w:jc w:val="left"/>
            </w:pPr>
            <w:r>
              <w:t>gender</w:t>
            </w:r>
          </w:p>
        </w:tc>
        <w:tc>
          <w:tcPr>
            <w:tcW w:w="1843" w:type="dxa"/>
          </w:tcPr>
          <w:p w:rsidR="000566E0" w:rsidRDefault="000566E0" w:rsidP="000566E0">
            <w:pPr>
              <w:pStyle w:val="TableBodyText"/>
              <w:jc w:val="left"/>
            </w:pPr>
            <w:r>
              <w:t>% female</w:t>
            </w:r>
          </w:p>
        </w:tc>
        <w:tc>
          <w:tcPr>
            <w:tcW w:w="1134" w:type="dxa"/>
            <w:vAlign w:val="bottom"/>
          </w:tcPr>
          <w:p w:rsidR="000566E0" w:rsidRDefault="000566E0" w:rsidP="000566E0">
            <w:pPr>
              <w:pStyle w:val="TableBodyText"/>
            </w:pPr>
            <w:r>
              <w:t>44.15</w:t>
            </w:r>
          </w:p>
        </w:tc>
        <w:tc>
          <w:tcPr>
            <w:tcW w:w="1843" w:type="dxa"/>
            <w:vAlign w:val="bottom"/>
          </w:tcPr>
          <w:p w:rsidR="000566E0" w:rsidRDefault="000566E0" w:rsidP="000566E0">
            <w:pPr>
              <w:pStyle w:val="TableBodyText"/>
              <w:ind w:right="0"/>
            </w:pPr>
            <w:r>
              <w:t>54.78</w:t>
            </w:r>
          </w:p>
        </w:tc>
      </w:tr>
      <w:tr w:rsidR="000566E0" w:rsidTr="000566E0">
        <w:tc>
          <w:tcPr>
            <w:tcW w:w="3969" w:type="dxa"/>
          </w:tcPr>
          <w:p w:rsidR="000566E0" w:rsidRDefault="000566E0" w:rsidP="000566E0">
            <w:pPr>
              <w:pStyle w:val="TableBodyText"/>
              <w:jc w:val="left"/>
            </w:pPr>
            <w:r>
              <w:t>locality (remoteness)</w:t>
            </w:r>
          </w:p>
        </w:tc>
        <w:tc>
          <w:tcPr>
            <w:tcW w:w="1843" w:type="dxa"/>
          </w:tcPr>
          <w:p w:rsidR="000566E0" w:rsidRDefault="000566E0" w:rsidP="000566E0">
            <w:pPr>
              <w:pStyle w:val="TableBodyText"/>
              <w:jc w:val="left"/>
            </w:pPr>
            <w:r>
              <w:t>% major city</w:t>
            </w:r>
          </w:p>
        </w:tc>
        <w:tc>
          <w:tcPr>
            <w:tcW w:w="1134" w:type="dxa"/>
            <w:vAlign w:val="bottom"/>
          </w:tcPr>
          <w:p w:rsidR="000566E0" w:rsidRDefault="000566E0" w:rsidP="000566E0">
            <w:pPr>
              <w:pStyle w:val="TableBodyText"/>
            </w:pPr>
            <w:r>
              <w:t>65.36</w:t>
            </w:r>
          </w:p>
        </w:tc>
        <w:tc>
          <w:tcPr>
            <w:tcW w:w="1843" w:type="dxa"/>
            <w:vAlign w:val="bottom"/>
          </w:tcPr>
          <w:p w:rsidR="000566E0" w:rsidRDefault="000566E0" w:rsidP="000566E0">
            <w:pPr>
              <w:pStyle w:val="TableBodyText"/>
              <w:ind w:right="0"/>
            </w:pPr>
            <w:r>
              <w:t>65.31</w:t>
            </w:r>
          </w:p>
        </w:tc>
      </w:tr>
      <w:tr w:rsidR="000566E0" w:rsidTr="00722111">
        <w:tc>
          <w:tcPr>
            <w:tcW w:w="3969" w:type="dxa"/>
          </w:tcPr>
          <w:p w:rsidR="000566E0" w:rsidRDefault="000566E0" w:rsidP="000566E0">
            <w:pPr>
              <w:pStyle w:val="TableBodyText"/>
              <w:jc w:val="left"/>
            </w:pPr>
            <w:r>
              <w:t>highest level of education</w:t>
            </w:r>
            <w:r w:rsidRPr="00DE4890">
              <w:rPr>
                <w:rStyle w:val="NoteLabel"/>
              </w:rPr>
              <w:t>a</w:t>
            </w:r>
          </w:p>
        </w:tc>
        <w:tc>
          <w:tcPr>
            <w:tcW w:w="1843" w:type="dxa"/>
            <w:vAlign w:val="bottom"/>
          </w:tcPr>
          <w:p w:rsidR="000566E0" w:rsidRDefault="000566E0" w:rsidP="00722111">
            <w:pPr>
              <w:pStyle w:val="TableBodyText"/>
              <w:jc w:val="left"/>
            </w:pPr>
            <w:r>
              <w:t>% high</w:t>
            </w:r>
          </w:p>
        </w:tc>
        <w:tc>
          <w:tcPr>
            <w:tcW w:w="1134" w:type="dxa"/>
            <w:vAlign w:val="bottom"/>
          </w:tcPr>
          <w:p w:rsidR="000566E0" w:rsidRDefault="000566E0" w:rsidP="000566E0">
            <w:pPr>
              <w:pStyle w:val="TableBodyText"/>
            </w:pPr>
            <w:r>
              <w:t>28.78</w:t>
            </w:r>
          </w:p>
        </w:tc>
        <w:tc>
          <w:tcPr>
            <w:tcW w:w="1843" w:type="dxa"/>
            <w:vAlign w:val="bottom"/>
          </w:tcPr>
          <w:p w:rsidR="000566E0" w:rsidRDefault="000566E0" w:rsidP="000566E0">
            <w:pPr>
              <w:pStyle w:val="TableBodyText"/>
              <w:ind w:right="0"/>
            </w:pPr>
            <w:r>
              <w:t>27.27</w:t>
            </w:r>
          </w:p>
        </w:tc>
      </w:tr>
      <w:tr w:rsidR="000566E0" w:rsidTr="000566E0">
        <w:tc>
          <w:tcPr>
            <w:tcW w:w="3969" w:type="dxa"/>
          </w:tcPr>
          <w:p w:rsidR="000566E0" w:rsidRDefault="000566E0" w:rsidP="000566E0">
            <w:pPr>
              <w:pStyle w:val="TableBodyText"/>
              <w:jc w:val="left"/>
            </w:pPr>
          </w:p>
        </w:tc>
        <w:tc>
          <w:tcPr>
            <w:tcW w:w="1843" w:type="dxa"/>
          </w:tcPr>
          <w:p w:rsidR="000566E0" w:rsidRDefault="000566E0" w:rsidP="00C30F41">
            <w:pPr>
              <w:pStyle w:val="TableBodyText"/>
              <w:jc w:val="left"/>
            </w:pPr>
            <w:r>
              <w:t xml:space="preserve">% </w:t>
            </w:r>
            <w:r w:rsidR="00C30F41">
              <w:t>m</w:t>
            </w:r>
            <w:r>
              <w:t>edium</w:t>
            </w:r>
          </w:p>
        </w:tc>
        <w:tc>
          <w:tcPr>
            <w:tcW w:w="1134" w:type="dxa"/>
            <w:vAlign w:val="bottom"/>
          </w:tcPr>
          <w:p w:rsidR="000566E0" w:rsidRDefault="000566E0" w:rsidP="000566E0">
            <w:pPr>
              <w:pStyle w:val="TableBodyText"/>
            </w:pPr>
            <w:r>
              <w:t>47.38</w:t>
            </w:r>
          </w:p>
        </w:tc>
        <w:tc>
          <w:tcPr>
            <w:tcW w:w="1843" w:type="dxa"/>
            <w:vAlign w:val="bottom"/>
          </w:tcPr>
          <w:p w:rsidR="000566E0" w:rsidRDefault="000566E0" w:rsidP="000566E0">
            <w:pPr>
              <w:pStyle w:val="TableBodyText"/>
              <w:ind w:right="0"/>
            </w:pPr>
            <w:r>
              <w:t>46.30</w:t>
            </w:r>
          </w:p>
        </w:tc>
      </w:tr>
      <w:tr w:rsidR="000566E0" w:rsidTr="000566E0">
        <w:tc>
          <w:tcPr>
            <w:tcW w:w="3969" w:type="dxa"/>
          </w:tcPr>
          <w:p w:rsidR="000566E0" w:rsidRDefault="000566E0" w:rsidP="000566E0">
            <w:pPr>
              <w:pStyle w:val="TableBodyText"/>
              <w:jc w:val="left"/>
            </w:pPr>
          </w:p>
        </w:tc>
        <w:tc>
          <w:tcPr>
            <w:tcW w:w="1843" w:type="dxa"/>
          </w:tcPr>
          <w:p w:rsidR="000566E0" w:rsidRDefault="000566E0" w:rsidP="000566E0">
            <w:pPr>
              <w:pStyle w:val="TableBodyText"/>
              <w:jc w:val="left"/>
            </w:pPr>
            <w:r>
              <w:t>% low</w:t>
            </w:r>
          </w:p>
        </w:tc>
        <w:tc>
          <w:tcPr>
            <w:tcW w:w="1134" w:type="dxa"/>
            <w:vAlign w:val="bottom"/>
          </w:tcPr>
          <w:p w:rsidR="000566E0" w:rsidRDefault="000566E0" w:rsidP="000566E0">
            <w:pPr>
              <w:pStyle w:val="TableBodyText"/>
            </w:pPr>
            <w:r>
              <w:t>23.83</w:t>
            </w:r>
          </w:p>
        </w:tc>
        <w:tc>
          <w:tcPr>
            <w:tcW w:w="1843" w:type="dxa"/>
            <w:vAlign w:val="bottom"/>
          </w:tcPr>
          <w:p w:rsidR="000566E0" w:rsidRDefault="000566E0" w:rsidP="000566E0">
            <w:pPr>
              <w:pStyle w:val="TableBodyText"/>
              <w:ind w:right="0"/>
            </w:pPr>
            <w:r>
              <w:t>26.42</w:t>
            </w:r>
          </w:p>
        </w:tc>
      </w:tr>
      <w:tr w:rsidR="000566E0" w:rsidTr="000566E0">
        <w:tc>
          <w:tcPr>
            <w:tcW w:w="3969" w:type="dxa"/>
          </w:tcPr>
          <w:p w:rsidR="000566E0" w:rsidRDefault="006A600A" w:rsidP="000566E0">
            <w:pPr>
              <w:pStyle w:val="TableBodyText"/>
              <w:jc w:val="left"/>
            </w:pPr>
            <w:r>
              <w:t>u</w:t>
            </w:r>
            <w:r w:rsidR="000566E0">
              <w:t>nemployed</w:t>
            </w:r>
          </w:p>
        </w:tc>
        <w:tc>
          <w:tcPr>
            <w:tcW w:w="1843" w:type="dxa"/>
          </w:tcPr>
          <w:p w:rsidR="000566E0" w:rsidRDefault="000566E0" w:rsidP="000566E0">
            <w:pPr>
              <w:pStyle w:val="TableBodyText"/>
              <w:jc w:val="left"/>
            </w:pPr>
            <w:r>
              <w:t>% U</w:t>
            </w:r>
          </w:p>
        </w:tc>
        <w:tc>
          <w:tcPr>
            <w:tcW w:w="1134" w:type="dxa"/>
            <w:vAlign w:val="bottom"/>
          </w:tcPr>
          <w:p w:rsidR="000566E0" w:rsidRDefault="000566E0" w:rsidP="000566E0">
            <w:pPr>
              <w:pStyle w:val="TableBodyText"/>
            </w:pPr>
            <w:r>
              <w:t>1.79</w:t>
            </w:r>
          </w:p>
        </w:tc>
        <w:tc>
          <w:tcPr>
            <w:tcW w:w="1843" w:type="dxa"/>
            <w:vAlign w:val="bottom"/>
          </w:tcPr>
          <w:p w:rsidR="000566E0" w:rsidRDefault="000566E0" w:rsidP="000566E0">
            <w:pPr>
              <w:pStyle w:val="TableBodyText"/>
              <w:ind w:right="0"/>
            </w:pPr>
            <w:r>
              <w:t>3.23</w:t>
            </w:r>
          </w:p>
        </w:tc>
      </w:tr>
      <w:tr w:rsidR="000566E0" w:rsidTr="000566E0">
        <w:tc>
          <w:tcPr>
            <w:tcW w:w="3969" w:type="dxa"/>
          </w:tcPr>
          <w:p w:rsidR="000566E0" w:rsidRDefault="000566E0" w:rsidP="000566E0">
            <w:pPr>
              <w:pStyle w:val="TableBodyText"/>
              <w:jc w:val="left"/>
            </w:pPr>
            <w:r>
              <w:t>NILF (inc</w:t>
            </w:r>
            <w:r w:rsidR="00406870">
              <w:t>l</w:t>
            </w:r>
            <w:r>
              <w:t>. marginally attached)</w:t>
            </w:r>
          </w:p>
        </w:tc>
        <w:tc>
          <w:tcPr>
            <w:tcW w:w="1843" w:type="dxa"/>
          </w:tcPr>
          <w:p w:rsidR="000566E0" w:rsidRDefault="000566E0" w:rsidP="000566E0">
            <w:pPr>
              <w:pStyle w:val="TableBodyText"/>
              <w:jc w:val="left"/>
            </w:pPr>
            <w:r>
              <w:t>% NILF</w:t>
            </w:r>
          </w:p>
        </w:tc>
        <w:tc>
          <w:tcPr>
            <w:tcW w:w="1134" w:type="dxa"/>
            <w:vAlign w:val="bottom"/>
          </w:tcPr>
          <w:p w:rsidR="000566E0" w:rsidRDefault="000566E0" w:rsidP="000566E0">
            <w:pPr>
              <w:pStyle w:val="TableBodyText"/>
            </w:pPr>
            <w:r>
              <w:t>2.69</w:t>
            </w:r>
          </w:p>
        </w:tc>
        <w:tc>
          <w:tcPr>
            <w:tcW w:w="1843" w:type="dxa"/>
            <w:vAlign w:val="bottom"/>
          </w:tcPr>
          <w:p w:rsidR="000566E0" w:rsidRDefault="000566E0" w:rsidP="000566E0">
            <w:pPr>
              <w:pStyle w:val="TableBodyText"/>
              <w:ind w:right="0"/>
            </w:pPr>
            <w:r>
              <w:t>18.26</w:t>
            </w:r>
          </w:p>
        </w:tc>
      </w:tr>
      <w:tr w:rsidR="000566E0" w:rsidTr="000566E0">
        <w:tc>
          <w:tcPr>
            <w:tcW w:w="3969" w:type="dxa"/>
          </w:tcPr>
          <w:p w:rsidR="000566E0" w:rsidRPr="00ED5DF6" w:rsidRDefault="000566E0" w:rsidP="000566E0">
            <w:pPr>
              <w:pStyle w:val="TableBodyText"/>
              <w:jc w:val="left"/>
              <w:rPr>
                <w:i/>
              </w:rPr>
            </w:pPr>
            <w:r w:rsidRPr="00ED5DF6">
              <w:rPr>
                <w:i/>
              </w:rPr>
              <w:t>of which:</w:t>
            </w:r>
          </w:p>
        </w:tc>
        <w:tc>
          <w:tcPr>
            <w:tcW w:w="1843" w:type="dxa"/>
          </w:tcPr>
          <w:p w:rsidR="000566E0" w:rsidRDefault="000566E0" w:rsidP="000566E0">
            <w:pPr>
              <w:pStyle w:val="TableBodyText"/>
              <w:jc w:val="left"/>
            </w:pPr>
          </w:p>
        </w:tc>
        <w:tc>
          <w:tcPr>
            <w:tcW w:w="1134" w:type="dxa"/>
            <w:vAlign w:val="bottom"/>
          </w:tcPr>
          <w:p w:rsidR="000566E0" w:rsidRDefault="000566E0" w:rsidP="000566E0">
            <w:pPr>
              <w:pStyle w:val="TableBodyText"/>
            </w:pPr>
          </w:p>
        </w:tc>
        <w:tc>
          <w:tcPr>
            <w:tcW w:w="1843" w:type="dxa"/>
            <w:vAlign w:val="bottom"/>
          </w:tcPr>
          <w:p w:rsidR="000566E0" w:rsidRPr="00165DAA" w:rsidRDefault="000566E0" w:rsidP="000566E0">
            <w:pPr>
              <w:pStyle w:val="TableBodyText"/>
              <w:ind w:right="0"/>
            </w:pPr>
          </w:p>
        </w:tc>
      </w:tr>
      <w:tr w:rsidR="000566E0" w:rsidTr="000566E0">
        <w:tc>
          <w:tcPr>
            <w:tcW w:w="3969" w:type="dxa"/>
          </w:tcPr>
          <w:p w:rsidR="000566E0" w:rsidRDefault="000566E0" w:rsidP="000566E0">
            <w:pPr>
              <w:pStyle w:val="TableBodyText"/>
              <w:ind w:firstLine="278"/>
              <w:jc w:val="left"/>
            </w:pPr>
            <w:r>
              <w:t>home duties/childcare</w:t>
            </w:r>
          </w:p>
        </w:tc>
        <w:tc>
          <w:tcPr>
            <w:tcW w:w="1843" w:type="dxa"/>
          </w:tcPr>
          <w:p w:rsidR="000566E0" w:rsidRDefault="000566E0" w:rsidP="000566E0">
            <w:pPr>
              <w:pStyle w:val="TableBodyText"/>
              <w:jc w:val="left"/>
            </w:pPr>
            <w:r>
              <w:t>% of NILF</w:t>
            </w:r>
          </w:p>
        </w:tc>
        <w:tc>
          <w:tcPr>
            <w:tcW w:w="1134" w:type="dxa"/>
            <w:vAlign w:val="bottom"/>
          </w:tcPr>
          <w:p w:rsidR="000566E0" w:rsidRDefault="000566E0" w:rsidP="000566E0">
            <w:pPr>
              <w:pStyle w:val="TableBodyText"/>
            </w:pPr>
            <w:r>
              <w:t>69.23</w:t>
            </w:r>
          </w:p>
        </w:tc>
        <w:tc>
          <w:tcPr>
            <w:tcW w:w="1843" w:type="dxa"/>
            <w:vAlign w:val="bottom"/>
          </w:tcPr>
          <w:p w:rsidR="000566E0" w:rsidRDefault="000566E0" w:rsidP="000566E0">
            <w:pPr>
              <w:pStyle w:val="TableBodyText"/>
              <w:ind w:right="0"/>
            </w:pPr>
            <w:r>
              <w:t>75.60</w:t>
            </w:r>
          </w:p>
        </w:tc>
      </w:tr>
      <w:tr w:rsidR="000566E0" w:rsidTr="000566E0">
        <w:tc>
          <w:tcPr>
            <w:tcW w:w="3969" w:type="dxa"/>
          </w:tcPr>
          <w:p w:rsidR="000566E0" w:rsidRDefault="000566E0" w:rsidP="000566E0">
            <w:pPr>
              <w:pStyle w:val="TableBodyText"/>
              <w:ind w:firstLine="278"/>
              <w:jc w:val="left"/>
            </w:pPr>
            <w:r>
              <w:t>study</w:t>
            </w:r>
          </w:p>
        </w:tc>
        <w:tc>
          <w:tcPr>
            <w:tcW w:w="1843" w:type="dxa"/>
          </w:tcPr>
          <w:p w:rsidR="000566E0" w:rsidRDefault="000566E0" w:rsidP="000566E0">
            <w:pPr>
              <w:pStyle w:val="TableBodyText"/>
              <w:jc w:val="left"/>
            </w:pPr>
            <w:r>
              <w:t>% of NILF</w:t>
            </w:r>
          </w:p>
        </w:tc>
        <w:tc>
          <w:tcPr>
            <w:tcW w:w="1134" w:type="dxa"/>
            <w:vAlign w:val="bottom"/>
          </w:tcPr>
          <w:p w:rsidR="000566E0" w:rsidRDefault="000566E0" w:rsidP="000566E0">
            <w:pPr>
              <w:pStyle w:val="TableBodyText"/>
            </w:pPr>
            <w:r>
              <w:t>15.38</w:t>
            </w:r>
          </w:p>
        </w:tc>
        <w:tc>
          <w:tcPr>
            <w:tcW w:w="1843" w:type="dxa"/>
            <w:vAlign w:val="bottom"/>
          </w:tcPr>
          <w:p w:rsidR="000566E0" w:rsidRDefault="000566E0" w:rsidP="000566E0">
            <w:pPr>
              <w:pStyle w:val="TableBodyText"/>
              <w:ind w:right="0"/>
            </w:pPr>
            <w:r>
              <w:t>8.13</w:t>
            </w:r>
          </w:p>
        </w:tc>
      </w:tr>
      <w:tr w:rsidR="000566E0" w:rsidTr="000566E0">
        <w:tc>
          <w:tcPr>
            <w:tcW w:w="3969" w:type="dxa"/>
          </w:tcPr>
          <w:p w:rsidR="000566E0" w:rsidRDefault="000566E0" w:rsidP="000566E0">
            <w:pPr>
              <w:pStyle w:val="TableBodyText"/>
              <w:ind w:firstLine="278"/>
              <w:jc w:val="left"/>
            </w:pPr>
            <w:r>
              <w:t>marginally attached to labour force</w:t>
            </w:r>
          </w:p>
        </w:tc>
        <w:tc>
          <w:tcPr>
            <w:tcW w:w="1843" w:type="dxa"/>
          </w:tcPr>
          <w:p w:rsidR="000566E0" w:rsidRDefault="000566E0" w:rsidP="000566E0">
            <w:pPr>
              <w:pStyle w:val="TableBodyText"/>
              <w:jc w:val="left"/>
            </w:pPr>
            <w:r>
              <w:t>% of NILF</w:t>
            </w:r>
          </w:p>
        </w:tc>
        <w:tc>
          <w:tcPr>
            <w:tcW w:w="1134" w:type="dxa"/>
            <w:vAlign w:val="bottom"/>
          </w:tcPr>
          <w:p w:rsidR="000566E0" w:rsidRDefault="000566E0" w:rsidP="000566E0">
            <w:pPr>
              <w:pStyle w:val="TableBodyText"/>
            </w:pPr>
            <w:r>
              <w:t>7.69</w:t>
            </w:r>
          </w:p>
        </w:tc>
        <w:tc>
          <w:tcPr>
            <w:tcW w:w="1843" w:type="dxa"/>
            <w:vAlign w:val="bottom"/>
          </w:tcPr>
          <w:p w:rsidR="000566E0" w:rsidRDefault="000566E0" w:rsidP="000566E0">
            <w:pPr>
              <w:pStyle w:val="TableBodyText"/>
              <w:ind w:right="0"/>
            </w:pPr>
            <w:r>
              <w:t>2.87</w:t>
            </w:r>
          </w:p>
        </w:tc>
      </w:tr>
      <w:tr w:rsidR="000566E0" w:rsidTr="00722111">
        <w:tc>
          <w:tcPr>
            <w:tcW w:w="3969" w:type="dxa"/>
          </w:tcPr>
          <w:p w:rsidR="000566E0" w:rsidRDefault="000566E0" w:rsidP="000566E0">
            <w:pPr>
              <w:pStyle w:val="TableBodyText"/>
              <w:ind w:firstLine="278"/>
              <w:jc w:val="left"/>
            </w:pPr>
            <w:r>
              <w:t>other reasons</w:t>
            </w:r>
            <w:r>
              <w:rPr>
                <w:rStyle w:val="NoteLabel"/>
              </w:rPr>
              <w:t>b</w:t>
            </w:r>
          </w:p>
        </w:tc>
        <w:tc>
          <w:tcPr>
            <w:tcW w:w="1843" w:type="dxa"/>
            <w:vAlign w:val="bottom"/>
          </w:tcPr>
          <w:p w:rsidR="000566E0" w:rsidRDefault="000566E0" w:rsidP="00722111">
            <w:pPr>
              <w:pStyle w:val="TableBodyText"/>
              <w:jc w:val="left"/>
            </w:pPr>
            <w:r>
              <w:t>% of NILF</w:t>
            </w:r>
          </w:p>
        </w:tc>
        <w:tc>
          <w:tcPr>
            <w:tcW w:w="1134" w:type="dxa"/>
            <w:vAlign w:val="bottom"/>
          </w:tcPr>
          <w:p w:rsidR="000566E0" w:rsidRDefault="000566E0" w:rsidP="000566E0">
            <w:pPr>
              <w:pStyle w:val="TableBodyText"/>
            </w:pPr>
            <w:r>
              <w:t>7.69</w:t>
            </w:r>
          </w:p>
        </w:tc>
        <w:tc>
          <w:tcPr>
            <w:tcW w:w="1843" w:type="dxa"/>
            <w:vAlign w:val="bottom"/>
          </w:tcPr>
          <w:p w:rsidR="000566E0" w:rsidRPr="00165DAA" w:rsidRDefault="000566E0" w:rsidP="000566E0">
            <w:pPr>
              <w:pStyle w:val="TableBodyText"/>
              <w:ind w:right="0"/>
            </w:pPr>
            <w:r>
              <w:t>13.40</w:t>
            </w:r>
          </w:p>
        </w:tc>
      </w:tr>
      <w:tr w:rsidR="000566E0" w:rsidTr="000566E0">
        <w:tc>
          <w:tcPr>
            <w:tcW w:w="3969" w:type="dxa"/>
          </w:tcPr>
          <w:p w:rsidR="000566E0" w:rsidRDefault="000566E0" w:rsidP="000566E0">
            <w:pPr>
              <w:pStyle w:val="TableBodyText"/>
              <w:jc w:val="left"/>
            </w:pPr>
          </w:p>
        </w:tc>
        <w:tc>
          <w:tcPr>
            <w:tcW w:w="1843" w:type="dxa"/>
          </w:tcPr>
          <w:p w:rsidR="000566E0" w:rsidRDefault="000566E0" w:rsidP="000566E0">
            <w:pPr>
              <w:pStyle w:val="TableBodyText"/>
              <w:jc w:val="left"/>
            </w:pPr>
          </w:p>
        </w:tc>
        <w:tc>
          <w:tcPr>
            <w:tcW w:w="1134" w:type="dxa"/>
            <w:vAlign w:val="bottom"/>
          </w:tcPr>
          <w:p w:rsidR="000566E0" w:rsidRDefault="000566E0" w:rsidP="000566E0">
            <w:pPr>
              <w:pStyle w:val="TableBodyText"/>
            </w:pPr>
          </w:p>
        </w:tc>
        <w:tc>
          <w:tcPr>
            <w:tcW w:w="1843" w:type="dxa"/>
          </w:tcPr>
          <w:p w:rsidR="000566E0" w:rsidRDefault="000566E0" w:rsidP="000566E0">
            <w:pPr>
              <w:pStyle w:val="TableBodyText"/>
              <w:ind w:right="0"/>
            </w:pPr>
          </w:p>
        </w:tc>
      </w:tr>
      <w:tr w:rsidR="000566E0" w:rsidTr="000566E0">
        <w:tc>
          <w:tcPr>
            <w:tcW w:w="3969" w:type="dxa"/>
          </w:tcPr>
          <w:p w:rsidR="000566E0" w:rsidRPr="00ED5DF6" w:rsidRDefault="000566E0" w:rsidP="000566E0">
            <w:pPr>
              <w:pStyle w:val="TableBodyText"/>
              <w:spacing w:before="80"/>
              <w:jc w:val="left"/>
              <w:rPr>
                <w:b/>
              </w:rPr>
            </w:pPr>
            <w:r w:rsidRPr="00ED5DF6">
              <w:rPr>
                <w:b/>
              </w:rPr>
              <w:t>In 2010:</w:t>
            </w:r>
          </w:p>
        </w:tc>
        <w:tc>
          <w:tcPr>
            <w:tcW w:w="1843" w:type="dxa"/>
          </w:tcPr>
          <w:p w:rsidR="000566E0" w:rsidRDefault="000566E0" w:rsidP="000566E0">
            <w:pPr>
              <w:pStyle w:val="TableBodyText"/>
              <w:spacing w:before="80"/>
              <w:jc w:val="left"/>
            </w:pPr>
          </w:p>
        </w:tc>
        <w:tc>
          <w:tcPr>
            <w:tcW w:w="1134" w:type="dxa"/>
            <w:vAlign w:val="bottom"/>
          </w:tcPr>
          <w:p w:rsidR="000566E0" w:rsidRDefault="000566E0" w:rsidP="000566E0">
            <w:pPr>
              <w:pStyle w:val="TableBodyText"/>
            </w:pPr>
          </w:p>
        </w:tc>
        <w:tc>
          <w:tcPr>
            <w:tcW w:w="1843" w:type="dxa"/>
          </w:tcPr>
          <w:p w:rsidR="000566E0" w:rsidRDefault="000566E0" w:rsidP="000566E0">
            <w:pPr>
              <w:pStyle w:val="TableBodyText"/>
              <w:spacing w:before="80"/>
              <w:ind w:right="0"/>
            </w:pPr>
          </w:p>
        </w:tc>
      </w:tr>
      <w:tr w:rsidR="000566E0" w:rsidTr="000566E0">
        <w:tc>
          <w:tcPr>
            <w:tcW w:w="3969" w:type="dxa"/>
          </w:tcPr>
          <w:p w:rsidR="000566E0" w:rsidRDefault="000566E0" w:rsidP="000566E0">
            <w:pPr>
              <w:pStyle w:val="TableBodyText"/>
              <w:jc w:val="left"/>
            </w:pPr>
            <w:r>
              <w:t>locality (remoteness)</w:t>
            </w:r>
          </w:p>
        </w:tc>
        <w:tc>
          <w:tcPr>
            <w:tcW w:w="1843" w:type="dxa"/>
          </w:tcPr>
          <w:p w:rsidR="000566E0" w:rsidRDefault="000566E0" w:rsidP="000566E0">
            <w:pPr>
              <w:pStyle w:val="TableBodyText"/>
              <w:jc w:val="left"/>
            </w:pPr>
            <w:r>
              <w:t>% major city</w:t>
            </w:r>
          </w:p>
        </w:tc>
        <w:tc>
          <w:tcPr>
            <w:tcW w:w="1134" w:type="dxa"/>
            <w:vAlign w:val="bottom"/>
          </w:tcPr>
          <w:p w:rsidR="000566E0" w:rsidRDefault="000566E0" w:rsidP="000566E0">
            <w:pPr>
              <w:pStyle w:val="TableBodyText"/>
            </w:pPr>
            <w:r>
              <w:t>62.40</w:t>
            </w:r>
          </w:p>
        </w:tc>
        <w:tc>
          <w:tcPr>
            <w:tcW w:w="1843" w:type="dxa"/>
            <w:vAlign w:val="bottom"/>
          </w:tcPr>
          <w:p w:rsidR="000566E0" w:rsidRDefault="000566E0" w:rsidP="000566E0">
            <w:pPr>
              <w:pStyle w:val="TableBodyText"/>
              <w:ind w:right="0"/>
            </w:pPr>
            <w:r>
              <w:t>62.12</w:t>
            </w:r>
          </w:p>
        </w:tc>
      </w:tr>
      <w:tr w:rsidR="000566E0" w:rsidTr="00722111">
        <w:tc>
          <w:tcPr>
            <w:tcW w:w="3969" w:type="dxa"/>
          </w:tcPr>
          <w:p w:rsidR="000566E0" w:rsidRDefault="000566E0" w:rsidP="000566E0">
            <w:pPr>
              <w:pStyle w:val="TableBodyText"/>
              <w:jc w:val="left"/>
            </w:pPr>
            <w:r>
              <w:t>highest level of education</w:t>
            </w:r>
            <w:r w:rsidRPr="00DE4890">
              <w:rPr>
                <w:rStyle w:val="NoteLabel"/>
              </w:rPr>
              <w:t>a</w:t>
            </w:r>
          </w:p>
        </w:tc>
        <w:tc>
          <w:tcPr>
            <w:tcW w:w="1843" w:type="dxa"/>
            <w:vAlign w:val="bottom"/>
          </w:tcPr>
          <w:p w:rsidR="000566E0" w:rsidRDefault="000566E0" w:rsidP="00722111">
            <w:pPr>
              <w:pStyle w:val="TableBodyText"/>
              <w:jc w:val="left"/>
            </w:pPr>
            <w:r>
              <w:t>% high</w:t>
            </w:r>
          </w:p>
        </w:tc>
        <w:tc>
          <w:tcPr>
            <w:tcW w:w="1134" w:type="dxa"/>
            <w:vAlign w:val="bottom"/>
          </w:tcPr>
          <w:p w:rsidR="000566E0" w:rsidRDefault="000566E0" w:rsidP="000566E0">
            <w:pPr>
              <w:pStyle w:val="TableBodyText"/>
            </w:pPr>
            <w:r>
              <w:t>30.17</w:t>
            </w:r>
          </w:p>
        </w:tc>
        <w:tc>
          <w:tcPr>
            <w:tcW w:w="1843" w:type="dxa"/>
            <w:vAlign w:val="bottom"/>
          </w:tcPr>
          <w:p w:rsidR="000566E0" w:rsidRDefault="000566E0" w:rsidP="000566E0">
            <w:pPr>
              <w:pStyle w:val="TableBodyText"/>
              <w:ind w:right="0"/>
            </w:pPr>
            <w:r>
              <w:t>30.62</w:t>
            </w:r>
          </w:p>
        </w:tc>
      </w:tr>
      <w:tr w:rsidR="000566E0" w:rsidTr="000566E0">
        <w:tc>
          <w:tcPr>
            <w:tcW w:w="3969" w:type="dxa"/>
          </w:tcPr>
          <w:p w:rsidR="000566E0" w:rsidRDefault="000566E0" w:rsidP="000566E0">
            <w:pPr>
              <w:pStyle w:val="TableBodyText"/>
              <w:jc w:val="left"/>
            </w:pPr>
          </w:p>
        </w:tc>
        <w:tc>
          <w:tcPr>
            <w:tcW w:w="1843" w:type="dxa"/>
          </w:tcPr>
          <w:p w:rsidR="000566E0" w:rsidRDefault="000566E0" w:rsidP="00C30F41">
            <w:pPr>
              <w:pStyle w:val="TableBodyText"/>
              <w:jc w:val="left"/>
            </w:pPr>
            <w:r>
              <w:t xml:space="preserve">% </w:t>
            </w:r>
            <w:r w:rsidR="00C30F41">
              <w:t>m</w:t>
            </w:r>
            <w:r>
              <w:t>edium</w:t>
            </w:r>
          </w:p>
        </w:tc>
        <w:tc>
          <w:tcPr>
            <w:tcW w:w="1134" w:type="dxa"/>
            <w:vAlign w:val="bottom"/>
          </w:tcPr>
          <w:p w:rsidR="000566E0" w:rsidRDefault="000566E0" w:rsidP="000566E0">
            <w:pPr>
              <w:pStyle w:val="TableBodyText"/>
            </w:pPr>
            <w:r>
              <w:t>49.37</w:t>
            </w:r>
          </w:p>
        </w:tc>
        <w:tc>
          <w:tcPr>
            <w:tcW w:w="1843" w:type="dxa"/>
            <w:vAlign w:val="bottom"/>
          </w:tcPr>
          <w:p w:rsidR="000566E0" w:rsidRDefault="000566E0" w:rsidP="000566E0">
            <w:pPr>
              <w:pStyle w:val="TableBodyText"/>
              <w:ind w:right="0"/>
            </w:pPr>
            <w:r>
              <w:t>47.40</w:t>
            </w:r>
          </w:p>
        </w:tc>
      </w:tr>
      <w:tr w:rsidR="000566E0" w:rsidTr="000566E0">
        <w:tc>
          <w:tcPr>
            <w:tcW w:w="3969" w:type="dxa"/>
          </w:tcPr>
          <w:p w:rsidR="000566E0" w:rsidRDefault="000566E0" w:rsidP="000566E0">
            <w:pPr>
              <w:pStyle w:val="TableBodyText"/>
              <w:jc w:val="left"/>
            </w:pPr>
          </w:p>
        </w:tc>
        <w:tc>
          <w:tcPr>
            <w:tcW w:w="1843" w:type="dxa"/>
          </w:tcPr>
          <w:p w:rsidR="000566E0" w:rsidRDefault="000566E0" w:rsidP="000566E0">
            <w:pPr>
              <w:pStyle w:val="TableBodyText"/>
              <w:jc w:val="left"/>
            </w:pPr>
            <w:r>
              <w:t>% low</w:t>
            </w:r>
          </w:p>
        </w:tc>
        <w:tc>
          <w:tcPr>
            <w:tcW w:w="1134" w:type="dxa"/>
            <w:vAlign w:val="bottom"/>
          </w:tcPr>
          <w:p w:rsidR="000566E0" w:rsidRDefault="000566E0" w:rsidP="000566E0">
            <w:pPr>
              <w:pStyle w:val="TableBodyText"/>
            </w:pPr>
            <w:r>
              <w:t>20.45</w:t>
            </w:r>
          </w:p>
        </w:tc>
        <w:tc>
          <w:tcPr>
            <w:tcW w:w="1843" w:type="dxa"/>
            <w:vAlign w:val="bottom"/>
          </w:tcPr>
          <w:p w:rsidR="000566E0" w:rsidRDefault="000566E0" w:rsidP="000566E0">
            <w:pPr>
              <w:pStyle w:val="TableBodyText"/>
              <w:ind w:right="0"/>
            </w:pPr>
            <w:r>
              <w:t>21.98</w:t>
            </w:r>
          </w:p>
        </w:tc>
      </w:tr>
      <w:tr w:rsidR="000566E0" w:rsidTr="000566E0">
        <w:tc>
          <w:tcPr>
            <w:tcW w:w="3969" w:type="dxa"/>
          </w:tcPr>
          <w:p w:rsidR="000566E0" w:rsidRDefault="006A600A" w:rsidP="000566E0">
            <w:pPr>
              <w:pStyle w:val="TableBodyText"/>
              <w:jc w:val="left"/>
            </w:pPr>
            <w:r>
              <w:t>u</w:t>
            </w:r>
            <w:r w:rsidR="000566E0">
              <w:t>nemployed</w:t>
            </w:r>
          </w:p>
        </w:tc>
        <w:tc>
          <w:tcPr>
            <w:tcW w:w="1843" w:type="dxa"/>
          </w:tcPr>
          <w:p w:rsidR="000566E0" w:rsidRDefault="000566E0" w:rsidP="000566E0">
            <w:pPr>
              <w:pStyle w:val="TableBodyText"/>
              <w:jc w:val="left"/>
            </w:pPr>
            <w:r>
              <w:t>% U</w:t>
            </w:r>
          </w:p>
        </w:tc>
        <w:tc>
          <w:tcPr>
            <w:tcW w:w="1134" w:type="dxa"/>
            <w:vAlign w:val="bottom"/>
          </w:tcPr>
          <w:p w:rsidR="000566E0" w:rsidRDefault="000566E0" w:rsidP="000566E0">
            <w:pPr>
              <w:pStyle w:val="TableBodyText"/>
            </w:pPr>
            <w:r>
              <w:t>1.65</w:t>
            </w:r>
          </w:p>
        </w:tc>
        <w:tc>
          <w:tcPr>
            <w:tcW w:w="1843" w:type="dxa"/>
            <w:vAlign w:val="bottom"/>
          </w:tcPr>
          <w:p w:rsidR="000566E0" w:rsidRDefault="000566E0" w:rsidP="000566E0">
            <w:pPr>
              <w:pStyle w:val="TableBodyText"/>
              <w:ind w:right="0"/>
            </w:pPr>
            <w:r>
              <w:t>2.40</w:t>
            </w:r>
          </w:p>
        </w:tc>
      </w:tr>
      <w:tr w:rsidR="000566E0" w:rsidTr="000566E0">
        <w:tc>
          <w:tcPr>
            <w:tcW w:w="3969" w:type="dxa"/>
          </w:tcPr>
          <w:p w:rsidR="000566E0" w:rsidRDefault="000566E0" w:rsidP="000566E0">
            <w:pPr>
              <w:pStyle w:val="TableBodyText"/>
              <w:jc w:val="left"/>
            </w:pPr>
            <w:r>
              <w:t>NILF (inc</w:t>
            </w:r>
            <w:r w:rsidR="00406870">
              <w:t>l</w:t>
            </w:r>
            <w:r>
              <w:t>. marginally attached)</w:t>
            </w:r>
          </w:p>
        </w:tc>
        <w:tc>
          <w:tcPr>
            <w:tcW w:w="1843" w:type="dxa"/>
          </w:tcPr>
          <w:p w:rsidR="000566E0" w:rsidRDefault="000566E0" w:rsidP="000566E0">
            <w:pPr>
              <w:pStyle w:val="TableBodyText"/>
              <w:jc w:val="left"/>
            </w:pPr>
            <w:r>
              <w:t>% NILF</w:t>
            </w:r>
          </w:p>
        </w:tc>
        <w:tc>
          <w:tcPr>
            <w:tcW w:w="1134" w:type="dxa"/>
            <w:vAlign w:val="bottom"/>
          </w:tcPr>
          <w:p w:rsidR="000566E0" w:rsidRDefault="000566E0" w:rsidP="000566E0">
            <w:pPr>
              <w:pStyle w:val="TableBodyText"/>
            </w:pPr>
            <w:r>
              <w:t>4.27</w:t>
            </w:r>
          </w:p>
        </w:tc>
        <w:tc>
          <w:tcPr>
            <w:tcW w:w="1843" w:type="dxa"/>
            <w:vAlign w:val="bottom"/>
          </w:tcPr>
          <w:p w:rsidR="000566E0" w:rsidRDefault="000566E0" w:rsidP="000566E0">
            <w:pPr>
              <w:pStyle w:val="TableBodyText"/>
              <w:ind w:right="0"/>
            </w:pPr>
            <w:r>
              <w:t>12.54</w:t>
            </w:r>
          </w:p>
        </w:tc>
      </w:tr>
      <w:tr w:rsidR="000566E0" w:rsidTr="000566E0">
        <w:tc>
          <w:tcPr>
            <w:tcW w:w="3969" w:type="dxa"/>
          </w:tcPr>
          <w:p w:rsidR="000566E0" w:rsidRPr="00ED5DF6" w:rsidRDefault="000566E0" w:rsidP="000566E0">
            <w:pPr>
              <w:pStyle w:val="TableBodyText"/>
              <w:jc w:val="left"/>
              <w:rPr>
                <w:i/>
              </w:rPr>
            </w:pPr>
            <w:r w:rsidRPr="00ED5DF6">
              <w:rPr>
                <w:i/>
              </w:rPr>
              <w:t>of which:</w:t>
            </w:r>
          </w:p>
        </w:tc>
        <w:tc>
          <w:tcPr>
            <w:tcW w:w="1843" w:type="dxa"/>
          </w:tcPr>
          <w:p w:rsidR="000566E0" w:rsidRDefault="000566E0" w:rsidP="000566E0">
            <w:pPr>
              <w:pStyle w:val="TableBodyText"/>
              <w:jc w:val="left"/>
            </w:pPr>
          </w:p>
        </w:tc>
        <w:tc>
          <w:tcPr>
            <w:tcW w:w="1134" w:type="dxa"/>
            <w:vAlign w:val="bottom"/>
          </w:tcPr>
          <w:p w:rsidR="000566E0" w:rsidRDefault="000566E0" w:rsidP="000566E0">
            <w:pPr>
              <w:pStyle w:val="TableBodyText"/>
            </w:pPr>
          </w:p>
        </w:tc>
        <w:tc>
          <w:tcPr>
            <w:tcW w:w="1843" w:type="dxa"/>
            <w:vAlign w:val="bottom"/>
          </w:tcPr>
          <w:p w:rsidR="000566E0" w:rsidRPr="00165DAA" w:rsidRDefault="000566E0" w:rsidP="000566E0">
            <w:pPr>
              <w:pStyle w:val="TableBodyText"/>
              <w:ind w:right="0"/>
            </w:pPr>
          </w:p>
        </w:tc>
      </w:tr>
      <w:tr w:rsidR="000566E0" w:rsidTr="000566E0">
        <w:tc>
          <w:tcPr>
            <w:tcW w:w="3969" w:type="dxa"/>
          </w:tcPr>
          <w:p w:rsidR="000566E0" w:rsidRDefault="000566E0" w:rsidP="000566E0">
            <w:pPr>
              <w:pStyle w:val="TableBodyText"/>
              <w:ind w:firstLine="278"/>
              <w:jc w:val="left"/>
            </w:pPr>
            <w:r>
              <w:t>home duties/childcare</w:t>
            </w:r>
          </w:p>
        </w:tc>
        <w:tc>
          <w:tcPr>
            <w:tcW w:w="1843" w:type="dxa"/>
          </w:tcPr>
          <w:p w:rsidR="000566E0" w:rsidRDefault="000566E0" w:rsidP="000566E0">
            <w:pPr>
              <w:pStyle w:val="TableBodyText"/>
              <w:jc w:val="left"/>
            </w:pPr>
            <w:r>
              <w:t>% of NILF</w:t>
            </w:r>
          </w:p>
        </w:tc>
        <w:tc>
          <w:tcPr>
            <w:tcW w:w="1134" w:type="dxa"/>
            <w:vAlign w:val="bottom"/>
          </w:tcPr>
          <w:p w:rsidR="000566E0" w:rsidRDefault="000566E0" w:rsidP="000566E0">
            <w:pPr>
              <w:pStyle w:val="TableBodyText"/>
            </w:pPr>
            <w:r>
              <w:t>61.29</w:t>
            </w:r>
          </w:p>
        </w:tc>
        <w:tc>
          <w:tcPr>
            <w:tcW w:w="1843" w:type="dxa"/>
            <w:vAlign w:val="bottom"/>
          </w:tcPr>
          <w:p w:rsidR="000566E0" w:rsidRDefault="000566E0" w:rsidP="000566E0">
            <w:pPr>
              <w:pStyle w:val="TableBodyText"/>
              <w:ind w:right="0"/>
            </w:pPr>
            <w:r>
              <w:t>61.67</w:t>
            </w:r>
          </w:p>
        </w:tc>
      </w:tr>
      <w:tr w:rsidR="000566E0" w:rsidTr="000566E0">
        <w:tc>
          <w:tcPr>
            <w:tcW w:w="3969" w:type="dxa"/>
          </w:tcPr>
          <w:p w:rsidR="000566E0" w:rsidRDefault="000566E0" w:rsidP="000566E0">
            <w:pPr>
              <w:pStyle w:val="TableBodyText"/>
              <w:ind w:firstLine="278"/>
              <w:jc w:val="left"/>
            </w:pPr>
            <w:r>
              <w:t>study</w:t>
            </w:r>
          </w:p>
        </w:tc>
        <w:tc>
          <w:tcPr>
            <w:tcW w:w="1843" w:type="dxa"/>
          </w:tcPr>
          <w:p w:rsidR="000566E0" w:rsidRDefault="000566E0" w:rsidP="000566E0">
            <w:pPr>
              <w:pStyle w:val="TableBodyText"/>
              <w:jc w:val="left"/>
            </w:pPr>
            <w:r>
              <w:t>% of NILF</w:t>
            </w:r>
          </w:p>
        </w:tc>
        <w:tc>
          <w:tcPr>
            <w:tcW w:w="1134" w:type="dxa"/>
            <w:vAlign w:val="bottom"/>
          </w:tcPr>
          <w:p w:rsidR="000566E0" w:rsidRDefault="000566E0" w:rsidP="000566E0">
            <w:pPr>
              <w:pStyle w:val="TableBodyText"/>
            </w:pPr>
            <w:r>
              <w:t>4.84</w:t>
            </w:r>
          </w:p>
        </w:tc>
        <w:tc>
          <w:tcPr>
            <w:tcW w:w="1843" w:type="dxa"/>
            <w:vAlign w:val="bottom"/>
          </w:tcPr>
          <w:p w:rsidR="000566E0" w:rsidRDefault="000566E0" w:rsidP="000566E0">
            <w:pPr>
              <w:pStyle w:val="TableBodyText"/>
              <w:ind w:right="0"/>
            </w:pPr>
            <w:r>
              <w:t>5.92</w:t>
            </w:r>
          </w:p>
        </w:tc>
      </w:tr>
      <w:tr w:rsidR="000566E0" w:rsidTr="000566E0">
        <w:tc>
          <w:tcPr>
            <w:tcW w:w="3969" w:type="dxa"/>
            <w:shd w:val="clear" w:color="auto" w:fill="auto"/>
          </w:tcPr>
          <w:p w:rsidR="000566E0" w:rsidRDefault="000566E0" w:rsidP="000566E0">
            <w:pPr>
              <w:pStyle w:val="TableBodyText"/>
              <w:ind w:firstLine="278"/>
              <w:jc w:val="left"/>
            </w:pPr>
            <w:r>
              <w:t>marginally attached to labour force</w:t>
            </w:r>
          </w:p>
        </w:tc>
        <w:tc>
          <w:tcPr>
            <w:tcW w:w="1843" w:type="dxa"/>
            <w:shd w:val="clear" w:color="auto" w:fill="auto"/>
          </w:tcPr>
          <w:p w:rsidR="000566E0" w:rsidRDefault="000566E0" w:rsidP="000566E0">
            <w:pPr>
              <w:pStyle w:val="TableBodyText"/>
              <w:jc w:val="left"/>
            </w:pPr>
            <w:r>
              <w:t>% of NILF</w:t>
            </w:r>
          </w:p>
        </w:tc>
        <w:tc>
          <w:tcPr>
            <w:tcW w:w="1134" w:type="dxa"/>
            <w:vAlign w:val="bottom"/>
          </w:tcPr>
          <w:p w:rsidR="000566E0" w:rsidRDefault="000566E0" w:rsidP="000566E0">
            <w:pPr>
              <w:pStyle w:val="TableBodyText"/>
            </w:pPr>
            <w:r>
              <w:t>8.06</w:t>
            </w:r>
          </w:p>
        </w:tc>
        <w:tc>
          <w:tcPr>
            <w:tcW w:w="1843" w:type="dxa"/>
            <w:shd w:val="clear" w:color="auto" w:fill="auto"/>
            <w:vAlign w:val="bottom"/>
          </w:tcPr>
          <w:p w:rsidR="000566E0" w:rsidRDefault="000566E0" w:rsidP="000566E0">
            <w:pPr>
              <w:pStyle w:val="TableBodyText"/>
              <w:ind w:right="0"/>
            </w:pPr>
            <w:r>
              <w:t>2.79</w:t>
            </w:r>
          </w:p>
        </w:tc>
      </w:tr>
      <w:tr w:rsidR="000566E0" w:rsidTr="00722111">
        <w:tc>
          <w:tcPr>
            <w:tcW w:w="3969" w:type="dxa"/>
            <w:tcBorders>
              <w:bottom w:val="single" w:sz="6" w:space="0" w:color="auto"/>
            </w:tcBorders>
            <w:shd w:val="clear" w:color="auto" w:fill="auto"/>
          </w:tcPr>
          <w:p w:rsidR="000566E0" w:rsidRDefault="000566E0" w:rsidP="000566E0">
            <w:pPr>
              <w:pStyle w:val="TableBodyText"/>
              <w:ind w:firstLine="278"/>
              <w:jc w:val="left"/>
            </w:pPr>
            <w:r>
              <w:t>other reasons</w:t>
            </w:r>
            <w:r>
              <w:rPr>
                <w:rStyle w:val="NoteLabel"/>
              </w:rPr>
              <w:t>b</w:t>
            </w:r>
          </w:p>
        </w:tc>
        <w:tc>
          <w:tcPr>
            <w:tcW w:w="1843" w:type="dxa"/>
            <w:tcBorders>
              <w:bottom w:val="single" w:sz="6" w:space="0" w:color="auto"/>
            </w:tcBorders>
            <w:shd w:val="clear" w:color="auto" w:fill="auto"/>
            <w:vAlign w:val="bottom"/>
          </w:tcPr>
          <w:p w:rsidR="000566E0" w:rsidRDefault="000566E0" w:rsidP="00722111">
            <w:pPr>
              <w:pStyle w:val="TableBodyText"/>
              <w:jc w:val="left"/>
            </w:pPr>
            <w:r>
              <w:t>% of NILF</w:t>
            </w:r>
          </w:p>
        </w:tc>
        <w:tc>
          <w:tcPr>
            <w:tcW w:w="1134" w:type="dxa"/>
            <w:tcBorders>
              <w:bottom w:val="single" w:sz="6" w:space="0" w:color="auto"/>
            </w:tcBorders>
            <w:vAlign w:val="bottom"/>
          </w:tcPr>
          <w:p w:rsidR="000566E0" w:rsidRDefault="000566E0" w:rsidP="000566E0">
            <w:pPr>
              <w:pStyle w:val="TableBodyText"/>
            </w:pPr>
            <w:r>
              <w:t>25.81</w:t>
            </w:r>
          </w:p>
        </w:tc>
        <w:tc>
          <w:tcPr>
            <w:tcW w:w="1843" w:type="dxa"/>
            <w:tcBorders>
              <w:bottom w:val="single" w:sz="6" w:space="0" w:color="auto"/>
            </w:tcBorders>
            <w:shd w:val="clear" w:color="auto" w:fill="auto"/>
            <w:vAlign w:val="bottom"/>
          </w:tcPr>
          <w:p w:rsidR="000566E0" w:rsidRPr="00165DAA" w:rsidRDefault="000566E0" w:rsidP="000566E0">
            <w:pPr>
              <w:pStyle w:val="TableBodyText"/>
              <w:ind w:right="0"/>
            </w:pPr>
            <w:r>
              <w:t>29.62</w:t>
            </w:r>
          </w:p>
        </w:tc>
      </w:tr>
    </w:tbl>
    <w:p w:rsidR="000566E0" w:rsidRDefault="000566E0" w:rsidP="000566E0">
      <w:pPr>
        <w:pStyle w:val="Note"/>
      </w:pPr>
      <w:r w:rsidRPr="00DE4890">
        <w:rPr>
          <w:rStyle w:val="NoteLabel"/>
        </w:rPr>
        <w:t>a</w:t>
      </w:r>
      <w:r>
        <w:t xml:space="preserve"> Educational attainment has been classified as high (Bachelor </w:t>
      </w:r>
      <w:r w:rsidR="00D14EC0">
        <w:t>D</w:t>
      </w:r>
      <w:r>
        <w:t>egree or above), medium (Year 12, Certificate III/IV, Diploma or Advanced Diploma) and low (Certificate I/II, Certificate not defined, Year 11 or lower).  </w:t>
      </w:r>
      <w:r>
        <w:rPr>
          <w:rStyle w:val="NoteLabel"/>
        </w:rPr>
        <w:t>b</w:t>
      </w:r>
      <w:r>
        <w:t> May include caring for others with illness/disability, retirement/voluntarily inactive, own illness/disability (rendering the individual temporarily or permanently unable to work), travel/holidays/leisure activities, working in an unpaid voluntary job, or other (unspecified) activities.</w:t>
      </w:r>
    </w:p>
    <w:p w:rsidR="000566E0" w:rsidRDefault="000566E0" w:rsidP="000566E0">
      <w:pPr>
        <w:pStyle w:val="Source"/>
      </w:pPr>
      <w:r>
        <w:rPr>
          <w:i/>
        </w:rPr>
        <w:t>Source</w:t>
      </w:r>
      <w:r>
        <w:t xml:space="preserve">: </w:t>
      </w:r>
      <w:r w:rsidR="005C3704">
        <w:t xml:space="preserve">Authors’ estimates </w:t>
      </w:r>
      <w:r>
        <w:t>based on HILDA waves 1–10.</w:t>
      </w:r>
    </w:p>
    <w:p w:rsidR="008F013F" w:rsidRPr="008F013F" w:rsidRDefault="008F013F" w:rsidP="008F013F">
      <w:pPr>
        <w:pStyle w:val="BodyText"/>
      </w:pPr>
    </w:p>
    <w:p w:rsidR="000566E0" w:rsidRDefault="000566E0" w:rsidP="000566E0">
      <w:pPr>
        <w:pStyle w:val="TableTitle"/>
      </w:pPr>
      <w:r>
        <w:rPr>
          <w:b w:val="0"/>
        </w:rPr>
        <w:lastRenderedPageBreak/>
        <w:t xml:space="preserve">Table </w:t>
      </w:r>
      <w:bookmarkStart w:id="22" w:name="OLE_LINK16"/>
      <w:r w:rsidR="00121B7F">
        <w:rPr>
          <w:b w:val="0"/>
        </w:rPr>
        <w:t>3.</w:t>
      </w:r>
      <w:r w:rsidR="00C42746">
        <w:rPr>
          <w:b w:val="0"/>
          <w:noProof/>
        </w:rPr>
        <w:t>7</w:t>
      </w:r>
      <w:bookmarkEnd w:id="22"/>
      <w:r>
        <w:tab/>
        <w:t xml:space="preserve">Selected characteristics of activity patterns in the </w:t>
      </w:r>
      <w:r w:rsidRPr="00BF39A1">
        <w:rPr>
          <w:i/>
        </w:rPr>
        <w:t>W</w:t>
      </w:r>
      <w:r w:rsidR="00D44D55" w:rsidRPr="00BF39A1">
        <w:rPr>
          <w:i/>
        </w:rPr>
        <w:t>ork</w:t>
      </w:r>
      <w:r>
        <w:t xml:space="preserve"> pathway (young adults)</w:t>
      </w:r>
      <w:r w:rsidRPr="004106CD">
        <w:rPr>
          <w:rStyle w:val="NoteLabel"/>
          <w:b/>
        </w:rPr>
        <w:t>a</w:t>
      </w:r>
    </w:p>
    <w:tbl>
      <w:tblPr>
        <w:tblW w:w="0" w:type="auto"/>
        <w:tblLayout w:type="fixed"/>
        <w:tblCellMar>
          <w:left w:w="0" w:type="dxa"/>
          <w:right w:w="0" w:type="dxa"/>
        </w:tblCellMar>
        <w:tblLook w:val="0000" w:firstRow="0" w:lastRow="0" w:firstColumn="0" w:lastColumn="0" w:noHBand="0" w:noVBand="0"/>
      </w:tblPr>
      <w:tblGrid>
        <w:gridCol w:w="3544"/>
        <w:gridCol w:w="992"/>
        <w:gridCol w:w="993"/>
        <w:gridCol w:w="992"/>
        <w:gridCol w:w="850"/>
        <w:gridCol w:w="1418"/>
      </w:tblGrid>
      <w:tr w:rsidR="000566E0" w:rsidTr="00DE4EEF">
        <w:tc>
          <w:tcPr>
            <w:tcW w:w="3544" w:type="dxa"/>
            <w:tcBorders>
              <w:top w:val="single" w:sz="6" w:space="0" w:color="auto"/>
              <w:bottom w:val="single" w:sz="6" w:space="0" w:color="auto"/>
            </w:tcBorders>
            <w:shd w:val="clear" w:color="auto" w:fill="auto"/>
          </w:tcPr>
          <w:p w:rsidR="000566E0" w:rsidRDefault="000566E0" w:rsidP="000566E0">
            <w:pPr>
              <w:pStyle w:val="TableColumnHeading"/>
              <w:jc w:val="left"/>
            </w:pPr>
            <w:r>
              <w:t> </w:t>
            </w:r>
          </w:p>
        </w:tc>
        <w:tc>
          <w:tcPr>
            <w:tcW w:w="992" w:type="dxa"/>
            <w:tcBorders>
              <w:top w:val="single" w:sz="6" w:space="0" w:color="auto"/>
              <w:bottom w:val="single" w:sz="6" w:space="0" w:color="auto"/>
            </w:tcBorders>
            <w:shd w:val="clear" w:color="auto" w:fill="auto"/>
            <w:vAlign w:val="bottom"/>
          </w:tcPr>
          <w:p w:rsidR="000566E0" w:rsidRDefault="000566E0" w:rsidP="00DE4EEF">
            <w:pPr>
              <w:pStyle w:val="TableColumnHeading"/>
            </w:pPr>
            <w:r>
              <w:t>Work only</w:t>
            </w:r>
          </w:p>
        </w:tc>
        <w:tc>
          <w:tcPr>
            <w:tcW w:w="993" w:type="dxa"/>
            <w:tcBorders>
              <w:top w:val="single" w:sz="6" w:space="0" w:color="auto"/>
              <w:bottom w:val="single" w:sz="6" w:space="0" w:color="auto"/>
            </w:tcBorders>
            <w:shd w:val="clear" w:color="auto" w:fill="auto"/>
            <w:vAlign w:val="bottom"/>
          </w:tcPr>
          <w:p w:rsidR="000566E0" w:rsidRDefault="000566E0" w:rsidP="00DE4EEF">
            <w:pPr>
              <w:pStyle w:val="TableColumnHeading"/>
            </w:pPr>
            <w:r>
              <w:t>Work and study</w:t>
            </w:r>
          </w:p>
        </w:tc>
        <w:tc>
          <w:tcPr>
            <w:tcW w:w="992" w:type="dxa"/>
            <w:tcBorders>
              <w:top w:val="single" w:sz="6" w:space="0" w:color="auto"/>
              <w:bottom w:val="single" w:sz="6" w:space="0" w:color="auto"/>
            </w:tcBorders>
            <w:shd w:val="clear" w:color="auto" w:fill="auto"/>
            <w:vAlign w:val="bottom"/>
          </w:tcPr>
          <w:p w:rsidR="000566E0" w:rsidRDefault="000566E0" w:rsidP="00DE4EEF">
            <w:pPr>
              <w:pStyle w:val="TableColumnHeading"/>
            </w:pPr>
            <w:r>
              <w:t>Study only</w:t>
            </w:r>
          </w:p>
        </w:tc>
        <w:tc>
          <w:tcPr>
            <w:tcW w:w="850" w:type="dxa"/>
            <w:tcBorders>
              <w:top w:val="single" w:sz="6" w:space="0" w:color="auto"/>
              <w:bottom w:val="single" w:sz="6" w:space="0" w:color="auto"/>
            </w:tcBorders>
            <w:shd w:val="clear" w:color="auto" w:fill="auto"/>
            <w:vAlign w:val="bottom"/>
          </w:tcPr>
          <w:p w:rsidR="000566E0" w:rsidRDefault="000566E0" w:rsidP="00DE4EEF">
            <w:pPr>
              <w:pStyle w:val="TableColumnHeading"/>
            </w:pPr>
            <w:r>
              <w:t>NILF</w:t>
            </w:r>
          </w:p>
        </w:tc>
        <w:tc>
          <w:tcPr>
            <w:tcW w:w="1418" w:type="dxa"/>
            <w:tcBorders>
              <w:top w:val="single" w:sz="6" w:space="0" w:color="auto"/>
              <w:bottom w:val="single" w:sz="6" w:space="0" w:color="auto"/>
            </w:tcBorders>
            <w:shd w:val="clear" w:color="auto" w:fill="auto"/>
            <w:vAlign w:val="bottom"/>
          </w:tcPr>
          <w:p w:rsidR="000566E0" w:rsidRDefault="000566E0" w:rsidP="00DE4EEF">
            <w:pPr>
              <w:pStyle w:val="TableColumnHeading"/>
              <w:ind w:right="6"/>
            </w:pPr>
            <w:r>
              <w:t>Unemployment</w:t>
            </w:r>
          </w:p>
        </w:tc>
      </w:tr>
      <w:tr w:rsidR="000566E0" w:rsidTr="000566E0">
        <w:tc>
          <w:tcPr>
            <w:tcW w:w="3544" w:type="dxa"/>
          </w:tcPr>
          <w:p w:rsidR="000566E0" w:rsidRDefault="000566E0" w:rsidP="000566E0">
            <w:pPr>
              <w:pStyle w:val="TableBodyText"/>
              <w:jc w:val="left"/>
            </w:pPr>
            <w:r>
              <w:t>Average time in the activity (per cent)</w:t>
            </w:r>
          </w:p>
        </w:tc>
        <w:tc>
          <w:tcPr>
            <w:tcW w:w="992" w:type="dxa"/>
          </w:tcPr>
          <w:p w:rsidR="000566E0" w:rsidRDefault="000566E0" w:rsidP="000566E0">
            <w:pPr>
              <w:pStyle w:val="TableBodyText"/>
            </w:pPr>
            <w:r>
              <w:t>92.42</w:t>
            </w:r>
          </w:p>
        </w:tc>
        <w:tc>
          <w:tcPr>
            <w:tcW w:w="993" w:type="dxa"/>
          </w:tcPr>
          <w:p w:rsidR="000566E0" w:rsidRDefault="000566E0" w:rsidP="000566E0">
            <w:pPr>
              <w:pStyle w:val="TableBodyText"/>
            </w:pPr>
            <w:r>
              <w:t>3.98</w:t>
            </w:r>
          </w:p>
        </w:tc>
        <w:tc>
          <w:tcPr>
            <w:tcW w:w="992" w:type="dxa"/>
          </w:tcPr>
          <w:p w:rsidR="000566E0" w:rsidRDefault="000566E0" w:rsidP="000566E0">
            <w:pPr>
              <w:pStyle w:val="TableBodyText"/>
            </w:pPr>
            <w:r>
              <w:t>0.34</w:t>
            </w:r>
          </w:p>
        </w:tc>
        <w:tc>
          <w:tcPr>
            <w:tcW w:w="850" w:type="dxa"/>
          </w:tcPr>
          <w:p w:rsidR="000566E0" w:rsidRDefault="000566E0" w:rsidP="000566E0">
            <w:pPr>
              <w:pStyle w:val="TableBodyText"/>
            </w:pPr>
            <w:r>
              <w:t>2.27</w:t>
            </w:r>
          </w:p>
        </w:tc>
        <w:tc>
          <w:tcPr>
            <w:tcW w:w="1418" w:type="dxa"/>
          </w:tcPr>
          <w:p w:rsidR="000566E0" w:rsidRDefault="000566E0" w:rsidP="000566E0">
            <w:pPr>
              <w:pStyle w:val="TableBodyText"/>
              <w:ind w:right="0"/>
            </w:pPr>
            <w:r>
              <w:t>0.99</w:t>
            </w:r>
          </w:p>
        </w:tc>
      </w:tr>
      <w:tr w:rsidR="000566E0" w:rsidTr="000566E0">
        <w:tc>
          <w:tcPr>
            <w:tcW w:w="3544" w:type="dxa"/>
          </w:tcPr>
          <w:p w:rsidR="000566E0" w:rsidRDefault="000566E0" w:rsidP="000566E0">
            <w:pPr>
              <w:pStyle w:val="TableBodyText"/>
              <w:jc w:val="left"/>
            </w:pPr>
            <w:r>
              <w:t xml:space="preserve">Share of path with at least one spell of the activity </w:t>
            </w:r>
          </w:p>
        </w:tc>
        <w:tc>
          <w:tcPr>
            <w:tcW w:w="992" w:type="dxa"/>
          </w:tcPr>
          <w:p w:rsidR="000566E0" w:rsidRDefault="000566E0" w:rsidP="000566E0">
            <w:pPr>
              <w:pStyle w:val="TableBodyText"/>
            </w:pPr>
            <w:r>
              <w:t>100.00</w:t>
            </w:r>
          </w:p>
        </w:tc>
        <w:tc>
          <w:tcPr>
            <w:tcW w:w="993" w:type="dxa"/>
          </w:tcPr>
          <w:p w:rsidR="000566E0" w:rsidRDefault="000566E0" w:rsidP="000566E0">
            <w:pPr>
              <w:pStyle w:val="TableBodyText"/>
            </w:pPr>
            <w:r>
              <w:t>39.94</w:t>
            </w:r>
          </w:p>
        </w:tc>
        <w:tc>
          <w:tcPr>
            <w:tcW w:w="992" w:type="dxa"/>
          </w:tcPr>
          <w:p w:rsidR="000566E0" w:rsidRDefault="000566E0" w:rsidP="000566E0">
            <w:pPr>
              <w:pStyle w:val="TableBodyText"/>
            </w:pPr>
            <w:r>
              <w:t>6.68</w:t>
            </w:r>
          </w:p>
        </w:tc>
        <w:tc>
          <w:tcPr>
            <w:tcW w:w="850" w:type="dxa"/>
          </w:tcPr>
          <w:p w:rsidR="000566E0" w:rsidRDefault="000566E0" w:rsidP="000566E0">
            <w:pPr>
              <w:pStyle w:val="TableBodyText"/>
            </w:pPr>
            <w:r>
              <w:t>28.93</w:t>
            </w:r>
          </w:p>
        </w:tc>
        <w:tc>
          <w:tcPr>
            <w:tcW w:w="1418" w:type="dxa"/>
          </w:tcPr>
          <w:p w:rsidR="000566E0" w:rsidRDefault="000566E0" w:rsidP="000566E0">
            <w:pPr>
              <w:pStyle w:val="TableBodyText"/>
              <w:ind w:right="0"/>
            </w:pPr>
            <w:r>
              <w:t>22.73</w:t>
            </w:r>
          </w:p>
        </w:tc>
      </w:tr>
      <w:tr w:rsidR="000566E0" w:rsidTr="000566E0">
        <w:tc>
          <w:tcPr>
            <w:tcW w:w="8789" w:type="dxa"/>
            <w:gridSpan w:val="6"/>
          </w:tcPr>
          <w:p w:rsidR="000566E0" w:rsidRDefault="000566E0" w:rsidP="000566E0">
            <w:pPr>
              <w:pStyle w:val="TableBodyText"/>
              <w:ind w:right="0"/>
              <w:jc w:val="left"/>
            </w:pPr>
            <w:r>
              <w:t>Conditional on at least one spell of the activity:</w:t>
            </w:r>
          </w:p>
        </w:tc>
      </w:tr>
      <w:tr w:rsidR="000566E0" w:rsidTr="000566E0">
        <w:tc>
          <w:tcPr>
            <w:tcW w:w="3544" w:type="dxa"/>
          </w:tcPr>
          <w:p w:rsidR="000566E0" w:rsidRDefault="000566E0" w:rsidP="000566E0">
            <w:pPr>
              <w:pStyle w:val="TableBodyText"/>
              <w:ind w:left="142"/>
              <w:jc w:val="left"/>
            </w:pPr>
            <w:r>
              <w:t>average number of spells</w:t>
            </w:r>
          </w:p>
        </w:tc>
        <w:tc>
          <w:tcPr>
            <w:tcW w:w="992" w:type="dxa"/>
          </w:tcPr>
          <w:p w:rsidR="000566E0" w:rsidRDefault="000566E0" w:rsidP="000566E0">
            <w:pPr>
              <w:pStyle w:val="TableBodyText"/>
            </w:pPr>
            <w:r>
              <w:t>2.06</w:t>
            </w:r>
          </w:p>
        </w:tc>
        <w:tc>
          <w:tcPr>
            <w:tcW w:w="993" w:type="dxa"/>
          </w:tcPr>
          <w:p w:rsidR="000566E0" w:rsidRDefault="000566E0" w:rsidP="000566E0">
            <w:pPr>
              <w:pStyle w:val="TableBodyText"/>
            </w:pPr>
            <w:r>
              <w:t>1.63</w:t>
            </w:r>
          </w:p>
        </w:tc>
        <w:tc>
          <w:tcPr>
            <w:tcW w:w="992" w:type="dxa"/>
          </w:tcPr>
          <w:p w:rsidR="000566E0" w:rsidRDefault="000566E0" w:rsidP="000566E0">
            <w:pPr>
              <w:pStyle w:val="TableBodyText"/>
            </w:pPr>
            <w:r>
              <w:t>1.31</w:t>
            </w:r>
          </w:p>
        </w:tc>
        <w:tc>
          <w:tcPr>
            <w:tcW w:w="850" w:type="dxa"/>
          </w:tcPr>
          <w:p w:rsidR="000566E0" w:rsidRDefault="000566E0" w:rsidP="000566E0">
            <w:pPr>
              <w:pStyle w:val="TableBodyText"/>
            </w:pPr>
            <w:r>
              <w:t>1.59</w:t>
            </w:r>
          </w:p>
        </w:tc>
        <w:tc>
          <w:tcPr>
            <w:tcW w:w="1418" w:type="dxa"/>
          </w:tcPr>
          <w:p w:rsidR="000566E0" w:rsidRDefault="000566E0" w:rsidP="000566E0">
            <w:pPr>
              <w:pStyle w:val="TableBodyText"/>
              <w:ind w:right="0"/>
            </w:pPr>
            <w:r>
              <w:t>1.55</w:t>
            </w:r>
          </w:p>
        </w:tc>
      </w:tr>
      <w:tr w:rsidR="000566E0" w:rsidTr="000566E0">
        <w:tc>
          <w:tcPr>
            <w:tcW w:w="3544" w:type="dxa"/>
            <w:tcBorders>
              <w:bottom w:val="single" w:sz="6" w:space="0" w:color="auto"/>
            </w:tcBorders>
          </w:tcPr>
          <w:p w:rsidR="000566E0" w:rsidRDefault="000566E0" w:rsidP="000566E0">
            <w:pPr>
              <w:pStyle w:val="TableBodyText"/>
              <w:ind w:left="142"/>
              <w:jc w:val="left"/>
            </w:pPr>
            <w:r>
              <w:t>average length of spell (months)</w:t>
            </w:r>
          </w:p>
        </w:tc>
        <w:tc>
          <w:tcPr>
            <w:tcW w:w="992" w:type="dxa"/>
            <w:tcBorders>
              <w:bottom w:val="single" w:sz="6" w:space="0" w:color="auto"/>
            </w:tcBorders>
            <w:shd w:val="clear" w:color="auto" w:fill="auto"/>
          </w:tcPr>
          <w:p w:rsidR="000566E0" w:rsidRDefault="000566E0" w:rsidP="000566E0">
            <w:pPr>
              <w:pStyle w:val="TableBodyText"/>
            </w:pPr>
            <w:r>
              <w:t>53.79</w:t>
            </w:r>
          </w:p>
        </w:tc>
        <w:tc>
          <w:tcPr>
            <w:tcW w:w="993" w:type="dxa"/>
            <w:tcBorders>
              <w:bottom w:val="single" w:sz="6" w:space="0" w:color="auto"/>
            </w:tcBorders>
            <w:shd w:val="clear" w:color="auto" w:fill="auto"/>
          </w:tcPr>
          <w:p w:rsidR="000566E0" w:rsidRDefault="000566E0" w:rsidP="000566E0">
            <w:pPr>
              <w:pStyle w:val="TableBodyText"/>
            </w:pPr>
            <w:r>
              <w:t>7.35</w:t>
            </w:r>
          </w:p>
        </w:tc>
        <w:tc>
          <w:tcPr>
            <w:tcW w:w="992" w:type="dxa"/>
            <w:tcBorders>
              <w:bottom w:val="single" w:sz="6" w:space="0" w:color="auto"/>
            </w:tcBorders>
            <w:shd w:val="clear" w:color="auto" w:fill="auto"/>
          </w:tcPr>
          <w:p w:rsidR="000566E0" w:rsidRDefault="000566E0" w:rsidP="000566E0">
            <w:pPr>
              <w:pStyle w:val="TableBodyText"/>
            </w:pPr>
            <w:r>
              <w:t>4.65</w:t>
            </w:r>
          </w:p>
        </w:tc>
        <w:tc>
          <w:tcPr>
            <w:tcW w:w="850" w:type="dxa"/>
            <w:tcBorders>
              <w:bottom w:val="single" w:sz="6" w:space="0" w:color="auto"/>
            </w:tcBorders>
            <w:shd w:val="clear" w:color="auto" w:fill="auto"/>
          </w:tcPr>
          <w:p w:rsidR="000566E0" w:rsidRDefault="000566E0" w:rsidP="000566E0">
            <w:pPr>
              <w:pStyle w:val="TableBodyText"/>
            </w:pPr>
            <w:r>
              <w:t>5.93</w:t>
            </w:r>
          </w:p>
        </w:tc>
        <w:tc>
          <w:tcPr>
            <w:tcW w:w="1418" w:type="dxa"/>
            <w:tcBorders>
              <w:bottom w:val="single" w:sz="6" w:space="0" w:color="auto"/>
            </w:tcBorders>
            <w:shd w:val="clear" w:color="auto" w:fill="auto"/>
          </w:tcPr>
          <w:p w:rsidR="000566E0" w:rsidRDefault="000566E0" w:rsidP="000566E0">
            <w:pPr>
              <w:pStyle w:val="TableBodyText"/>
              <w:ind w:right="0"/>
            </w:pPr>
            <w:r>
              <w:t>3.36</w:t>
            </w:r>
          </w:p>
        </w:tc>
      </w:tr>
    </w:tbl>
    <w:p w:rsidR="000566E0" w:rsidRDefault="00A310CE" w:rsidP="000566E0">
      <w:pPr>
        <w:pStyle w:val="Note"/>
      </w:pPr>
      <w:r>
        <w:rPr>
          <w:rStyle w:val="NoteLabel"/>
        </w:rPr>
        <w:t>a</w:t>
      </w:r>
      <w:r>
        <w:t> </w:t>
      </w:r>
      <w:r w:rsidR="000566E0">
        <w:t>Pathway size 1452 (63.4 per cent of young adults); average number of activities 1.98.</w:t>
      </w:r>
    </w:p>
    <w:p w:rsidR="000566E0" w:rsidRPr="00F257C3" w:rsidRDefault="000566E0" w:rsidP="000566E0">
      <w:pPr>
        <w:pStyle w:val="Source"/>
      </w:pPr>
      <w:r>
        <w:rPr>
          <w:i/>
        </w:rPr>
        <w:t>Source</w:t>
      </w:r>
      <w:r>
        <w:t xml:space="preserve">: </w:t>
      </w:r>
      <w:r w:rsidR="005C3704">
        <w:t xml:space="preserve">Authors’ estimates </w:t>
      </w:r>
      <w:r>
        <w:t>based on HILDA waves 1–10.</w:t>
      </w:r>
    </w:p>
    <w:p w:rsidR="00DE5B40" w:rsidRDefault="00DE5B40" w:rsidP="00DE5B40">
      <w:pPr>
        <w:pStyle w:val="Heading3"/>
      </w:pPr>
      <w:r>
        <w:t xml:space="preserve">Young adults in the </w:t>
      </w:r>
      <w:r w:rsidRPr="003C2423">
        <w:rPr>
          <w:i/>
        </w:rPr>
        <w:t>NILF to Work</w:t>
      </w:r>
      <w:r>
        <w:t xml:space="preserve"> pathway</w:t>
      </w:r>
    </w:p>
    <w:p w:rsidR="00C047A8" w:rsidRDefault="00C047A8" w:rsidP="00C047A8">
      <w:pPr>
        <w:pStyle w:val="BodyText"/>
      </w:pPr>
      <w:r>
        <w:t xml:space="preserve">The </w:t>
      </w:r>
      <w:r w:rsidRPr="00EB1540">
        <w:rPr>
          <w:i/>
        </w:rPr>
        <w:t>NILF to Work</w:t>
      </w:r>
      <w:r>
        <w:t xml:space="preserve"> pathway </w:t>
      </w:r>
      <w:r w:rsidR="00573895">
        <w:t>represents</w:t>
      </w:r>
      <w:r>
        <w:t xml:space="preserve"> a relatively small proportion of</w:t>
      </w:r>
      <w:r w:rsidRPr="009860E2">
        <w:t xml:space="preserve"> </w:t>
      </w:r>
      <w:r>
        <w:t>young adults (about 12 per cent</w:t>
      </w:r>
      <w:r w:rsidR="0016482E">
        <w:t>)</w:t>
      </w:r>
      <w:r w:rsidR="00A67709" w:rsidRPr="00A67709">
        <w:t xml:space="preserve"> </w:t>
      </w:r>
      <w:r w:rsidR="00A67709">
        <w:t>(table </w:t>
      </w:r>
      <w:r w:rsidR="00121B7F">
        <w:t>3.9</w:t>
      </w:r>
      <w:r w:rsidR="00BB0004">
        <w:t xml:space="preserve"> below</w:t>
      </w:r>
      <w:r w:rsidR="00A67709">
        <w:t>)</w:t>
      </w:r>
      <w:r>
        <w:t>. The average age in 2001 is 32.3</w:t>
      </w:r>
      <w:r w:rsidR="00A67709">
        <w:t> </w:t>
      </w:r>
      <w:r>
        <w:t>years</w:t>
      </w:r>
      <w:r w:rsidR="0016482E">
        <w:t xml:space="preserve"> (table </w:t>
      </w:r>
      <w:r w:rsidR="00121B7F">
        <w:t>3.8</w:t>
      </w:r>
      <w:r w:rsidR="00BB0004">
        <w:t xml:space="preserve"> below</w:t>
      </w:r>
      <w:r w:rsidR="0016482E">
        <w:t>)</w:t>
      </w:r>
      <w:r>
        <w:t xml:space="preserve">. Women </w:t>
      </w:r>
      <w:r w:rsidR="008C6B99">
        <w:t>are predominant</w:t>
      </w:r>
      <w:r>
        <w:t xml:space="preserve"> (81 per cent) and the pathway is characterised </w:t>
      </w:r>
      <w:r w:rsidR="0091052B">
        <w:t xml:space="preserve">mostly </w:t>
      </w:r>
      <w:r>
        <w:t>by a progression from NILF to work</w:t>
      </w:r>
      <w:r w:rsidR="0016482E">
        <w:t xml:space="preserve"> (figure </w:t>
      </w:r>
      <w:r w:rsidR="00121B7F">
        <w:t>3.5</w:t>
      </w:r>
      <w:r w:rsidR="00BB0004">
        <w:t xml:space="preserve"> below</w:t>
      </w:r>
      <w:r w:rsidR="0016482E">
        <w:t>)</w:t>
      </w:r>
      <w:r>
        <w:t>. This transition is primarily characterised by women re</w:t>
      </w:r>
      <w:r w:rsidR="00914827">
        <w:noBreakHyphen/>
      </w:r>
      <w:r>
        <w:t>entering the workforce after taking time</w:t>
      </w:r>
      <w:r w:rsidR="00443004">
        <w:t xml:space="preserve"> </w:t>
      </w:r>
      <w:r>
        <w:t xml:space="preserve">out to rear children. There is also some study and somewhat higher unemployment in 2001 than in other parts of the young adult segment. By 2010, the percentage of those in unemployment and NILF is representative of the young adult segment </w:t>
      </w:r>
      <w:r w:rsidR="008C6B99">
        <w:t xml:space="preserve">— </w:t>
      </w:r>
      <w:r>
        <w:t>about 1</w:t>
      </w:r>
      <w:r w:rsidR="009F54C1">
        <w:t>5</w:t>
      </w:r>
      <w:r w:rsidR="00E61517">
        <w:t> </w:t>
      </w:r>
      <w:r>
        <w:t>per cent</w:t>
      </w:r>
      <w:r w:rsidR="009F54C1">
        <w:t xml:space="preserve"> (table </w:t>
      </w:r>
      <w:r w:rsidR="00121B7F">
        <w:t>3.8</w:t>
      </w:r>
      <w:r w:rsidR="009F54C1">
        <w:t>)</w:t>
      </w:r>
      <w:r>
        <w:t>.</w:t>
      </w:r>
    </w:p>
    <w:p w:rsidR="00C047A8" w:rsidRDefault="00C047A8" w:rsidP="00C047A8">
      <w:pPr>
        <w:pStyle w:val="BodyText"/>
      </w:pPr>
      <w:r>
        <w:t>In</w:t>
      </w:r>
      <w:r w:rsidR="007D1AE9">
        <w:t xml:space="preserve"> 2001</w:t>
      </w:r>
      <w:r>
        <w:t xml:space="preserve">, </w:t>
      </w:r>
      <w:r w:rsidR="007D1AE9">
        <w:t>61</w:t>
      </w:r>
      <w:r>
        <w:t xml:space="preserve"> per cent of individuals in this pathway are </w:t>
      </w:r>
      <w:r w:rsidR="003F6024">
        <w:t>NILF</w:t>
      </w:r>
      <w:r w:rsidR="0034760C">
        <w:t xml:space="preserve"> (this general characteristic gave rise to the label of </w:t>
      </w:r>
      <w:r w:rsidR="0034760C" w:rsidRPr="0034760C">
        <w:rPr>
          <w:i/>
        </w:rPr>
        <w:t>NILF to Work</w:t>
      </w:r>
      <w:r w:rsidR="0034760C">
        <w:t>)</w:t>
      </w:r>
      <w:r>
        <w:t>. This is mostly attributed to having children (8</w:t>
      </w:r>
      <w:r w:rsidR="00C71FEF">
        <w:t>0</w:t>
      </w:r>
      <w:r>
        <w:t xml:space="preserve"> per cent)</w:t>
      </w:r>
      <w:r w:rsidR="00C1412F">
        <w:t xml:space="preserve"> (table </w:t>
      </w:r>
      <w:r w:rsidR="00121B7F">
        <w:t>3.8</w:t>
      </w:r>
      <w:r w:rsidR="00C1412F">
        <w:t>)</w:t>
      </w:r>
      <w:r>
        <w:t xml:space="preserve">. </w:t>
      </w:r>
      <w:r w:rsidR="007D1AE9">
        <w:t xml:space="preserve">However, </w:t>
      </w:r>
      <w:r w:rsidR="00314C76">
        <w:t xml:space="preserve">a separate analysis revealed that </w:t>
      </w:r>
      <w:r w:rsidR="007D1AE9">
        <w:t xml:space="preserve">20 per cent of women in this pathway who have children aged </w:t>
      </w:r>
      <w:r w:rsidR="00573895">
        <w:t>less than</w:t>
      </w:r>
      <w:r w:rsidR="007D1AE9">
        <w:t xml:space="preserve"> 15 years in 2001 are employed</w:t>
      </w:r>
      <w:r w:rsidR="00345BE4">
        <w:t xml:space="preserve"> (not shown</w:t>
      </w:r>
      <w:r w:rsidR="00314C76">
        <w:t>)</w:t>
      </w:r>
      <w:r w:rsidR="007D1AE9">
        <w:t xml:space="preserve">. </w:t>
      </w:r>
      <w:r w:rsidR="00114572">
        <w:t>For women with children, the average age of the youngest child in 2001 is almost 3</w:t>
      </w:r>
      <w:r w:rsidR="003F6024">
        <w:t> </w:t>
      </w:r>
      <w:r w:rsidR="00114572">
        <w:t xml:space="preserve">years for women who are </w:t>
      </w:r>
      <w:r w:rsidR="003F6024">
        <w:t>NILF</w:t>
      </w:r>
      <w:r w:rsidR="00114572">
        <w:t xml:space="preserve"> but </w:t>
      </w:r>
      <w:r w:rsidR="00B0056C">
        <w:t>slightly older (3.6</w:t>
      </w:r>
      <w:r w:rsidR="00A310CE">
        <w:t> </w:t>
      </w:r>
      <w:r w:rsidR="00B0056C">
        <w:t>years) for women who are employed. In 2001, the children of unemployed women have an average age of 5.1</w:t>
      </w:r>
      <w:r w:rsidR="003F6024">
        <w:t> </w:t>
      </w:r>
      <w:r w:rsidR="00B0056C">
        <w:t xml:space="preserve">years. </w:t>
      </w:r>
      <w:r w:rsidR="0086434A">
        <w:t>Among the women with children in this pathway, about 82</w:t>
      </w:r>
      <w:r w:rsidR="003F6024">
        <w:t> </w:t>
      </w:r>
      <w:r w:rsidR="0086434A">
        <w:t>per cent were either legally married or in a de facto relationship in 2001</w:t>
      </w:r>
      <w:r w:rsidR="00345BE4">
        <w:t>,</w:t>
      </w:r>
      <w:r w:rsidR="0086434A">
        <w:t xml:space="preserve"> irrespective of whether they were employed or </w:t>
      </w:r>
      <w:r w:rsidR="000E7AFC">
        <w:t>NILF</w:t>
      </w:r>
      <w:r w:rsidR="008E7308">
        <w:t xml:space="preserve"> (not </w:t>
      </w:r>
      <w:r w:rsidR="00345BE4">
        <w:t>shown</w:t>
      </w:r>
      <w:r w:rsidR="008E7308">
        <w:t>)</w:t>
      </w:r>
      <w:r w:rsidR="0086434A">
        <w:t>.</w:t>
      </w:r>
    </w:p>
    <w:p w:rsidR="00971861" w:rsidRDefault="00971861" w:rsidP="00971861">
      <w:pPr>
        <w:pStyle w:val="BodyText"/>
      </w:pPr>
      <w:r>
        <w:t xml:space="preserve">In 2001, 82 per cent of the women in this pathway have at least one child aged </w:t>
      </w:r>
      <w:r w:rsidR="00406870">
        <w:t>less than</w:t>
      </w:r>
      <w:r>
        <w:t xml:space="preserve"> 15 years, and 63 per cent have at least one child aged </w:t>
      </w:r>
      <w:r w:rsidR="00406870">
        <w:t>less than</w:t>
      </w:r>
      <w:r>
        <w:t xml:space="preserve"> </w:t>
      </w:r>
      <w:r w:rsidR="007E4CFD">
        <w:t>5</w:t>
      </w:r>
      <w:r>
        <w:t xml:space="preserve"> years. At the same time, among the mothers in this pathway, 75 per cent are NILF and 20</w:t>
      </w:r>
      <w:r w:rsidR="00345BE4">
        <w:t> </w:t>
      </w:r>
      <w:r>
        <w:t>per</w:t>
      </w:r>
      <w:r w:rsidR="00345BE4">
        <w:t> </w:t>
      </w:r>
      <w:r>
        <w:t xml:space="preserve">cent are employed. By 2010, many of those children are no longer aged </w:t>
      </w:r>
      <w:r w:rsidR="00406870">
        <w:t xml:space="preserve">less than </w:t>
      </w:r>
      <w:r>
        <w:t xml:space="preserve">15 (or, in some cases, no longer reside in the household), although births add to the number of children aged </w:t>
      </w:r>
      <w:r w:rsidR="00C12CC8">
        <w:t>less than</w:t>
      </w:r>
      <w:r>
        <w:t xml:space="preserve"> 10 years. As a result of th</w:t>
      </w:r>
      <w:r w:rsidR="00324073">
        <w:t>ese developments</w:t>
      </w:r>
      <w:r>
        <w:t xml:space="preserve">, </w:t>
      </w:r>
      <w:r>
        <w:lastRenderedPageBreak/>
        <w:t xml:space="preserve">in 2010, 77 per cent of women in this pathway have at least one child aged </w:t>
      </w:r>
      <w:r w:rsidR="00406870">
        <w:t>less than</w:t>
      </w:r>
      <w:r>
        <w:t xml:space="preserve"> 15 years but only 7.5 per cent have one or more children aged </w:t>
      </w:r>
      <w:r w:rsidR="00406870">
        <w:t>less than</w:t>
      </w:r>
      <w:r>
        <w:t xml:space="preserve"> 5 years. </w:t>
      </w:r>
      <w:r w:rsidR="0034760C">
        <w:t xml:space="preserve">As </w:t>
      </w:r>
      <w:r>
        <w:t>their children</w:t>
      </w:r>
      <w:r w:rsidR="0034760C">
        <w:t xml:space="preserve"> age</w:t>
      </w:r>
      <w:r>
        <w:t>, many women re</w:t>
      </w:r>
      <w:r w:rsidR="00914827">
        <w:noBreakHyphen/>
      </w:r>
      <w:r>
        <w:t xml:space="preserve">enter the labour force. By 2010, 86 per cent of the women with children aged </w:t>
      </w:r>
      <w:r w:rsidR="00406870">
        <w:t>less than</w:t>
      </w:r>
      <w:r>
        <w:t xml:space="preserve"> 15 years are employed and only 11</w:t>
      </w:r>
      <w:r w:rsidR="00A310CE">
        <w:t> </w:t>
      </w:r>
      <w:r>
        <w:t>per cent are NILF</w:t>
      </w:r>
      <w:r w:rsidR="008E7308">
        <w:t xml:space="preserve"> (not </w:t>
      </w:r>
      <w:r w:rsidR="00345BE4">
        <w:t>shown</w:t>
      </w:r>
      <w:r w:rsidR="008E7308">
        <w:t>)</w:t>
      </w:r>
      <w:r>
        <w:t>.</w:t>
      </w:r>
    </w:p>
    <w:p w:rsidR="00C047A8" w:rsidRDefault="00C047A8" w:rsidP="00C047A8">
      <w:pPr>
        <w:pStyle w:val="BodyText"/>
      </w:pPr>
      <w:r>
        <w:t>By 2010, 91 per cent of individuals in this pathway have averaged 2.08 spells of NILF lasting 17 months per spell</w:t>
      </w:r>
      <w:r w:rsidR="008E7308">
        <w:t xml:space="preserve"> (</w:t>
      </w:r>
      <w:r w:rsidR="004C2CAF">
        <w:t>table </w:t>
      </w:r>
      <w:r w:rsidR="00121B7F">
        <w:t>3.9</w:t>
      </w:r>
      <w:r w:rsidR="004C2CAF">
        <w:t>)</w:t>
      </w:r>
      <w:r>
        <w:t>. The NILF rate has reduced to 11</w:t>
      </w:r>
      <w:r w:rsidR="00345BE4">
        <w:t> </w:t>
      </w:r>
      <w:r>
        <w:t>per</w:t>
      </w:r>
      <w:r w:rsidR="00345BE4">
        <w:t> </w:t>
      </w:r>
      <w:r>
        <w:t xml:space="preserve">cent </w:t>
      </w:r>
      <w:r w:rsidR="004C2CAF">
        <w:t>(</w:t>
      </w:r>
      <w:r w:rsidR="00551C78">
        <w:t>table</w:t>
      </w:r>
      <w:r w:rsidR="004C2CAF">
        <w:t> </w:t>
      </w:r>
      <w:r w:rsidR="00551C78">
        <w:t>3.8</w:t>
      </w:r>
      <w:r w:rsidR="004C2CAF">
        <w:t xml:space="preserve">) </w:t>
      </w:r>
      <w:r>
        <w:t>and study</w:t>
      </w:r>
      <w:r w:rsidR="00345BE4">
        <w:t>,</w:t>
      </w:r>
      <w:r>
        <w:t xml:space="preserve"> disability, caring for others with illness or disability, and retirement have become the main reasons for NILF. As mentioned, by 2010 the proportion of young adults in work (85.3 per cent) is virtually identical to that of the entire young adult </w:t>
      </w:r>
      <w:r w:rsidR="00C71FEF">
        <w:t>segment</w:t>
      </w:r>
      <w:r>
        <w:t xml:space="preserve"> (85.1 per cent)</w:t>
      </w:r>
      <w:r w:rsidR="009F54C1">
        <w:t xml:space="preserve"> (table </w:t>
      </w:r>
      <w:r w:rsidR="00121B7F">
        <w:t>3.8</w:t>
      </w:r>
      <w:r w:rsidR="009F54C1">
        <w:t>)</w:t>
      </w:r>
      <w:r>
        <w:t>.</w:t>
      </w:r>
    </w:p>
    <w:p w:rsidR="00C047A8" w:rsidRDefault="00C047A8" w:rsidP="00C047A8">
      <w:pPr>
        <w:pStyle w:val="BodyText"/>
      </w:pPr>
      <w:r>
        <w:t>Although 37 per cent of individuals begin in work only</w:t>
      </w:r>
      <w:r w:rsidR="00C2507F">
        <w:t xml:space="preserve"> (figure </w:t>
      </w:r>
      <w:r w:rsidR="00121B7F">
        <w:t>3.5</w:t>
      </w:r>
      <w:r w:rsidR="00C2507F">
        <w:t>)</w:t>
      </w:r>
      <w:r>
        <w:t xml:space="preserve">, by 2010 nearly all have </w:t>
      </w:r>
      <w:r w:rsidR="00071B04">
        <w:t xml:space="preserve">has spells of work only, </w:t>
      </w:r>
      <w:r>
        <w:t>averag</w:t>
      </w:r>
      <w:r w:rsidR="00071B04">
        <w:t>ing</w:t>
      </w:r>
      <w:r>
        <w:t xml:space="preserve"> 2.95 spells of 22 months per spell</w:t>
      </w:r>
      <w:r w:rsidR="00C2507F">
        <w:t xml:space="preserve"> (table </w:t>
      </w:r>
      <w:r w:rsidR="00121B7F">
        <w:t>3.9</w:t>
      </w:r>
      <w:r w:rsidR="00C2507F">
        <w:t>)</w:t>
      </w:r>
      <w:r>
        <w:t>. In 2010, 85 per cent are employed (mostly without study)</w:t>
      </w:r>
      <w:r w:rsidR="00C2507F">
        <w:t xml:space="preserve"> (figure </w:t>
      </w:r>
      <w:r w:rsidR="00121B7F">
        <w:t>3.5</w:t>
      </w:r>
      <w:r w:rsidR="00C2507F">
        <w:t>)</w:t>
      </w:r>
      <w:r>
        <w:t>.</w:t>
      </w:r>
      <w:r w:rsidR="007B5420">
        <w:t xml:space="preserve"> In this pathway, 47 per cent of individuals were women who were NILF in 2001 and employed in 2010. These women tended to work in fairly low</w:t>
      </w:r>
      <w:r w:rsidR="00914827">
        <w:noBreakHyphen/>
      </w:r>
      <w:r w:rsidR="007B5420">
        <w:t>skilled occupations, with 39 per cent working as carers/aides, sales assistants or cleaners/laundry workers</w:t>
      </w:r>
      <w:r w:rsidR="00C2507F">
        <w:t xml:space="preserve"> (not </w:t>
      </w:r>
      <w:r w:rsidR="00551C78">
        <w:t>shown</w:t>
      </w:r>
      <w:r w:rsidR="00C2507F">
        <w:t>)</w:t>
      </w:r>
      <w:r w:rsidR="007B5420">
        <w:t>.</w:t>
      </w:r>
    </w:p>
    <w:p w:rsidR="00C047A8" w:rsidRDefault="00C047A8" w:rsidP="00C047A8">
      <w:pPr>
        <w:pStyle w:val="BodyText"/>
      </w:pPr>
      <w:r>
        <w:t xml:space="preserve">Unemployment is </w:t>
      </w:r>
      <w:r w:rsidR="00324073">
        <w:t xml:space="preserve">relatively </w:t>
      </w:r>
      <w:r>
        <w:t>common</w:t>
      </w:r>
      <w:r w:rsidR="00551C78">
        <w:t xml:space="preserve"> among the individuals in this pathway</w:t>
      </w:r>
      <w:r>
        <w:t>. In 2001</w:t>
      </w:r>
      <w:r w:rsidR="00551C78">
        <w:t>,</w:t>
      </w:r>
      <w:r>
        <w:t xml:space="preserve"> this pathway has the highest unemployment of young adults (9.3 per cent)</w:t>
      </w:r>
      <w:r w:rsidR="003B1994" w:rsidRPr="003B1994">
        <w:t xml:space="preserve"> </w:t>
      </w:r>
      <w:r w:rsidR="003B1994">
        <w:t>(table </w:t>
      </w:r>
      <w:r w:rsidR="00121B7F">
        <w:t>3.8</w:t>
      </w:r>
      <w:r w:rsidR="003B1994">
        <w:t>)</w:t>
      </w:r>
      <w:r>
        <w:t>. Over the next ten years, 61</w:t>
      </w:r>
      <w:r w:rsidR="00C2507F">
        <w:t> </w:t>
      </w:r>
      <w:r>
        <w:t xml:space="preserve">per cent of individuals in this pathway average 2.4 spells of unemployment lasting </w:t>
      </w:r>
      <w:r w:rsidR="007E4CFD">
        <w:t>seven</w:t>
      </w:r>
      <w:r>
        <w:t xml:space="preserve"> months per spell</w:t>
      </w:r>
      <w:r w:rsidR="00C2507F">
        <w:t xml:space="preserve"> (table </w:t>
      </w:r>
      <w:r w:rsidR="00121B7F">
        <w:t>3.9</w:t>
      </w:r>
      <w:r w:rsidR="00C2507F">
        <w:t>)</w:t>
      </w:r>
      <w:r>
        <w:t>.</w:t>
      </w:r>
    </w:p>
    <w:p w:rsidR="000566E0" w:rsidRDefault="008E1628" w:rsidP="00071178">
      <w:pPr>
        <w:pStyle w:val="BodyText"/>
      </w:pPr>
      <w:r>
        <w:t>In 2001, education levels in this pathway are lower than those in the other young adult pathways</w:t>
      </w:r>
      <w:r w:rsidR="00703143">
        <w:t>. Of the young adults in this pathway</w:t>
      </w:r>
      <w:r>
        <w:t xml:space="preserve"> 40 per cent hav</w:t>
      </w:r>
      <w:r w:rsidR="00703143">
        <w:t>e</w:t>
      </w:r>
      <w:r>
        <w:t xml:space="preserve"> low </w:t>
      </w:r>
      <w:r w:rsidR="00703143">
        <w:t>levels of education</w:t>
      </w:r>
      <w:r>
        <w:t>, 43 per cent ha</w:t>
      </w:r>
      <w:r w:rsidR="00703143">
        <w:t>ve</w:t>
      </w:r>
      <w:r>
        <w:t xml:space="preserve"> medium level</w:t>
      </w:r>
      <w:r w:rsidR="00703143">
        <w:t>s</w:t>
      </w:r>
      <w:r>
        <w:t xml:space="preserve"> of education</w:t>
      </w:r>
      <w:r w:rsidR="00703143">
        <w:t>,</w:t>
      </w:r>
      <w:r>
        <w:t xml:space="preserve"> and 17 per cent hav</w:t>
      </w:r>
      <w:r w:rsidR="00703143">
        <w:t xml:space="preserve">e </w:t>
      </w:r>
      <w:r>
        <w:t>high levels of education</w:t>
      </w:r>
      <w:r w:rsidR="00C2507F">
        <w:t xml:space="preserve"> (table </w:t>
      </w:r>
      <w:r w:rsidR="00121B7F">
        <w:t>3.8</w:t>
      </w:r>
      <w:r w:rsidR="00C2507F">
        <w:t>)</w:t>
      </w:r>
      <w:r>
        <w:t xml:space="preserve">. </w:t>
      </w:r>
      <w:r w:rsidR="00C047A8">
        <w:t xml:space="preserve">About 60 per cent of individuals undertake </w:t>
      </w:r>
      <w:r w:rsidR="00324073">
        <w:t xml:space="preserve">some </w:t>
      </w:r>
      <w:r w:rsidR="00C047A8">
        <w:t>study (with or without work) during the ten</w:t>
      </w:r>
      <w:r w:rsidR="0052401C">
        <w:noBreakHyphen/>
      </w:r>
      <w:r w:rsidR="00C047A8">
        <w:t>year period</w:t>
      </w:r>
      <w:r w:rsidR="00C2507F">
        <w:t xml:space="preserve"> (not </w:t>
      </w:r>
      <w:r w:rsidR="00551C78">
        <w:t>shown</w:t>
      </w:r>
      <w:r w:rsidR="00C2507F">
        <w:t>)</w:t>
      </w:r>
      <w:r w:rsidR="00A775BA">
        <w:t>;</w:t>
      </w:r>
      <w:r w:rsidR="00C047A8">
        <w:rPr>
          <w:rStyle w:val="FootnoteReference"/>
        </w:rPr>
        <w:footnoteReference w:id="9"/>
      </w:r>
      <w:r w:rsidR="00C047A8">
        <w:t xml:space="preserve"> </w:t>
      </w:r>
      <w:r w:rsidR="00A775BA">
        <w:t>44</w:t>
      </w:r>
      <w:r w:rsidR="00C2507F">
        <w:t> </w:t>
      </w:r>
      <w:r w:rsidR="00C047A8">
        <w:t>per cent engage in an average of 1.8</w:t>
      </w:r>
      <w:r w:rsidR="00A310CE">
        <w:t> </w:t>
      </w:r>
      <w:r w:rsidR="00C047A8">
        <w:t>spells of study only, lasting about 12</w:t>
      </w:r>
      <w:r w:rsidR="00C2507F">
        <w:t> </w:t>
      </w:r>
      <w:r w:rsidR="00C047A8">
        <w:t>months</w:t>
      </w:r>
      <w:r w:rsidR="00A775BA">
        <w:t>;</w:t>
      </w:r>
      <w:r w:rsidR="00C047A8">
        <w:t xml:space="preserve"> </w:t>
      </w:r>
      <w:r w:rsidR="00A775BA">
        <w:t>43</w:t>
      </w:r>
      <w:r w:rsidR="00C2507F">
        <w:t> </w:t>
      </w:r>
      <w:r w:rsidR="00C047A8">
        <w:t>per</w:t>
      </w:r>
      <w:r w:rsidR="00551C78">
        <w:t> </w:t>
      </w:r>
      <w:r w:rsidR="00C047A8">
        <w:t>cent combine work with study, averaging 1.6 spells of 7.3 months duration</w:t>
      </w:r>
      <w:r w:rsidR="00E37D2C">
        <w:t xml:space="preserve"> (table </w:t>
      </w:r>
      <w:r w:rsidR="00121B7F">
        <w:t>3.9</w:t>
      </w:r>
      <w:r w:rsidR="00E37D2C">
        <w:t>)</w:t>
      </w:r>
      <w:r w:rsidR="00C047A8">
        <w:t>. Th</w:t>
      </w:r>
      <w:r w:rsidR="00324073">
        <w:t>e</w:t>
      </w:r>
      <w:r w:rsidR="00C047A8">
        <w:t xml:space="preserve"> study activity leads to a relatively small increase in education levels </w:t>
      </w:r>
      <w:r w:rsidR="00DE3D51">
        <w:t>(</w:t>
      </w:r>
      <w:r w:rsidR="003B1994">
        <w:t>table </w:t>
      </w:r>
      <w:r w:rsidR="00121B7F">
        <w:t>3.8</w:t>
      </w:r>
      <w:r w:rsidR="00DE3D51">
        <w:t>)</w:t>
      </w:r>
      <w:r w:rsidR="00C047A8">
        <w:t xml:space="preserve">. </w:t>
      </w:r>
      <w:r w:rsidR="008D3738">
        <w:t xml:space="preserve">This modest improvement results from 21 per cent of </w:t>
      </w:r>
      <w:r w:rsidR="00A130DF">
        <w:t xml:space="preserve">the </w:t>
      </w:r>
      <w:r w:rsidR="008D3738">
        <w:t xml:space="preserve">individuals </w:t>
      </w:r>
      <w:r w:rsidR="00A130DF">
        <w:t xml:space="preserve">who had studied </w:t>
      </w:r>
      <w:r w:rsidR="008D3738">
        <w:t>acquiring higher broad education levels, 18</w:t>
      </w:r>
      <w:r w:rsidR="00E37D2C">
        <w:t> </w:t>
      </w:r>
      <w:r w:rsidR="008D3738">
        <w:t xml:space="preserve">per cent acquiring higher qualifications </w:t>
      </w:r>
      <w:r w:rsidR="00A130DF">
        <w:t xml:space="preserve">within the same broad education level </w:t>
      </w:r>
      <w:r w:rsidR="00071178">
        <w:t>and 61</w:t>
      </w:r>
      <w:r w:rsidR="00E37D2C">
        <w:t> </w:t>
      </w:r>
      <w:r w:rsidR="00071178">
        <w:t>per</w:t>
      </w:r>
      <w:r w:rsidR="00551C78">
        <w:t> </w:t>
      </w:r>
      <w:r w:rsidR="00071178">
        <w:t>cent completing qualifications at the same or lower levels than they had in 2001 or undertaking but not completing higher qualifications by 2010</w:t>
      </w:r>
      <w:r w:rsidR="008D3738">
        <w:t xml:space="preserve"> (see box</w:t>
      </w:r>
      <w:r w:rsidR="00327397">
        <w:t> </w:t>
      </w:r>
      <w:r w:rsidR="008D3738">
        <w:t>3.5</w:t>
      </w:r>
      <w:r w:rsidR="00BB0004">
        <w:t xml:space="preserve"> above</w:t>
      </w:r>
      <w:r w:rsidR="008D3738">
        <w:t>).</w:t>
      </w:r>
    </w:p>
    <w:p w:rsidR="008B6DA4" w:rsidRPr="0002368C" w:rsidRDefault="008B6DA4" w:rsidP="008B6DA4">
      <w:pPr>
        <w:pStyle w:val="FigureTitle"/>
      </w:pPr>
      <w:r>
        <w:rPr>
          <w:b w:val="0"/>
        </w:rPr>
        <w:lastRenderedPageBreak/>
        <w:t xml:space="preserve">Figure </w:t>
      </w:r>
      <w:bookmarkStart w:id="23" w:name="OLE_LINK20"/>
      <w:r w:rsidR="00121B7F">
        <w:rPr>
          <w:b w:val="0"/>
        </w:rPr>
        <w:t>3.</w:t>
      </w:r>
      <w:r w:rsidR="00C42746">
        <w:rPr>
          <w:b w:val="0"/>
          <w:noProof/>
        </w:rPr>
        <w:t>5</w:t>
      </w:r>
      <w:bookmarkEnd w:id="23"/>
      <w:r>
        <w:tab/>
        <w:t xml:space="preserve">Activities in the </w:t>
      </w:r>
      <w:r w:rsidR="00D44D55" w:rsidRPr="00DE3D51">
        <w:rPr>
          <w:i/>
        </w:rPr>
        <w:t>NILF to Work</w:t>
      </w:r>
      <w:r>
        <w:t xml:space="preserve"> pathway for </w:t>
      </w:r>
      <w:r w:rsidR="000566E0">
        <w:t>young adults</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8B6DA4" w:rsidTr="008B6DA4">
        <w:tc>
          <w:tcPr>
            <w:tcW w:w="8777" w:type="dxa"/>
          </w:tcPr>
          <w:p w:rsidR="008B6DA4" w:rsidRPr="00AF4FFC" w:rsidRDefault="008B6DA4" w:rsidP="008B6DA4">
            <w:pPr>
              <w:pStyle w:val="Figure"/>
              <w:rPr>
                <w:rFonts w:ascii="Arial" w:hAnsi="Arial" w:cs="Arial"/>
                <w:b/>
                <w:sz w:val="20"/>
              </w:rPr>
            </w:pPr>
            <w:r w:rsidRPr="00AF4FFC">
              <w:rPr>
                <w:rFonts w:ascii="Arial" w:hAnsi="Arial" w:cs="Arial"/>
                <w:b/>
                <w:sz w:val="20"/>
              </w:rPr>
              <w:t>(A) Activity sequences by individual</w:t>
            </w:r>
          </w:p>
          <w:p w:rsidR="008B6DA4" w:rsidRDefault="00F725D5" w:rsidP="00F725D5">
            <w:pPr>
              <w:pStyle w:val="Figure"/>
              <w:jc w:val="left"/>
            </w:pPr>
            <w:r>
              <w:rPr>
                <w:noProof/>
              </w:rPr>
              <w:t> </w:t>
            </w:r>
            <w:r w:rsidR="00F975F8">
              <w:rPr>
                <w:noProof/>
              </w:rPr>
              <w:t> </w:t>
            </w:r>
            <w:r w:rsidR="007C193D">
              <w:rPr>
                <w:noProof/>
              </w:rPr>
              <w:t>        </w:t>
            </w:r>
            <w:r w:rsidR="007C193D">
              <w:rPr>
                <w:noProof/>
              </w:rPr>
              <w:drawing>
                <wp:inline distT="0" distB="0" distL="0" distR="0" wp14:anchorId="19AC8603" wp14:editId="0A9DE2A8">
                  <wp:extent cx="4514400" cy="3286800"/>
                  <wp:effectExtent l="0" t="0" r="0" b="0"/>
                  <wp:docPr id="7" name="Picture 7" descr="Figure 3.5 Activities in the NILF to Work pathway for young adults panel A - Activity sequences by individual&#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Longitudinal Surveys\Hilda R10\100c\CB\meanprobdist\recode activity\final SI plots\ya_2.png"/>
                          <pic:cNvPicPr>
                            <a:picLocks noChangeAspect="1" noChangeArrowheads="1"/>
                          </pic:cNvPicPr>
                        </pic:nvPicPr>
                        <pic:blipFill rotWithShape="1">
                          <a:blip r:embed="rId16">
                            <a:extLst>
                              <a:ext uri="{28A0092B-C50C-407E-A947-70E740481C1C}">
                                <a14:useLocalDpi xmlns:a14="http://schemas.microsoft.com/office/drawing/2010/main" val="0"/>
                              </a:ext>
                            </a:extLst>
                          </a:blip>
                          <a:srcRect l="-399" t="548" r="399" b="-548"/>
                          <a:stretch/>
                        </pic:blipFill>
                        <pic:spPr bwMode="auto">
                          <a:xfrm>
                            <a:off x="0" y="0"/>
                            <a:ext cx="4514400" cy="3286800"/>
                          </a:xfrm>
                          <a:prstGeom prst="rect">
                            <a:avLst/>
                          </a:prstGeom>
                          <a:noFill/>
                          <a:ln>
                            <a:noFill/>
                          </a:ln>
                        </pic:spPr>
                      </pic:pic>
                    </a:graphicData>
                  </a:graphic>
                </wp:inline>
              </w:drawing>
            </w:r>
          </w:p>
        </w:tc>
      </w:tr>
      <w:tr w:rsidR="008B6DA4" w:rsidTr="008B6DA4">
        <w:tc>
          <w:tcPr>
            <w:tcW w:w="8777" w:type="dxa"/>
          </w:tcPr>
          <w:p w:rsidR="008B6DA4" w:rsidRPr="00AF4FFC" w:rsidRDefault="008B6DA4" w:rsidP="008B6DA4">
            <w:pPr>
              <w:pStyle w:val="Figure"/>
              <w:rPr>
                <w:rFonts w:ascii="Arial" w:hAnsi="Arial" w:cs="Arial"/>
                <w:b/>
                <w:sz w:val="20"/>
              </w:rPr>
            </w:pPr>
            <w:r w:rsidRPr="00AF4FFC">
              <w:rPr>
                <w:rFonts w:ascii="Arial" w:hAnsi="Arial" w:cs="Arial"/>
                <w:b/>
                <w:sz w:val="20"/>
              </w:rPr>
              <w:t>(B) Activities by monthly share</w:t>
            </w:r>
          </w:p>
          <w:p w:rsidR="008B6DA4" w:rsidRDefault="002817BD" w:rsidP="008B6DA4">
            <w:pPr>
              <w:pStyle w:val="Figure"/>
            </w:pPr>
            <w:r>
              <w:rPr>
                <w:noProof/>
              </w:rPr>
              <w:drawing>
                <wp:inline distT="0" distB="0" distL="0" distR="0" wp14:anchorId="660CF808" wp14:editId="1A94432B">
                  <wp:extent cx="4150800" cy="2714400"/>
                  <wp:effectExtent l="0" t="0" r="0" b="0"/>
                  <wp:docPr id="17" name="Picture 17" descr="Figure 3.5 Activities in the NILF to Work pathway for young adults panel B - Activities by monthly sh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50800" cy="2714400"/>
                          </a:xfrm>
                          <a:prstGeom prst="rect">
                            <a:avLst/>
                          </a:prstGeom>
                          <a:noFill/>
                        </pic:spPr>
                      </pic:pic>
                    </a:graphicData>
                  </a:graphic>
                </wp:inline>
              </w:drawing>
            </w:r>
          </w:p>
        </w:tc>
      </w:tr>
    </w:tbl>
    <w:p w:rsidR="008B6DA4" w:rsidRDefault="008B6DA4" w:rsidP="008B6DA4">
      <w:pPr>
        <w:pStyle w:val="Source"/>
      </w:pPr>
      <w:r>
        <w:rPr>
          <w:i/>
        </w:rPr>
        <w:t>Data source</w:t>
      </w:r>
      <w:r w:rsidRPr="00167F06">
        <w:t xml:space="preserve">: </w:t>
      </w:r>
      <w:r w:rsidR="005C3704">
        <w:t xml:space="preserve">Authors’ estimates </w:t>
      </w:r>
      <w:r>
        <w:t>based on HILDA waves 1–10.</w:t>
      </w:r>
    </w:p>
    <w:p w:rsidR="00450928" w:rsidRDefault="00450928" w:rsidP="00450928">
      <w:pPr>
        <w:pStyle w:val="TableTitle"/>
      </w:pPr>
      <w:r>
        <w:rPr>
          <w:b w:val="0"/>
        </w:rPr>
        <w:lastRenderedPageBreak/>
        <w:t xml:space="preserve">Table </w:t>
      </w:r>
      <w:bookmarkStart w:id="24" w:name="OLE_LINK22"/>
      <w:r w:rsidR="00121B7F">
        <w:rPr>
          <w:b w:val="0"/>
        </w:rPr>
        <w:t>3.</w:t>
      </w:r>
      <w:r w:rsidR="00C42746">
        <w:rPr>
          <w:b w:val="0"/>
          <w:noProof/>
        </w:rPr>
        <w:t>8</w:t>
      </w:r>
      <w:bookmarkEnd w:id="24"/>
      <w:r>
        <w:tab/>
        <w:t xml:space="preserve">Selected characteristics of individuals in the </w:t>
      </w:r>
      <w:r w:rsidR="00D44D55" w:rsidRPr="00DE3D51">
        <w:rPr>
          <w:i/>
        </w:rPr>
        <w:t>NILF to Work</w:t>
      </w:r>
      <w:r>
        <w:t xml:space="preserve"> pathway for young adults</w:t>
      </w:r>
    </w:p>
    <w:tbl>
      <w:tblPr>
        <w:tblW w:w="0" w:type="auto"/>
        <w:tblLayout w:type="fixed"/>
        <w:tblCellMar>
          <w:left w:w="0" w:type="dxa"/>
          <w:right w:w="0" w:type="dxa"/>
        </w:tblCellMar>
        <w:tblLook w:val="0000" w:firstRow="0" w:lastRow="0" w:firstColumn="0" w:lastColumn="0" w:noHBand="0" w:noVBand="0"/>
      </w:tblPr>
      <w:tblGrid>
        <w:gridCol w:w="3969"/>
        <w:gridCol w:w="1843"/>
        <w:gridCol w:w="1134"/>
        <w:gridCol w:w="1843"/>
      </w:tblGrid>
      <w:tr w:rsidR="00450928" w:rsidTr="00DE4EEF">
        <w:tc>
          <w:tcPr>
            <w:tcW w:w="3969" w:type="dxa"/>
            <w:tcBorders>
              <w:top w:val="single" w:sz="6" w:space="0" w:color="auto"/>
              <w:bottom w:val="single" w:sz="6" w:space="0" w:color="auto"/>
            </w:tcBorders>
            <w:shd w:val="clear" w:color="auto" w:fill="auto"/>
            <w:vAlign w:val="bottom"/>
          </w:tcPr>
          <w:p w:rsidR="00450928" w:rsidRDefault="00450928" w:rsidP="00DE4EEF">
            <w:pPr>
              <w:pStyle w:val="TableColumnHeading"/>
              <w:jc w:val="left"/>
            </w:pPr>
            <w:r>
              <w:t>Characteristic</w:t>
            </w:r>
          </w:p>
        </w:tc>
        <w:tc>
          <w:tcPr>
            <w:tcW w:w="1843" w:type="dxa"/>
            <w:tcBorders>
              <w:top w:val="single" w:sz="6" w:space="0" w:color="auto"/>
              <w:bottom w:val="single" w:sz="6" w:space="0" w:color="auto"/>
            </w:tcBorders>
            <w:shd w:val="clear" w:color="auto" w:fill="auto"/>
            <w:vAlign w:val="bottom"/>
          </w:tcPr>
          <w:p w:rsidR="00450928" w:rsidRDefault="00450928" w:rsidP="00DE4EEF">
            <w:pPr>
              <w:pStyle w:val="TableColumnHeading"/>
              <w:jc w:val="left"/>
            </w:pPr>
            <w:r>
              <w:t>Measure</w:t>
            </w:r>
          </w:p>
        </w:tc>
        <w:tc>
          <w:tcPr>
            <w:tcW w:w="1134" w:type="dxa"/>
            <w:tcBorders>
              <w:top w:val="single" w:sz="6" w:space="0" w:color="auto"/>
              <w:bottom w:val="single" w:sz="6" w:space="0" w:color="auto"/>
            </w:tcBorders>
            <w:vAlign w:val="bottom"/>
          </w:tcPr>
          <w:p w:rsidR="00450928" w:rsidRDefault="00450928" w:rsidP="00DE4EEF">
            <w:pPr>
              <w:pStyle w:val="TableColumnHeading"/>
            </w:pPr>
            <w:r>
              <w:t>N–W pathway</w:t>
            </w:r>
          </w:p>
        </w:tc>
        <w:tc>
          <w:tcPr>
            <w:tcW w:w="1843" w:type="dxa"/>
            <w:tcBorders>
              <w:top w:val="single" w:sz="6" w:space="0" w:color="auto"/>
              <w:bottom w:val="single" w:sz="6" w:space="0" w:color="auto"/>
            </w:tcBorders>
            <w:shd w:val="clear" w:color="auto" w:fill="auto"/>
            <w:vAlign w:val="bottom"/>
          </w:tcPr>
          <w:p w:rsidR="00450928" w:rsidRDefault="00450928" w:rsidP="00DE4EEF">
            <w:pPr>
              <w:pStyle w:val="TableColumnHeading"/>
              <w:ind w:right="0"/>
            </w:pPr>
            <w:r>
              <w:t>All young adult pathways</w:t>
            </w:r>
          </w:p>
        </w:tc>
      </w:tr>
      <w:tr w:rsidR="00450928" w:rsidTr="00450928">
        <w:tc>
          <w:tcPr>
            <w:tcW w:w="3969" w:type="dxa"/>
          </w:tcPr>
          <w:p w:rsidR="00450928" w:rsidRPr="00ED5DF6" w:rsidRDefault="00450928" w:rsidP="00450928">
            <w:pPr>
              <w:pStyle w:val="TableBodyText"/>
              <w:spacing w:before="80"/>
              <w:jc w:val="left"/>
              <w:rPr>
                <w:b/>
              </w:rPr>
            </w:pPr>
            <w:r w:rsidRPr="00ED5DF6">
              <w:rPr>
                <w:b/>
              </w:rPr>
              <w:t>In 2001:</w:t>
            </w:r>
          </w:p>
        </w:tc>
        <w:tc>
          <w:tcPr>
            <w:tcW w:w="1843" w:type="dxa"/>
          </w:tcPr>
          <w:p w:rsidR="00450928" w:rsidRDefault="00450928" w:rsidP="00450928">
            <w:pPr>
              <w:pStyle w:val="TableBodyText"/>
              <w:spacing w:before="80"/>
              <w:jc w:val="left"/>
            </w:pPr>
          </w:p>
        </w:tc>
        <w:tc>
          <w:tcPr>
            <w:tcW w:w="1134" w:type="dxa"/>
          </w:tcPr>
          <w:p w:rsidR="00450928" w:rsidRDefault="00450928" w:rsidP="00450928">
            <w:pPr>
              <w:pStyle w:val="TableBodyText"/>
              <w:spacing w:before="80"/>
            </w:pPr>
          </w:p>
        </w:tc>
        <w:tc>
          <w:tcPr>
            <w:tcW w:w="1843" w:type="dxa"/>
          </w:tcPr>
          <w:p w:rsidR="00450928" w:rsidRDefault="00450928" w:rsidP="00450928">
            <w:pPr>
              <w:pStyle w:val="TableBodyText"/>
              <w:spacing w:before="80"/>
              <w:ind w:right="0"/>
            </w:pPr>
          </w:p>
        </w:tc>
      </w:tr>
      <w:tr w:rsidR="00450928" w:rsidTr="00450928">
        <w:tc>
          <w:tcPr>
            <w:tcW w:w="3969" w:type="dxa"/>
          </w:tcPr>
          <w:p w:rsidR="00450928" w:rsidRDefault="00450928" w:rsidP="00450928">
            <w:pPr>
              <w:pStyle w:val="TableBodyText"/>
              <w:jc w:val="left"/>
            </w:pPr>
            <w:r>
              <w:t>age</w:t>
            </w:r>
          </w:p>
        </w:tc>
        <w:tc>
          <w:tcPr>
            <w:tcW w:w="1843" w:type="dxa"/>
          </w:tcPr>
          <w:p w:rsidR="00450928" w:rsidRDefault="00450928" w:rsidP="00450928">
            <w:pPr>
              <w:pStyle w:val="TableBodyText"/>
              <w:jc w:val="left"/>
            </w:pPr>
            <w:r>
              <w:t>years, average</w:t>
            </w:r>
          </w:p>
        </w:tc>
        <w:tc>
          <w:tcPr>
            <w:tcW w:w="1134" w:type="dxa"/>
            <w:vAlign w:val="bottom"/>
          </w:tcPr>
          <w:p w:rsidR="00450928" w:rsidRDefault="00450928" w:rsidP="00450928">
            <w:pPr>
              <w:pStyle w:val="TableBodyText"/>
            </w:pPr>
            <w:r>
              <w:t>32.3</w:t>
            </w:r>
          </w:p>
        </w:tc>
        <w:tc>
          <w:tcPr>
            <w:tcW w:w="1843" w:type="dxa"/>
            <w:vAlign w:val="bottom"/>
          </w:tcPr>
          <w:p w:rsidR="00450928" w:rsidRDefault="00450928" w:rsidP="00450928">
            <w:pPr>
              <w:pStyle w:val="TableBodyText"/>
              <w:ind w:right="0"/>
            </w:pPr>
            <w:r>
              <w:t>32.7</w:t>
            </w:r>
          </w:p>
        </w:tc>
      </w:tr>
      <w:tr w:rsidR="00450928" w:rsidTr="00450928">
        <w:tc>
          <w:tcPr>
            <w:tcW w:w="3969" w:type="dxa"/>
          </w:tcPr>
          <w:p w:rsidR="00450928" w:rsidRDefault="00450928" w:rsidP="00450928">
            <w:pPr>
              <w:pStyle w:val="TableBodyText"/>
              <w:jc w:val="left"/>
            </w:pPr>
            <w:r>
              <w:t>gender</w:t>
            </w:r>
          </w:p>
        </w:tc>
        <w:tc>
          <w:tcPr>
            <w:tcW w:w="1843" w:type="dxa"/>
          </w:tcPr>
          <w:p w:rsidR="00450928" w:rsidRDefault="00450928" w:rsidP="00450928">
            <w:pPr>
              <w:pStyle w:val="TableBodyText"/>
              <w:jc w:val="left"/>
            </w:pPr>
            <w:r>
              <w:t>% female</w:t>
            </w:r>
          </w:p>
        </w:tc>
        <w:tc>
          <w:tcPr>
            <w:tcW w:w="1134" w:type="dxa"/>
            <w:vAlign w:val="bottom"/>
          </w:tcPr>
          <w:p w:rsidR="00450928" w:rsidRDefault="00450928" w:rsidP="00450928">
            <w:pPr>
              <w:pStyle w:val="TableBodyText"/>
            </w:pPr>
            <w:r>
              <w:t>81.36</w:t>
            </w:r>
          </w:p>
        </w:tc>
        <w:tc>
          <w:tcPr>
            <w:tcW w:w="1843" w:type="dxa"/>
            <w:vAlign w:val="bottom"/>
          </w:tcPr>
          <w:p w:rsidR="00450928" w:rsidRDefault="00450928" w:rsidP="00450928">
            <w:pPr>
              <w:pStyle w:val="TableBodyText"/>
              <w:ind w:right="0"/>
            </w:pPr>
            <w:r>
              <w:t>54.78</w:t>
            </w:r>
          </w:p>
        </w:tc>
      </w:tr>
      <w:tr w:rsidR="00450928" w:rsidTr="00450928">
        <w:tc>
          <w:tcPr>
            <w:tcW w:w="3969" w:type="dxa"/>
          </w:tcPr>
          <w:p w:rsidR="00450928" w:rsidRDefault="00450928" w:rsidP="00450928">
            <w:pPr>
              <w:pStyle w:val="TableBodyText"/>
              <w:jc w:val="left"/>
            </w:pPr>
            <w:r>
              <w:t>locality (remoteness)</w:t>
            </w:r>
          </w:p>
        </w:tc>
        <w:tc>
          <w:tcPr>
            <w:tcW w:w="1843" w:type="dxa"/>
          </w:tcPr>
          <w:p w:rsidR="00450928" w:rsidRDefault="00450928" w:rsidP="00450928">
            <w:pPr>
              <w:pStyle w:val="TableBodyText"/>
              <w:jc w:val="left"/>
            </w:pPr>
            <w:r>
              <w:t>% major city</w:t>
            </w:r>
          </w:p>
        </w:tc>
        <w:tc>
          <w:tcPr>
            <w:tcW w:w="1134" w:type="dxa"/>
            <w:vAlign w:val="bottom"/>
          </w:tcPr>
          <w:p w:rsidR="00450928" w:rsidRDefault="00450928" w:rsidP="00450928">
            <w:pPr>
              <w:pStyle w:val="TableBodyText"/>
            </w:pPr>
            <w:r>
              <w:t>65.59</w:t>
            </w:r>
          </w:p>
        </w:tc>
        <w:tc>
          <w:tcPr>
            <w:tcW w:w="1843" w:type="dxa"/>
            <w:vAlign w:val="bottom"/>
          </w:tcPr>
          <w:p w:rsidR="00450928" w:rsidRDefault="00450928" w:rsidP="00450928">
            <w:pPr>
              <w:pStyle w:val="TableBodyText"/>
              <w:ind w:right="0"/>
            </w:pPr>
            <w:r>
              <w:t>65.31</w:t>
            </w:r>
          </w:p>
        </w:tc>
      </w:tr>
      <w:tr w:rsidR="00450928" w:rsidTr="00722111">
        <w:tc>
          <w:tcPr>
            <w:tcW w:w="3969" w:type="dxa"/>
          </w:tcPr>
          <w:p w:rsidR="00450928" w:rsidRDefault="00450928" w:rsidP="00450928">
            <w:pPr>
              <w:pStyle w:val="TableBodyText"/>
              <w:jc w:val="left"/>
            </w:pPr>
            <w:r>
              <w:t>highest level of education</w:t>
            </w:r>
            <w:r w:rsidRPr="00DE4890">
              <w:rPr>
                <w:rStyle w:val="NoteLabel"/>
              </w:rPr>
              <w:t>a</w:t>
            </w:r>
          </w:p>
        </w:tc>
        <w:tc>
          <w:tcPr>
            <w:tcW w:w="1843" w:type="dxa"/>
            <w:vAlign w:val="bottom"/>
          </w:tcPr>
          <w:p w:rsidR="00450928" w:rsidRDefault="00450928" w:rsidP="00722111">
            <w:pPr>
              <w:pStyle w:val="TableBodyText"/>
              <w:jc w:val="left"/>
            </w:pPr>
            <w:r>
              <w:t>% high</w:t>
            </w:r>
          </w:p>
        </w:tc>
        <w:tc>
          <w:tcPr>
            <w:tcW w:w="1134" w:type="dxa"/>
            <w:vAlign w:val="bottom"/>
          </w:tcPr>
          <w:p w:rsidR="00450928" w:rsidRDefault="00450928" w:rsidP="00450928">
            <w:pPr>
              <w:pStyle w:val="TableBodyText"/>
            </w:pPr>
            <w:r>
              <w:t>16.85</w:t>
            </w:r>
          </w:p>
        </w:tc>
        <w:tc>
          <w:tcPr>
            <w:tcW w:w="1843" w:type="dxa"/>
            <w:vAlign w:val="bottom"/>
          </w:tcPr>
          <w:p w:rsidR="00450928" w:rsidRDefault="00450928" w:rsidP="00450928">
            <w:pPr>
              <w:pStyle w:val="TableBodyText"/>
              <w:ind w:right="0"/>
            </w:pPr>
            <w:r>
              <w:t>27.27</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C30F41">
            <w:pPr>
              <w:pStyle w:val="TableBodyText"/>
              <w:jc w:val="left"/>
            </w:pPr>
            <w:r>
              <w:t xml:space="preserve">% </w:t>
            </w:r>
            <w:r w:rsidR="00C30F41">
              <w:t>m</w:t>
            </w:r>
            <w:r>
              <w:t>edium</w:t>
            </w:r>
          </w:p>
        </w:tc>
        <w:tc>
          <w:tcPr>
            <w:tcW w:w="1134" w:type="dxa"/>
            <w:vAlign w:val="bottom"/>
          </w:tcPr>
          <w:p w:rsidR="00450928" w:rsidRDefault="00450928" w:rsidP="00450928">
            <w:pPr>
              <w:pStyle w:val="TableBodyText"/>
            </w:pPr>
            <w:r>
              <w:t>43.36</w:t>
            </w:r>
          </w:p>
        </w:tc>
        <w:tc>
          <w:tcPr>
            <w:tcW w:w="1843" w:type="dxa"/>
            <w:vAlign w:val="bottom"/>
          </w:tcPr>
          <w:p w:rsidR="00450928" w:rsidRDefault="00450928" w:rsidP="00450928">
            <w:pPr>
              <w:pStyle w:val="TableBodyText"/>
              <w:ind w:right="0"/>
            </w:pPr>
            <w:r>
              <w:t>46.30</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450928">
            <w:pPr>
              <w:pStyle w:val="TableBodyText"/>
              <w:jc w:val="left"/>
            </w:pPr>
            <w:r>
              <w:t>% low</w:t>
            </w:r>
          </w:p>
        </w:tc>
        <w:tc>
          <w:tcPr>
            <w:tcW w:w="1134" w:type="dxa"/>
            <w:vAlign w:val="bottom"/>
          </w:tcPr>
          <w:p w:rsidR="00450928" w:rsidRDefault="00450928" w:rsidP="00450928">
            <w:pPr>
              <w:pStyle w:val="TableBodyText"/>
            </w:pPr>
            <w:r>
              <w:t>39.79</w:t>
            </w:r>
          </w:p>
        </w:tc>
        <w:tc>
          <w:tcPr>
            <w:tcW w:w="1843" w:type="dxa"/>
            <w:vAlign w:val="bottom"/>
          </w:tcPr>
          <w:p w:rsidR="00450928" w:rsidRDefault="00450928" w:rsidP="00450928">
            <w:pPr>
              <w:pStyle w:val="TableBodyText"/>
              <w:ind w:right="0"/>
            </w:pPr>
            <w:r>
              <w:t>26.42</w:t>
            </w:r>
          </w:p>
        </w:tc>
      </w:tr>
      <w:tr w:rsidR="00450928" w:rsidTr="00450928">
        <w:tc>
          <w:tcPr>
            <w:tcW w:w="3969" w:type="dxa"/>
          </w:tcPr>
          <w:p w:rsidR="00450928" w:rsidRDefault="006A600A" w:rsidP="00450928">
            <w:pPr>
              <w:pStyle w:val="TableBodyText"/>
              <w:jc w:val="left"/>
            </w:pPr>
            <w:r>
              <w:t>u</w:t>
            </w:r>
            <w:r w:rsidR="00450928">
              <w:t>nemployed</w:t>
            </w:r>
          </w:p>
        </w:tc>
        <w:tc>
          <w:tcPr>
            <w:tcW w:w="1843" w:type="dxa"/>
          </w:tcPr>
          <w:p w:rsidR="00450928" w:rsidRDefault="00450928" w:rsidP="00450928">
            <w:pPr>
              <w:pStyle w:val="TableBodyText"/>
              <w:jc w:val="left"/>
            </w:pPr>
            <w:r>
              <w:t>% U</w:t>
            </w:r>
          </w:p>
        </w:tc>
        <w:tc>
          <w:tcPr>
            <w:tcW w:w="1134" w:type="dxa"/>
            <w:vAlign w:val="bottom"/>
          </w:tcPr>
          <w:p w:rsidR="00450928" w:rsidRDefault="00450928" w:rsidP="00450928">
            <w:pPr>
              <w:pStyle w:val="TableBodyText"/>
            </w:pPr>
            <w:r>
              <w:t>9.32</w:t>
            </w:r>
          </w:p>
        </w:tc>
        <w:tc>
          <w:tcPr>
            <w:tcW w:w="1843" w:type="dxa"/>
            <w:vAlign w:val="bottom"/>
          </w:tcPr>
          <w:p w:rsidR="00450928" w:rsidRDefault="00450928" w:rsidP="00450928">
            <w:pPr>
              <w:pStyle w:val="TableBodyText"/>
              <w:ind w:right="0"/>
            </w:pPr>
            <w:r>
              <w:t>3.23</w:t>
            </w:r>
          </w:p>
        </w:tc>
      </w:tr>
      <w:tr w:rsidR="00450928" w:rsidTr="00450928">
        <w:tc>
          <w:tcPr>
            <w:tcW w:w="3969" w:type="dxa"/>
          </w:tcPr>
          <w:p w:rsidR="00450928" w:rsidRDefault="00450928" w:rsidP="00450928">
            <w:pPr>
              <w:pStyle w:val="TableBodyText"/>
              <w:jc w:val="left"/>
            </w:pPr>
            <w:r>
              <w:t>NILF (inc</w:t>
            </w:r>
            <w:r w:rsidR="00406870">
              <w:t>l</w:t>
            </w:r>
            <w:r>
              <w:t>. marginally attached)</w:t>
            </w:r>
          </w:p>
        </w:tc>
        <w:tc>
          <w:tcPr>
            <w:tcW w:w="1843" w:type="dxa"/>
          </w:tcPr>
          <w:p w:rsidR="00450928" w:rsidRDefault="00450928" w:rsidP="00450928">
            <w:pPr>
              <w:pStyle w:val="TableBodyText"/>
              <w:jc w:val="left"/>
            </w:pPr>
            <w:r>
              <w:t>% NILF</w:t>
            </w:r>
          </w:p>
        </w:tc>
        <w:tc>
          <w:tcPr>
            <w:tcW w:w="1134" w:type="dxa"/>
            <w:vAlign w:val="bottom"/>
          </w:tcPr>
          <w:p w:rsidR="00450928" w:rsidRDefault="00450928" w:rsidP="00450928">
            <w:pPr>
              <w:pStyle w:val="TableBodyText"/>
            </w:pPr>
            <w:r>
              <w:t>60.57</w:t>
            </w:r>
          </w:p>
        </w:tc>
        <w:tc>
          <w:tcPr>
            <w:tcW w:w="1843" w:type="dxa"/>
            <w:vAlign w:val="bottom"/>
          </w:tcPr>
          <w:p w:rsidR="00450928" w:rsidRDefault="00450928" w:rsidP="00450928">
            <w:pPr>
              <w:pStyle w:val="TableBodyText"/>
              <w:ind w:right="0"/>
            </w:pPr>
            <w:r>
              <w:t>18.26</w:t>
            </w:r>
          </w:p>
        </w:tc>
      </w:tr>
      <w:tr w:rsidR="00450928" w:rsidTr="00450928">
        <w:tc>
          <w:tcPr>
            <w:tcW w:w="3969" w:type="dxa"/>
          </w:tcPr>
          <w:p w:rsidR="00450928" w:rsidRPr="00ED5DF6" w:rsidRDefault="00450928" w:rsidP="00450928">
            <w:pPr>
              <w:pStyle w:val="TableBodyText"/>
              <w:jc w:val="left"/>
              <w:rPr>
                <w:i/>
              </w:rPr>
            </w:pPr>
            <w:r w:rsidRPr="00ED5DF6">
              <w:rPr>
                <w:i/>
              </w:rPr>
              <w:t>of which:</w:t>
            </w:r>
          </w:p>
        </w:tc>
        <w:tc>
          <w:tcPr>
            <w:tcW w:w="1843" w:type="dxa"/>
          </w:tcPr>
          <w:p w:rsidR="00450928" w:rsidRDefault="00450928" w:rsidP="00450928">
            <w:pPr>
              <w:pStyle w:val="TableBodyText"/>
              <w:jc w:val="left"/>
            </w:pPr>
          </w:p>
        </w:tc>
        <w:tc>
          <w:tcPr>
            <w:tcW w:w="1134" w:type="dxa"/>
            <w:vAlign w:val="bottom"/>
          </w:tcPr>
          <w:p w:rsidR="00450928" w:rsidRDefault="00450928" w:rsidP="00450928">
            <w:pPr>
              <w:pStyle w:val="TableBodyText"/>
            </w:pPr>
          </w:p>
        </w:tc>
        <w:tc>
          <w:tcPr>
            <w:tcW w:w="1843" w:type="dxa"/>
            <w:vAlign w:val="bottom"/>
          </w:tcPr>
          <w:p w:rsidR="00450928" w:rsidRPr="00165DAA" w:rsidRDefault="00450928" w:rsidP="00450928">
            <w:pPr>
              <w:pStyle w:val="TableBodyText"/>
              <w:ind w:right="0"/>
            </w:pPr>
          </w:p>
        </w:tc>
      </w:tr>
      <w:tr w:rsidR="00450928" w:rsidTr="00450928">
        <w:tc>
          <w:tcPr>
            <w:tcW w:w="3969" w:type="dxa"/>
          </w:tcPr>
          <w:p w:rsidR="00450928" w:rsidRDefault="00450928" w:rsidP="00450928">
            <w:pPr>
              <w:pStyle w:val="TableBodyText"/>
              <w:ind w:firstLine="278"/>
              <w:jc w:val="left"/>
            </w:pPr>
            <w:r>
              <w:t>home duties/childcare</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80.47</w:t>
            </w:r>
          </w:p>
        </w:tc>
        <w:tc>
          <w:tcPr>
            <w:tcW w:w="1843" w:type="dxa"/>
            <w:vAlign w:val="bottom"/>
          </w:tcPr>
          <w:p w:rsidR="00450928" w:rsidRDefault="00450928" w:rsidP="00450928">
            <w:pPr>
              <w:pStyle w:val="TableBodyText"/>
              <w:ind w:right="0"/>
            </w:pPr>
            <w:r>
              <w:t>75.60</w:t>
            </w:r>
          </w:p>
        </w:tc>
      </w:tr>
      <w:tr w:rsidR="00450928" w:rsidTr="00450928">
        <w:tc>
          <w:tcPr>
            <w:tcW w:w="3969" w:type="dxa"/>
          </w:tcPr>
          <w:p w:rsidR="00450928" w:rsidRDefault="00450928" w:rsidP="00450928">
            <w:pPr>
              <w:pStyle w:val="TableBodyText"/>
              <w:ind w:firstLine="278"/>
              <w:jc w:val="left"/>
            </w:pPr>
            <w:r>
              <w:t>study</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7.69</w:t>
            </w:r>
          </w:p>
        </w:tc>
        <w:tc>
          <w:tcPr>
            <w:tcW w:w="1843" w:type="dxa"/>
            <w:vAlign w:val="bottom"/>
          </w:tcPr>
          <w:p w:rsidR="00450928" w:rsidRDefault="00450928" w:rsidP="00450928">
            <w:pPr>
              <w:pStyle w:val="TableBodyText"/>
              <w:ind w:right="0"/>
            </w:pPr>
            <w:r>
              <w:t>8.13</w:t>
            </w:r>
          </w:p>
        </w:tc>
      </w:tr>
      <w:tr w:rsidR="00450928" w:rsidTr="00450928">
        <w:tc>
          <w:tcPr>
            <w:tcW w:w="3969" w:type="dxa"/>
          </w:tcPr>
          <w:p w:rsidR="00450928" w:rsidRDefault="00450928" w:rsidP="00450928">
            <w:pPr>
              <w:pStyle w:val="TableBodyText"/>
              <w:ind w:firstLine="278"/>
              <w:jc w:val="left"/>
            </w:pPr>
            <w:r>
              <w:t>marginally attached to labour force</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1.78</w:t>
            </w:r>
          </w:p>
        </w:tc>
        <w:tc>
          <w:tcPr>
            <w:tcW w:w="1843" w:type="dxa"/>
            <w:vAlign w:val="bottom"/>
          </w:tcPr>
          <w:p w:rsidR="00450928" w:rsidRDefault="00450928" w:rsidP="00450928">
            <w:pPr>
              <w:pStyle w:val="TableBodyText"/>
              <w:ind w:right="0"/>
            </w:pPr>
            <w:r>
              <w:t>2.87</w:t>
            </w:r>
          </w:p>
        </w:tc>
      </w:tr>
      <w:tr w:rsidR="00450928" w:rsidTr="00722111">
        <w:tc>
          <w:tcPr>
            <w:tcW w:w="3969" w:type="dxa"/>
          </w:tcPr>
          <w:p w:rsidR="00450928" w:rsidRDefault="00450928" w:rsidP="00450928">
            <w:pPr>
              <w:pStyle w:val="TableBodyText"/>
              <w:ind w:firstLine="278"/>
              <w:jc w:val="left"/>
            </w:pPr>
            <w:r>
              <w:t>other reasons</w:t>
            </w:r>
            <w:r>
              <w:rPr>
                <w:rStyle w:val="NoteLabel"/>
              </w:rPr>
              <w:t>b</w:t>
            </w:r>
          </w:p>
        </w:tc>
        <w:tc>
          <w:tcPr>
            <w:tcW w:w="1843" w:type="dxa"/>
            <w:vAlign w:val="bottom"/>
          </w:tcPr>
          <w:p w:rsidR="00450928" w:rsidRDefault="00450928" w:rsidP="00722111">
            <w:pPr>
              <w:pStyle w:val="TableBodyText"/>
              <w:jc w:val="left"/>
            </w:pPr>
            <w:r>
              <w:t>% of NILF</w:t>
            </w:r>
          </w:p>
        </w:tc>
        <w:tc>
          <w:tcPr>
            <w:tcW w:w="1134" w:type="dxa"/>
            <w:vAlign w:val="bottom"/>
          </w:tcPr>
          <w:p w:rsidR="00450928" w:rsidRDefault="00450928" w:rsidP="00450928">
            <w:pPr>
              <w:pStyle w:val="TableBodyText"/>
            </w:pPr>
            <w:r>
              <w:t>10.05</w:t>
            </w:r>
          </w:p>
        </w:tc>
        <w:tc>
          <w:tcPr>
            <w:tcW w:w="1843" w:type="dxa"/>
            <w:vAlign w:val="bottom"/>
          </w:tcPr>
          <w:p w:rsidR="00450928" w:rsidRPr="00165DAA" w:rsidRDefault="00450928" w:rsidP="00450928">
            <w:pPr>
              <w:pStyle w:val="TableBodyText"/>
              <w:ind w:right="0"/>
            </w:pPr>
            <w:r>
              <w:t>13.40</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450928">
            <w:pPr>
              <w:pStyle w:val="TableBodyText"/>
              <w:jc w:val="left"/>
            </w:pPr>
          </w:p>
        </w:tc>
        <w:tc>
          <w:tcPr>
            <w:tcW w:w="1134" w:type="dxa"/>
            <w:vAlign w:val="bottom"/>
          </w:tcPr>
          <w:p w:rsidR="00450928" w:rsidRDefault="00450928" w:rsidP="00450928">
            <w:pPr>
              <w:pStyle w:val="TableBodyText"/>
            </w:pPr>
          </w:p>
        </w:tc>
        <w:tc>
          <w:tcPr>
            <w:tcW w:w="1843" w:type="dxa"/>
          </w:tcPr>
          <w:p w:rsidR="00450928" w:rsidRDefault="00450928" w:rsidP="00450928">
            <w:pPr>
              <w:pStyle w:val="TableBodyText"/>
              <w:ind w:right="0"/>
            </w:pPr>
          </w:p>
        </w:tc>
      </w:tr>
      <w:tr w:rsidR="00450928" w:rsidTr="00450928">
        <w:tc>
          <w:tcPr>
            <w:tcW w:w="3969" w:type="dxa"/>
          </w:tcPr>
          <w:p w:rsidR="00450928" w:rsidRPr="00ED5DF6" w:rsidRDefault="00450928" w:rsidP="00450928">
            <w:pPr>
              <w:pStyle w:val="TableBodyText"/>
              <w:spacing w:before="80"/>
              <w:jc w:val="left"/>
              <w:rPr>
                <w:b/>
              </w:rPr>
            </w:pPr>
            <w:r w:rsidRPr="00ED5DF6">
              <w:rPr>
                <w:b/>
              </w:rPr>
              <w:t>In 2010:</w:t>
            </w:r>
          </w:p>
        </w:tc>
        <w:tc>
          <w:tcPr>
            <w:tcW w:w="1843" w:type="dxa"/>
          </w:tcPr>
          <w:p w:rsidR="00450928" w:rsidRDefault="00450928" w:rsidP="00450928">
            <w:pPr>
              <w:pStyle w:val="TableBodyText"/>
              <w:spacing w:before="80"/>
              <w:jc w:val="left"/>
            </w:pPr>
          </w:p>
        </w:tc>
        <w:tc>
          <w:tcPr>
            <w:tcW w:w="1134" w:type="dxa"/>
            <w:vAlign w:val="bottom"/>
          </w:tcPr>
          <w:p w:rsidR="00450928" w:rsidRDefault="00450928" w:rsidP="00450928">
            <w:pPr>
              <w:pStyle w:val="TableBodyText"/>
            </w:pPr>
          </w:p>
        </w:tc>
        <w:tc>
          <w:tcPr>
            <w:tcW w:w="1843" w:type="dxa"/>
          </w:tcPr>
          <w:p w:rsidR="00450928" w:rsidRDefault="00450928" w:rsidP="00450928">
            <w:pPr>
              <w:pStyle w:val="TableBodyText"/>
              <w:spacing w:before="80"/>
              <w:ind w:right="0"/>
            </w:pPr>
          </w:p>
        </w:tc>
      </w:tr>
      <w:tr w:rsidR="00450928" w:rsidTr="00450928">
        <w:tc>
          <w:tcPr>
            <w:tcW w:w="3969" w:type="dxa"/>
          </w:tcPr>
          <w:p w:rsidR="00450928" w:rsidRDefault="00450928" w:rsidP="00450928">
            <w:pPr>
              <w:pStyle w:val="TableBodyText"/>
              <w:jc w:val="left"/>
            </w:pPr>
            <w:r>
              <w:t>locality (remoteness)</w:t>
            </w:r>
          </w:p>
        </w:tc>
        <w:tc>
          <w:tcPr>
            <w:tcW w:w="1843" w:type="dxa"/>
          </w:tcPr>
          <w:p w:rsidR="00450928" w:rsidRDefault="00450928" w:rsidP="00450928">
            <w:pPr>
              <w:pStyle w:val="TableBodyText"/>
              <w:jc w:val="left"/>
            </w:pPr>
            <w:r>
              <w:t>% major city</w:t>
            </w:r>
          </w:p>
        </w:tc>
        <w:tc>
          <w:tcPr>
            <w:tcW w:w="1134" w:type="dxa"/>
            <w:vAlign w:val="bottom"/>
          </w:tcPr>
          <w:p w:rsidR="00450928" w:rsidRDefault="00450928" w:rsidP="00450928">
            <w:pPr>
              <w:pStyle w:val="TableBodyText"/>
            </w:pPr>
            <w:r>
              <w:t>63.44</w:t>
            </w:r>
          </w:p>
        </w:tc>
        <w:tc>
          <w:tcPr>
            <w:tcW w:w="1843" w:type="dxa"/>
            <w:vAlign w:val="bottom"/>
          </w:tcPr>
          <w:p w:rsidR="00450928" w:rsidRDefault="00450928" w:rsidP="00450928">
            <w:pPr>
              <w:pStyle w:val="TableBodyText"/>
              <w:ind w:right="0"/>
            </w:pPr>
            <w:r>
              <w:t>62.12</w:t>
            </w:r>
          </w:p>
        </w:tc>
      </w:tr>
      <w:tr w:rsidR="00450928" w:rsidTr="00722111">
        <w:tc>
          <w:tcPr>
            <w:tcW w:w="3969" w:type="dxa"/>
          </w:tcPr>
          <w:p w:rsidR="00450928" w:rsidRDefault="00450928" w:rsidP="00450928">
            <w:pPr>
              <w:pStyle w:val="TableBodyText"/>
              <w:jc w:val="left"/>
            </w:pPr>
            <w:r>
              <w:t>highest level of education</w:t>
            </w:r>
            <w:r w:rsidRPr="00DE4890">
              <w:rPr>
                <w:rStyle w:val="NoteLabel"/>
              </w:rPr>
              <w:t>a</w:t>
            </w:r>
          </w:p>
        </w:tc>
        <w:tc>
          <w:tcPr>
            <w:tcW w:w="1843" w:type="dxa"/>
            <w:vAlign w:val="bottom"/>
          </w:tcPr>
          <w:p w:rsidR="00450928" w:rsidRDefault="00450928" w:rsidP="00722111">
            <w:pPr>
              <w:pStyle w:val="TableBodyText"/>
              <w:jc w:val="left"/>
            </w:pPr>
            <w:r>
              <w:t>% high</w:t>
            </w:r>
          </w:p>
        </w:tc>
        <w:tc>
          <w:tcPr>
            <w:tcW w:w="1134" w:type="dxa"/>
            <w:vAlign w:val="bottom"/>
          </w:tcPr>
          <w:p w:rsidR="00450928" w:rsidRDefault="00450928" w:rsidP="00450928">
            <w:pPr>
              <w:pStyle w:val="TableBodyText"/>
            </w:pPr>
            <w:r>
              <w:t>21.87</w:t>
            </w:r>
          </w:p>
        </w:tc>
        <w:tc>
          <w:tcPr>
            <w:tcW w:w="1843" w:type="dxa"/>
            <w:vAlign w:val="bottom"/>
          </w:tcPr>
          <w:p w:rsidR="00450928" w:rsidRDefault="00450928" w:rsidP="00450928">
            <w:pPr>
              <w:pStyle w:val="TableBodyText"/>
              <w:ind w:right="0"/>
            </w:pPr>
            <w:r>
              <w:t>30.62</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C30F41">
            <w:pPr>
              <w:pStyle w:val="TableBodyText"/>
              <w:jc w:val="left"/>
            </w:pPr>
            <w:r>
              <w:t xml:space="preserve">% </w:t>
            </w:r>
            <w:r w:rsidR="00C30F41">
              <w:t>m</w:t>
            </w:r>
            <w:r>
              <w:t>edium</w:t>
            </w:r>
          </w:p>
        </w:tc>
        <w:tc>
          <w:tcPr>
            <w:tcW w:w="1134" w:type="dxa"/>
            <w:vAlign w:val="bottom"/>
          </w:tcPr>
          <w:p w:rsidR="00450928" w:rsidRDefault="00450928" w:rsidP="00450928">
            <w:pPr>
              <w:pStyle w:val="TableBodyText"/>
            </w:pPr>
            <w:r>
              <w:t>46.96</w:t>
            </w:r>
          </w:p>
        </w:tc>
        <w:tc>
          <w:tcPr>
            <w:tcW w:w="1843" w:type="dxa"/>
            <w:vAlign w:val="bottom"/>
          </w:tcPr>
          <w:p w:rsidR="00450928" w:rsidRDefault="00450928" w:rsidP="00450928">
            <w:pPr>
              <w:pStyle w:val="TableBodyText"/>
              <w:ind w:right="0"/>
            </w:pPr>
            <w:r>
              <w:t>47.40</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450928">
            <w:pPr>
              <w:pStyle w:val="TableBodyText"/>
              <w:jc w:val="left"/>
            </w:pPr>
            <w:r>
              <w:t>% low</w:t>
            </w:r>
          </w:p>
        </w:tc>
        <w:tc>
          <w:tcPr>
            <w:tcW w:w="1134" w:type="dxa"/>
            <w:vAlign w:val="bottom"/>
          </w:tcPr>
          <w:p w:rsidR="00450928" w:rsidRDefault="00450928" w:rsidP="00450928">
            <w:pPr>
              <w:pStyle w:val="TableBodyText"/>
            </w:pPr>
            <w:r>
              <w:t>31.18</w:t>
            </w:r>
          </w:p>
        </w:tc>
        <w:tc>
          <w:tcPr>
            <w:tcW w:w="1843" w:type="dxa"/>
            <w:vAlign w:val="bottom"/>
          </w:tcPr>
          <w:p w:rsidR="00450928" w:rsidRDefault="00450928" w:rsidP="00450928">
            <w:pPr>
              <w:pStyle w:val="TableBodyText"/>
              <w:ind w:right="0"/>
            </w:pPr>
            <w:r>
              <w:t>21.98</w:t>
            </w:r>
          </w:p>
        </w:tc>
      </w:tr>
      <w:tr w:rsidR="00450928" w:rsidTr="00450928">
        <w:tc>
          <w:tcPr>
            <w:tcW w:w="3969" w:type="dxa"/>
          </w:tcPr>
          <w:p w:rsidR="00450928" w:rsidRDefault="006A600A" w:rsidP="00450928">
            <w:pPr>
              <w:pStyle w:val="TableBodyText"/>
              <w:jc w:val="left"/>
            </w:pPr>
            <w:r>
              <w:t>u</w:t>
            </w:r>
            <w:r w:rsidR="00450928">
              <w:t>nemployed</w:t>
            </w:r>
          </w:p>
        </w:tc>
        <w:tc>
          <w:tcPr>
            <w:tcW w:w="1843" w:type="dxa"/>
          </w:tcPr>
          <w:p w:rsidR="00450928" w:rsidRDefault="00450928" w:rsidP="00450928">
            <w:pPr>
              <w:pStyle w:val="TableBodyText"/>
              <w:jc w:val="left"/>
            </w:pPr>
            <w:r>
              <w:t>% U</w:t>
            </w:r>
          </w:p>
        </w:tc>
        <w:tc>
          <w:tcPr>
            <w:tcW w:w="1134" w:type="dxa"/>
            <w:vAlign w:val="bottom"/>
          </w:tcPr>
          <w:p w:rsidR="00450928" w:rsidRDefault="00450928" w:rsidP="00450928">
            <w:pPr>
              <w:pStyle w:val="TableBodyText"/>
            </w:pPr>
            <w:r>
              <w:t>3.58</w:t>
            </w:r>
          </w:p>
        </w:tc>
        <w:tc>
          <w:tcPr>
            <w:tcW w:w="1843" w:type="dxa"/>
            <w:vAlign w:val="bottom"/>
          </w:tcPr>
          <w:p w:rsidR="00450928" w:rsidRDefault="00450928" w:rsidP="00450928">
            <w:pPr>
              <w:pStyle w:val="TableBodyText"/>
              <w:ind w:right="0"/>
            </w:pPr>
            <w:r>
              <w:t>2.40</w:t>
            </w:r>
          </w:p>
        </w:tc>
      </w:tr>
      <w:tr w:rsidR="00450928" w:rsidTr="00450928">
        <w:tc>
          <w:tcPr>
            <w:tcW w:w="3969" w:type="dxa"/>
          </w:tcPr>
          <w:p w:rsidR="00450928" w:rsidRDefault="00450928" w:rsidP="00450928">
            <w:pPr>
              <w:pStyle w:val="TableBodyText"/>
              <w:jc w:val="left"/>
            </w:pPr>
            <w:r>
              <w:t>NILF (inc</w:t>
            </w:r>
            <w:r w:rsidR="00406870">
              <w:t>l</w:t>
            </w:r>
            <w:r>
              <w:t>. marginally attached)</w:t>
            </w:r>
          </w:p>
        </w:tc>
        <w:tc>
          <w:tcPr>
            <w:tcW w:w="1843" w:type="dxa"/>
          </w:tcPr>
          <w:p w:rsidR="00450928" w:rsidRDefault="00450928" w:rsidP="00450928">
            <w:pPr>
              <w:pStyle w:val="TableBodyText"/>
              <w:jc w:val="left"/>
            </w:pPr>
            <w:r>
              <w:t>% NILF</w:t>
            </w:r>
          </w:p>
        </w:tc>
        <w:tc>
          <w:tcPr>
            <w:tcW w:w="1134" w:type="dxa"/>
            <w:vAlign w:val="bottom"/>
          </w:tcPr>
          <w:p w:rsidR="00450928" w:rsidRDefault="00450928" w:rsidP="00450928">
            <w:pPr>
              <w:pStyle w:val="TableBodyText"/>
            </w:pPr>
            <w:r>
              <w:t>11.11</w:t>
            </w:r>
          </w:p>
        </w:tc>
        <w:tc>
          <w:tcPr>
            <w:tcW w:w="1843" w:type="dxa"/>
            <w:vAlign w:val="bottom"/>
          </w:tcPr>
          <w:p w:rsidR="00450928" w:rsidRDefault="00450928" w:rsidP="00450928">
            <w:pPr>
              <w:pStyle w:val="TableBodyText"/>
              <w:ind w:right="0"/>
            </w:pPr>
            <w:r>
              <w:t>12.54</w:t>
            </w:r>
          </w:p>
        </w:tc>
      </w:tr>
      <w:tr w:rsidR="00450928" w:rsidTr="00450928">
        <w:tc>
          <w:tcPr>
            <w:tcW w:w="3969" w:type="dxa"/>
          </w:tcPr>
          <w:p w:rsidR="00450928" w:rsidRPr="00ED5DF6" w:rsidRDefault="00450928" w:rsidP="00450928">
            <w:pPr>
              <w:pStyle w:val="TableBodyText"/>
              <w:jc w:val="left"/>
              <w:rPr>
                <w:i/>
              </w:rPr>
            </w:pPr>
            <w:r w:rsidRPr="00ED5DF6">
              <w:rPr>
                <w:i/>
              </w:rPr>
              <w:t>of which:</w:t>
            </w:r>
          </w:p>
        </w:tc>
        <w:tc>
          <w:tcPr>
            <w:tcW w:w="1843" w:type="dxa"/>
          </w:tcPr>
          <w:p w:rsidR="00450928" w:rsidRDefault="00450928" w:rsidP="00450928">
            <w:pPr>
              <w:pStyle w:val="TableBodyText"/>
              <w:jc w:val="left"/>
            </w:pPr>
          </w:p>
        </w:tc>
        <w:tc>
          <w:tcPr>
            <w:tcW w:w="1134" w:type="dxa"/>
            <w:vAlign w:val="bottom"/>
          </w:tcPr>
          <w:p w:rsidR="00450928" w:rsidRDefault="00450928" w:rsidP="00450928">
            <w:pPr>
              <w:pStyle w:val="TableBodyText"/>
            </w:pPr>
          </w:p>
        </w:tc>
        <w:tc>
          <w:tcPr>
            <w:tcW w:w="1843" w:type="dxa"/>
            <w:vAlign w:val="bottom"/>
          </w:tcPr>
          <w:p w:rsidR="00450928" w:rsidRPr="00165DAA" w:rsidRDefault="00450928" w:rsidP="00450928">
            <w:pPr>
              <w:pStyle w:val="TableBodyText"/>
              <w:ind w:right="0"/>
            </w:pPr>
          </w:p>
        </w:tc>
      </w:tr>
      <w:tr w:rsidR="00450928" w:rsidTr="00450928">
        <w:tc>
          <w:tcPr>
            <w:tcW w:w="3969" w:type="dxa"/>
          </w:tcPr>
          <w:p w:rsidR="00450928" w:rsidRDefault="00450928" w:rsidP="00450928">
            <w:pPr>
              <w:pStyle w:val="TableBodyText"/>
              <w:ind w:firstLine="278"/>
              <w:jc w:val="left"/>
            </w:pPr>
            <w:r>
              <w:t>home duties/childcare</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38.71</w:t>
            </w:r>
          </w:p>
        </w:tc>
        <w:tc>
          <w:tcPr>
            <w:tcW w:w="1843" w:type="dxa"/>
            <w:vAlign w:val="bottom"/>
          </w:tcPr>
          <w:p w:rsidR="00450928" w:rsidRDefault="00450928" w:rsidP="00450928">
            <w:pPr>
              <w:pStyle w:val="TableBodyText"/>
              <w:ind w:right="0"/>
            </w:pPr>
            <w:r>
              <w:t>61.67</w:t>
            </w:r>
          </w:p>
        </w:tc>
      </w:tr>
      <w:tr w:rsidR="00450928" w:rsidTr="00450928">
        <w:tc>
          <w:tcPr>
            <w:tcW w:w="3969" w:type="dxa"/>
          </w:tcPr>
          <w:p w:rsidR="00450928" w:rsidRDefault="00450928" w:rsidP="00450928">
            <w:pPr>
              <w:pStyle w:val="TableBodyText"/>
              <w:ind w:firstLine="278"/>
              <w:jc w:val="left"/>
            </w:pPr>
            <w:r>
              <w:t>study</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32.26</w:t>
            </w:r>
          </w:p>
        </w:tc>
        <w:tc>
          <w:tcPr>
            <w:tcW w:w="1843" w:type="dxa"/>
            <w:vAlign w:val="bottom"/>
          </w:tcPr>
          <w:p w:rsidR="00450928" w:rsidRDefault="00450928" w:rsidP="00450928">
            <w:pPr>
              <w:pStyle w:val="TableBodyText"/>
              <w:ind w:right="0"/>
            </w:pPr>
            <w:r>
              <w:t>5.92</w:t>
            </w:r>
          </w:p>
        </w:tc>
      </w:tr>
      <w:tr w:rsidR="00450928" w:rsidTr="00450928">
        <w:tc>
          <w:tcPr>
            <w:tcW w:w="3969" w:type="dxa"/>
            <w:shd w:val="clear" w:color="auto" w:fill="auto"/>
          </w:tcPr>
          <w:p w:rsidR="00450928" w:rsidRDefault="00450928" w:rsidP="00450928">
            <w:pPr>
              <w:pStyle w:val="TableBodyText"/>
              <w:ind w:firstLine="278"/>
              <w:jc w:val="left"/>
            </w:pPr>
            <w:r>
              <w:t>marginally attached to labour force</w:t>
            </w:r>
          </w:p>
        </w:tc>
        <w:tc>
          <w:tcPr>
            <w:tcW w:w="1843" w:type="dxa"/>
            <w:shd w:val="clear" w:color="auto" w:fill="auto"/>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3.23</w:t>
            </w:r>
          </w:p>
        </w:tc>
        <w:tc>
          <w:tcPr>
            <w:tcW w:w="1843" w:type="dxa"/>
            <w:shd w:val="clear" w:color="auto" w:fill="auto"/>
            <w:vAlign w:val="bottom"/>
          </w:tcPr>
          <w:p w:rsidR="00450928" w:rsidRDefault="00450928" w:rsidP="00450928">
            <w:pPr>
              <w:pStyle w:val="TableBodyText"/>
              <w:ind w:right="0"/>
            </w:pPr>
            <w:r>
              <w:t>2.79</w:t>
            </w:r>
          </w:p>
        </w:tc>
      </w:tr>
      <w:tr w:rsidR="00450928" w:rsidTr="00722111">
        <w:tc>
          <w:tcPr>
            <w:tcW w:w="3969" w:type="dxa"/>
            <w:tcBorders>
              <w:bottom w:val="single" w:sz="6" w:space="0" w:color="auto"/>
            </w:tcBorders>
            <w:shd w:val="clear" w:color="auto" w:fill="auto"/>
          </w:tcPr>
          <w:p w:rsidR="00450928" w:rsidRDefault="00450928" w:rsidP="00450928">
            <w:pPr>
              <w:pStyle w:val="TableBodyText"/>
              <w:ind w:firstLine="278"/>
              <w:jc w:val="left"/>
            </w:pPr>
            <w:r>
              <w:t>other reasons</w:t>
            </w:r>
            <w:r>
              <w:rPr>
                <w:rStyle w:val="NoteLabel"/>
              </w:rPr>
              <w:t>b</w:t>
            </w:r>
          </w:p>
        </w:tc>
        <w:tc>
          <w:tcPr>
            <w:tcW w:w="1843" w:type="dxa"/>
            <w:tcBorders>
              <w:bottom w:val="single" w:sz="6" w:space="0" w:color="auto"/>
            </w:tcBorders>
            <w:shd w:val="clear" w:color="auto" w:fill="auto"/>
            <w:vAlign w:val="bottom"/>
          </w:tcPr>
          <w:p w:rsidR="00450928" w:rsidRDefault="00450928" w:rsidP="00722111">
            <w:pPr>
              <w:pStyle w:val="TableBodyText"/>
              <w:jc w:val="left"/>
            </w:pPr>
            <w:r>
              <w:t>% of NILF</w:t>
            </w:r>
          </w:p>
        </w:tc>
        <w:tc>
          <w:tcPr>
            <w:tcW w:w="1134" w:type="dxa"/>
            <w:tcBorders>
              <w:bottom w:val="single" w:sz="6" w:space="0" w:color="auto"/>
            </w:tcBorders>
            <w:vAlign w:val="bottom"/>
          </w:tcPr>
          <w:p w:rsidR="00450928" w:rsidRDefault="00450928" w:rsidP="00450928">
            <w:pPr>
              <w:pStyle w:val="TableBodyText"/>
            </w:pPr>
            <w:r>
              <w:t>25.81</w:t>
            </w:r>
          </w:p>
        </w:tc>
        <w:tc>
          <w:tcPr>
            <w:tcW w:w="1843" w:type="dxa"/>
            <w:tcBorders>
              <w:bottom w:val="single" w:sz="6" w:space="0" w:color="auto"/>
            </w:tcBorders>
            <w:shd w:val="clear" w:color="auto" w:fill="auto"/>
            <w:vAlign w:val="bottom"/>
          </w:tcPr>
          <w:p w:rsidR="00450928" w:rsidRPr="00165DAA" w:rsidRDefault="00450928" w:rsidP="00450928">
            <w:pPr>
              <w:pStyle w:val="TableBodyText"/>
              <w:ind w:right="0"/>
            </w:pPr>
            <w:r>
              <w:t>29.62</w:t>
            </w:r>
          </w:p>
        </w:tc>
      </w:tr>
    </w:tbl>
    <w:p w:rsidR="00450928" w:rsidRDefault="00450928" w:rsidP="00450928">
      <w:pPr>
        <w:pStyle w:val="Note"/>
      </w:pPr>
      <w:r w:rsidRPr="00DE4890">
        <w:rPr>
          <w:rStyle w:val="NoteLabel"/>
        </w:rPr>
        <w:t>a</w:t>
      </w:r>
      <w:r>
        <w:t xml:space="preserve"> Educational attainment has been classified as high (Bachelor </w:t>
      </w:r>
      <w:r w:rsidR="00D14EC0">
        <w:t>D</w:t>
      </w:r>
      <w:r>
        <w:t>egree or above), medium (Year 12, Certificate III/IV, Diploma or Advanced Diploma) and low (Certificate I/II, Certificate not defined, Year 11 or lower).  </w:t>
      </w:r>
      <w:r>
        <w:rPr>
          <w:rStyle w:val="NoteLabel"/>
        </w:rPr>
        <w:t>b</w:t>
      </w:r>
      <w:r>
        <w:t> May include caring for others with illness/disability, retirement/voluntarily inactive, own illness/disability (rendering the individual temporarily or permanently unable to work), travel/holidays/leisure activities, working in an unpaid voluntary job, or other (unspecified) activities.</w:t>
      </w:r>
    </w:p>
    <w:p w:rsidR="00450928" w:rsidRDefault="00450928" w:rsidP="00450928">
      <w:pPr>
        <w:pStyle w:val="Source"/>
      </w:pPr>
      <w:r>
        <w:rPr>
          <w:i/>
        </w:rPr>
        <w:t>Source</w:t>
      </w:r>
      <w:r>
        <w:t xml:space="preserve">: </w:t>
      </w:r>
      <w:r w:rsidR="005C3704">
        <w:t xml:space="preserve">Authors’ estimates </w:t>
      </w:r>
      <w:r>
        <w:t>based on HILDA waves 1–10.</w:t>
      </w:r>
    </w:p>
    <w:p w:rsidR="00450928" w:rsidRDefault="00450928" w:rsidP="00450928">
      <w:pPr>
        <w:pStyle w:val="TableTitle"/>
      </w:pPr>
      <w:r>
        <w:rPr>
          <w:b w:val="0"/>
        </w:rPr>
        <w:lastRenderedPageBreak/>
        <w:t xml:space="preserve">Table </w:t>
      </w:r>
      <w:bookmarkStart w:id="25" w:name="OLE_LINK21"/>
      <w:r w:rsidR="00121B7F">
        <w:rPr>
          <w:b w:val="0"/>
        </w:rPr>
        <w:t>3.</w:t>
      </w:r>
      <w:r w:rsidR="00C42746">
        <w:rPr>
          <w:b w:val="0"/>
          <w:noProof/>
        </w:rPr>
        <w:t>9</w:t>
      </w:r>
      <w:bookmarkEnd w:id="25"/>
      <w:r>
        <w:tab/>
        <w:t xml:space="preserve">Selected characteristics of activity patterns in the </w:t>
      </w:r>
      <w:r w:rsidR="00D44D55" w:rsidRPr="00DE3D51">
        <w:rPr>
          <w:i/>
        </w:rPr>
        <w:t>NILF to Work</w:t>
      </w:r>
      <w:r>
        <w:t xml:space="preserve"> pathway (young adults)</w:t>
      </w:r>
      <w:r w:rsidRPr="004106CD">
        <w:rPr>
          <w:rStyle w:val="NoteLabel"/>
          <w:b/>
        </w:rPr>
        <w:t>a</w:t>
      </w:r>
    </w:p>
    <w:tbl>
      <w:tblPr>
        <w:tblW w:w="0" w:type="auto"/>
        <w:tblLayout w:type="fixed"/>
        <w:tblCellMar>
          <w:left w:w="0" w:type="dxa"/>
          <w:right w:w="0" w:type="dxa"/>
        </w:tblCellMar>
        <w:tblLook w:val="0000" w:firstRow="0" w:lastRow="0" w:firstColumn="0" w:lastColumn="0" w:noHBand="0" w:noVBand="0"/>
      </w:tblPr>
      <w:tblGrid>
        <w:gridCol w:w="3544"/>
        <w:gridCol w:w="992"/>
        <w:gridCol w:w="993"/>
        <w:gridCol w:w="992"/>
        <w:gridCol w:w="850"/>
        <w:gridCol w:w="1418"/>
      </w:tblGrid>
      <w:tr w:rsidR="00450928" w:rsidTr="00DE4EEF">
        <w:tc>
          <w:tcPr>
            <w:tcW w:w="3544" w:type="dxa"/>
            <w:tcBorders>
              <w:top w:val="single" w:sz="6" w:space="0" w:color="auto"/>
              <w:bottom w:val="single" w:sz="6" w:space="0" w:color="auto"/>
            </w:tcBorders>
            <w:shd w:val="clear" w:color="auto" w:fill="auto"/>
          </w:tcPr>
          <w:p w:rsidR="00450928" w:rsidRDefault="00450928" w:rsidP="00450928">
            <w:pPr>
              <w:pStyle w:val="TableColumnHeading"/>
              <w:jc w:val="left"/>
            </w:pPr>
            <w:r>
              <w:t> </w:t>
            </w:r>
          </w:p>
        </w:tc>
        <w:tc>
          <w:tcPr>
            <w:tcW w:w="992" w:type="dxa"/>
            <w:tcBorders>
              <w:top w:val="single" w:sz="6" w:space="0" w:color="auto"/>
              <w:bottom w:val="single" w:sz="6" w:space="0" w:color="auto"/>
            </w:tcBorders>
            <w:shd w:val="clear" w:color="auto" w:fill="auto"/>
            <w:vAlign w:val="bottom"/>
          </w:tcPr>
          <w:p w:rsidR="00450928" w:rsidRDefault="00450928" w:rsidP="00DE4EEF">
            <w:pPr>
              <w:pStyle w:val="TableColumnHeading"/>
            </w:pPr>
            <w:r>
              <w:t xml:space="preserve">Work </w:t>
            </w:r>
          </w:p>
        </w:tc>
        <w:tc>
          <w:tcPr>
            <w:tcW w:w="993" w:type="dxa"/>
            <w:tcBorders>
              <w:top w:val="single" w:sz="6" w:space="0" w:color="auto"/>
              <w:bottom w:val="single" w:sz="6" w:space="0" w:color="auto"/>
            </w:tcBorders>
            <w:shd w:val="clear" w:color="auto" w:fill="auto"/>
            <w:vAlign w:val="bottom"/>
          </w:tcPr>
          <w:p w:rsidR="00450928" w:rsidRDefault="00450928" w:rsidP="00DE4EEF">
            <w:pPr>
              <w:pStyle w:val="TableColumnHeading"/>
            </w:pPr>
            <w:r>
              <w:t>Work and study</w:t>
            </w:r>
          </w:p>
        </w:tc>
        <w:tc>
          <w:tcPr>
            <w:tcW w:w="992" w:type="dxa"/>
            <w:tcBorders>
              <w:top w:val="single" w:sz="6" w:space="0" w:color="auto"/>
              <w:bottom w:val="single" w:sz="6" w:space="0" w:color="auto"/>
            </w:tcBorders>
            <w:shd w:val="clear" w:color="auto" w:fill="auto"/>
            <w:vAlign w:val="bottom"/>
          </w:tcPr>
          <w:p w:rsidR="00450928" w:rsidRDefault="00450928" w:rsidP="00DE4EEF">
            <w:pPr>
              <w:pStyle w:val="TableColumnHeading"/>
            </w:pPr>
            <w:r>
              <w:t>Study only</w:t>
            </w:r>
          </w:p>
        </w:tc>
        <w:tc>
          <w:tcPr>
            <w:tcW w:w="850" w:type="dxa"/>
            <w:tcBorders>
              <w:top w:val="single" w:sz="6" w:space="0" w:color="auto"/>
              <w:bottom w:val="single" w:sz="6" w:space="0" w:color="auto"/>
            </w:tcBorders>
            <w:shd w:val="clear" w:color="auto" w:fill="auto"/>
            <w:vAlign w:val="bottom"/>
          </w:tcPr>
          <w:p w:rsidR="00450928" w:rsidRDefault="00450928" w:rsidP="00DE4EEF">
            <w:pPr>
              <w:pStyle w:val="TableColumnHeading"/>
            </w:pPr>
            <w:r>
              <w:t>NILF</w:t>
            </w:r>
          </w:p>
        </w:tc>
        <w:tc>
          <w:tcPr>
            <w:tcW w:w="1418" w:type="dxa"/>
            <w:tcBorders>
              <w:top w:val="single" w:sz="6" w:space="0" w:color="auto"/>
              <w:bottom w:val="single" w:sz="6" w:space="0" w:color="auto"/>
            </w:tcBorders>
            <w:shd w:val="clear" w:color="auto" w:fill="auto"/>
            <w:vAlign w:val="bottom"/>
          </w:tcPr>
          <w:p w:rsidR="00450928" w:rsidRDefault="00450928" w:rsidP="00DE4EEF">
            <w:pPr>
              <w:pStyle w:val="TableColumnHeading"/>
              <w:ind w:right="6"/>
            </w:pPr>
            <w:r>
              <w:t>Unemployment</w:t>
            </w:r>
          </w:p>
        </w:tc>
      </w:tr>
      <w:tr w:rsidR="00450928" w:rsidTr="00450928">
        <w:tc>
          <w:tcPr>
            <w:tcW w:w="3544" w:type="dxa"/>
          </w:tcPr>
          <w:p w:rsidR="00450928" w:rsidRDefault="00450928" w:rsidP="00450928">
            <w:pPr>
              <w:pStyle w:val="TableBodyText"/>
              <w:jc w:val="left"/>
            </w:pPr>
            <w:r>
              <w:t>Average time in the activity (per cent)</w:t>
            </w:r>
          </w:p>
        </w:tc>
        <w:tc>
          <w:tcPr>
            <w:tcW w:w="992" w:type="dxa"/>
          </w:tcPr>
          <w:p w:rsidR="00450928" w:rsidRDefault="00450928" w:rsidP="00450928">
            <w:pPr>
              <w:pStyle w:val="TableBodyText"/>
            </w:pPr>
            <w:r>
              <w:t>52.56</w:t>
            </w:r>
          </w:p>
        </w:tc>
        <w:tc>
          <w:tcPr>
            <w:tcW w:w="993" w:type="dxa"/>
          </w:tcPr>
          <w:p w:rsidR="00450928" w:rsidRDefault="00450928" w:rsidP="00450928">
            <w:pPr>
              <w:pStyle w:val="TableBodyText"/>
            </w:pPr>
            <w:r>
              <w:t>4.20</w:t>
            </w:r>
          </w:p>
        </w:tc>
        <w:tc>
          <w:tcPr>
            <w:tcW w:w="992" w:type="dxa"/>
          </w:tcPr>
          <w:p w:rsidR="00450928" w:rsidRDefault="00450928" w:rsidP="00450928">
            <w:pPr>
              <w:pStyle w:val="TableBodyText"/>
            </w:pPr>
            <w:r>
              <w:t>7.70</w:t>
            </w:r>
          </w:p>
        </w:tc>
        <w:tc>
          <w:tcPr>
            <w:tcW w:w="850" w:type="dxa"/>
          </w:tcPr>
          <w:p w:rsidR="00450928" w:rsidRDefault="00450928" w:rsidP="00450928">
            <w:pPr>
              <w:pStyle w:val="TableBodyText"/>
            </w:pPr>
            <w:r>
              <w:t>27.05</w:t>
            </w:r>
          </w:p>
        </w:tc>
        <w:tc>
          <w:tcPr>
            <w:tcW w:w="1418" w:type="dxa"/>
          </w:tcPr>
          <w:p w:rsidR="00450928" w:rsidRDefault="00450928" w:rsidP="00450928">
            <w:pPr>
              <w:pStyle w:val="TableBodyText"/>
              <w:ind w:right="0"/>
            </w:pPr>
            <w:r>
              <w:t>8.49</w:t>
            </w:r>
          </w:p>
        </w:tc>
      </w:tr>
      <w:tr w:rsidR="00450928" w:rsidTr="00450928">
        <w:tc>
          <w:tcPr>
            <w:tcW w:w="3544" w:type="dxa"/>
          </w:tcPr>
          <w:p w:rsidR="00450928" w:rsidRDefault="00450928" w:rsidP="00450928">
            <w:pPr>
              <w:pStyle w:val="TableBodyText"/>
              <w:jc w:val="left"/>
            </w:pPr>
            <w:r>
              <w:t xml:space="preserve">Share of path with at least one spell of the activity </w:t>
            </w:r>
          </w:p>
        </w:tc>
        <w:tc>
          <w:tcPr>
            <w:tcW w:w="992" w:type="dxa"/>
          </w:tcPr>
          <w:p w:rsidR="00450928" w:rsidRDefault="00450928" w:rsidP="00450928">
            <w:pPr>
              <w:pStyle w:val="TableBodyText"/>
            </w:pPr>
            <w:r>
              <w:t>98.92</w:t>
            </w:r>
          </w:p>
        </w:tc>
        <w:tc>
          <w:tcPr>
            <w:tcW w:w="993" w:type="dxa"/>
          </w:tcPr>
          <w:p w:rsidR="00450928" w:rsidRDefault="00450928" w:rsidP="00450928">
            <w:pPr>
              <w:pStyle w:val="TableBodyText"/>
            </w:pPr>
            <w:r>
              <w:t>43.37</w:t>
            </w:r>
          </w:p>
        </w:tc>
        <w:tc>
          <w:tcPr>
            <w:tcW w:w="992" w:type="dxa"/>
          </w:tcPr>
          <w:p w:rsidR="00450928" w:rsidRDefault="00450928" w:rsidP="00450928">
            <w:pPr>
              <w:pStyle w:val="TableBodyText"/>
            </w:pPr>
            <w:r>
              <w:t>44.44</w:t>
            </w:r>
          </w:p>
        </w:tc>
        <w:tc>
          <w:tcPr>
            <w:tcW w:w="850" w:type="dxa"/>
          </w:tcPr>
          <w:p w:rsidR="00450928" w:rsidRDefault="00450928" w:rsidP="00450928">
            <w:pPr>
              <w:pStyle w:val="TableBodyText"/>
            </w:pPr>
            <w:r>
              <w:t>91.40</w:t>
            </w:r>
          </w:p>
        </w:tc>
        <w:tc>
          <w:tcPr>
            <w:tcW w:w="1418" w:type="dxa"/>
          </w:tcPr>
          <w:p w:rsidR="00450928" w:rsidRDefault="00450928" w:rsidP="00450928">
            <w:pPr>
              <w:pStyle w:val="TableBodyText"/>
              <w:ind w:right="0"/>
            </w:pPr>
            <w:r>
              <w:t>61.29</w:t>
            </w:r>
          </w:p>
        </w:tc>
      </w:tr>
      <w:tr w:rsidR="00450928" w:rsidTr="00450928">
        <w:tc>
          <w:tcPr>
            <w:tcW w:w="8789" w:type="dxa"/>
            <w:gridSpan w:val="6"/>
          </w:tcPr>
          <w:p w:rsidR="00450928" w:rsidRDefault="00450928" w:rsidP="00450928">
            <w:pPr>
              <w:pStyle w:val="TableBodyText"/>
              <w:ind w:right="0"/>
              <w:jc w:val="left"/>
            </w:pPr>
            <w:r>
              <w:t>Conditional on at least one spell of the activity:</w:t>
            </w:r>
          </w:p>
        </w:tc>
      </w:tr>
      <w:tr w:rsidR="00450928" w:rsidTr="00450928">
        <w:tc>
          <w:tcPr>
            <w:tcW w:w="3544" w:type="dxa"/>
          </w:tcPr>
          <w:p w:rsidR="00450928" w:rsidRDefault="00450928" w:rsidP="00450928">
            <w:pPr>
              <w:pStyle w:val="TableBodyText"/>
              <w:ind w:left="142"/>
              <w:jc w:val="left"/>
            </w:pPr>
            <w:r>
              <w:t>average number of spells</w:t>
            </w:r>
          </w:p>
        </w:tc>
        <w:tc>
          <w:tcPr>
            <w:tcW w:w="992" w:type="dxa"/>
          </w:tcPr>
          <w:p w:rsidR="00450928" w:rsidRDefault="00450928" w:rsidP="00450928">
            <w:pPr>
              <w:pStyle w:val="TableBodyText"/>
            </w:pPr>
            <w:r>
              <w:t>2.95</w:t>
            </w:r>
          </w:p>
        </w:tc>
        <w:tc>
          <w:tcPr>
            <w:tcW w:w="993" w:type="dxa"/>
          </w:tcPr>
          <w:p w:rsidR="00450928" w:rsidRDefault="00450928" w:rsidP="00450928">
            <w:pPr>
              <w:pStyle w:val="TableBodyText"/>
            </w:pPr>
            <w:r>
              <w:t>1.60</w:t>
            </w:r>
          </w:p>
        </w:tc>
        <w:tc>
          <w:tcPr>
            <w:tcW w:w="992" w:type="dxa"/>
          </w:tcPr>
          <w:p w:rsidR="00450928" w:rsidRDefault="00450928" w:rsidP="00450928">
            <w:pPr>
              <w:pStyle w:val="TableBodyText"/>
            </w:pPr>
            <w:r>
              <w:t>1.76</w:t>
            </w:r>
          </w:p>
        </w:tc>
        <w:tc>
          <w:tcPr>
            <w:tcW w:w="850" w:type="dxa"/>
          </w:tcPr>
          <w:p w:rsidR="00450928" w:rsidRDefault="00450928" w:rsidP="00450928">
            <w:pPr>
              <w:pStyle w:val="TableBodyText"/>
            </w:pPr>
            <w:r>
              <w:t>2.08</w:t>
            </w:r>
          </w:p>
        </w:tc>
        <w:tc>
          <w:tcPr>
            <w:tcW w:w="1418" w:type="dxa"/>
          </w:tcPr>
          <w:p w:rsidR="00450928" w:rsidRDefault="00450928" w:rsidP="00450928">
            <w:pPr>
              <w:pStyle w:val="TableBodyText"/>
              <w:ind w:right="0"/>
            </w:pPr>
            <w:r>
              <w:t>2.37</w:t>
            </w:r>
          </w:p>
        </w:tc>
      </w:tr>
      <w:tr w:rsidR="00450928" w:rsidTr="00450928">
        <w:tc>
          <w:tcPr>
            <w:tcW w:w="3544" w:type="dxa"/>
            <w:tcBorders>
              <w:bottom w:val="single" w:sz="6" w:space="0" w:color="auto"/>
            </w:tcBorders>
          </w:tcPr>
          <w:p w:rsidR="00450928" w:rsidRDefault="00450928" w:rsidP="00450928">
            <w:pPr>
              <w:pStyle w:val="TableBodyText"/>
              <w:ind w:left="142"/>
              <w:jc w:val="left"/>
            </w:pPr>
            <w:r>
              <w:t>average length of spell (months)</w:t>
            </w:r>
          </w:p>
        </w:tc>
        <w:tc>
          <w:tcPr>
            <w:tcW w:w="992" w:type="dxa"/>
            <w:tcBorders>
              <w:bottom w:val="single" w:sz="6" w:space="0" w:color="auto"/>
            </w:tcBorders>
            <w:shd w:val="clear" w:color="auto" w:fill="auto"/>
          </w:tcPr>
          <w:p w:rsidR="00450928" w:rsidRDefault="00450928" w:rsidP="00450928">
            <w:pPr>
              <w:pStyle w:val="TableBodyText"/>
            </w:pPr>
            <w:r>
              <w:t>21.59</w:t>
            </w:r>
          </w:p>
        </w:tc>
        <w:tc>
          <w:tcPr>
            <w:tcW w:w="993" w:type="dxa"/>
            <w:tcBorders>
              <w:bottom w:val="single" w:sz="6" w:space="0" w:color="auto"/>
            </w:tcBorders>
            <w:shd w:val="clear" w:color="auto" w:fill="auto"/>
          </w:tcPr>
          <w:p w:rsidR="00450928" w:rsidRDefault="00450928" w:rsidP="00450928">
            <w:pPr>
              <w:pStyle w:val="TableBodyText"/>
            </w:pPr>
            <w:r>
              <w:t>7.28</w:t>
            </w:r>
          </w:p>
        </w:tc>
        <w:tc>
          <w:tcPr>
            <w:tcW w:w="992" w:type="dxa"/>
            <w:tcBorders>
              <w:bottom w:val="single" w:sz="6" w:space="0" w:color="auto"/>
            </w:tcBorders>
            <w:shd w:val="clear" w:color="auto" w:fill="auto"/>
          </w:tcPr>
          <w:p w:rsidR="00450928" w:rsidRDefault="00450928" w:rsidP="00450928">
            <w:pPr>
              <w:pStyle w:val="TableBodyText"/>
            </w:pPr>
            <w:r>
              <w:t>11.83</w:t>
            </w:r>
          </w:p>
        </w:tc>
        <w:tc>
          <w:tcPr>
            <w:tcW w:w="850" w:type="dxa"/>
            <w:tcBorders>
              <w:bottom w:val="single" w:sz="6" w:space="0" w:color="auto"/>
            </w:tcBorders>
            <w:shd w:val="clear" w:color="auto" w:fill="auto"/>
          </w:tcPr>
          <w:p w:rsidR="00450928" w:rsidRDefault="00450928" w:rsidP="00450928">
            <w:pPr>
              <w:pStyle w:val="TableBodyText"/>
            </w:pPr>
            <w:r>
              <w:t>17.08</w:t>
            </w:r>
          </w:p>
        </w:tc>
        <w:tc>
          <w:tcPr>
            <w:tcW w:w="1418" w:type="dxa"/>
            <w:tcBorders>
              <w:bottom w:val="single" w:sz="6" w:space="0" w:color="auto"/>
            </w:tcBorders>
            <w:shd w:val="clear" w:color="auto" w:fill="auto"/>
          </w:tcPr>
          <w:p w:rsidR="00450928" w:rsidRDefault="00450928" w:rsidP="00450928">
            <w:pPr>
              <w:pStyle w:val="TableBodyText"/>
              <w:ind w:right="0"/>
            </w:pPr>
            <w:r>
              <w:t>7.00</w:t>
            </w:r>
          </w:p>
        </w:tc>
      </w:tr>
    </w:tbl>
    <w:p w:rsidR="00450928" w:rsidRDefault="00A310CE" w:rsidP="00450928">
      <w:pPr>
        <w:pStyle w:val="Note"/>
      </w:pPr>
      <w:r>
        <w:rPr>
          <w:rStyle w:val="NoteLabel"/>
        </w:rPr>
        <w:t>a</w:t>
      </w:r>
      <w:r>
        <w:t> </w:t>
      </w:r>
      <w:r w:rsidR="00450928">
        <w:t>Pathway size 279 (12.2 per cent of young adults); average number of activities 3.39.</w:t>
      </w:r>
    </w:p>
    <w:p w:rsidR="00450928" w:rsidRPr="00F257C3" w:rsidRDefault="00450928" w:rsidP="00450928">
      <w:pPr>
        <w:pStyle w:val="Source"/>
      </w:pPr>
      <w:r>
        <w:rPr>
          <w:i/>
        </w:rPr>
        <w:t>Source</w:t>
      </w:r>
      <w:r>
        <w:t xml:space="preserve">: </w:t>
      </w:r>
      <w:r w:rsidR="005C3704">
        <w:t xml:space="preserve">Authors’ estimates </w:t>
      </w:r>
      <w:r>
        <w:t>based on HILDA waves 1–10.</w:t>
      </w:r>
    </w:p>
    <w:p w:rsidR="00DE5B40" w:rsidRDefault="00DE5B40" w:rsidP="00DE5B40">
      <w:pPr>
        <w:pStyle w:val="Heading3"/>
      </w:pPr>
      <w:r>
        <w:t xml:space="preserve">Mature adults in the </w:t>
      </w:r>
      <w:r w:rsidRPr="003C2423">
        <w:rPr>
          <w:i/>
        </w:rPr>
        <w:t>Work to NILF</w:t>
      </w:r>
      <w:r>
        <w:t xml:space="preserve"> pathway</w:t>
      </w:r>
    </w:p>
    <w:p w:rsidR="00713E38" w:rsidRDefault="00713E38" w:rsidP="00713E38">
      <w:pPr>
        <w:pStyle w:val="BodyText"/>
      </w:pPr>
      <w:r>
        <w:t>This pathway represents about 9 per cent of mature adults (aged 40–54 years in 2001)</w:t>
      </w:r>
      <w:r w:rsidR="00DD590B">
        <w:t xml:space="preserve"> (table </w:t>
      </w:r>
      <w:r w:rsidR="00121B7F">
        <w:t>3.11</w:t>
      </w:r>
      <w:r w:rsidR="00BB0004">
        <w:t xml:space="preserve"> below</w:t>
      </w:r>
      <w:r w:rsidR="00DD590B">
        <w:t>)</w:t>
      </w:r>
      <w:r>
        <w:t xml:space="preserve">. The </w:t>
      </w:r>
      <w:r w:rsidRPr="00142CCF">
        <w:rPr>
          <w:i/>
        </w:rPr>
        <w:t>Work to NILF</w:t>
      </w:r>
      <w:r>
        <w:t xml:space="preserve"> pathway is the ‘oldest’ pathway for mature adults, with an average age of 49.1 years in 2001</w:t>
      </w:r>
      <w:r w:rsidR="00DD590B">
        <w:t xml:space="preserve"> (table </w:t>
      </w:r>
      <w:r w:rsidR="00121B7F">
        <w:t>3.10</w:t>
      </w:r>
      <w:r w:rsidR="00BB0004">
        <w:t xml:space="preserve"> below</w:t>
      </w:r>
      <w:r w:rsidR="00DD590B">
        <w:t>)</w:t>
      </w:r>
      <w:r>
        <w:t>. Individuals in this pathway are in the latter stages of their working lives, and many progress from work to NILF. Some individuals spend small periods of time in other activities</w:t>
      </w:r>
      <w:r w:rsidR="00746D87">
        <w:t xml:space="preserve"> (figure </w:t>
      </w:r>
      <w:r w:rsidR="00121B7F">
        <w:t>3.6</w:t>
      </w:r>
      <w:r w:rsidR="00BB0004">
        <w:t xml:space="preserve"> below</w:t>
      </w:r>
      <w:r w:rsidR="00746D87">
        <w:t>)</w:t>
      </w:r>
      <w:r>
        <w:t>.</w:t>
      </w:r>
    </w:p>
    <w:p w:rsidR="00713E38" w:rsidRDefault="00713E38" w:rsidP="00713E38">
      <w:pPr>
        <w:pStyle w:val="BodyText"/>
      </w:pPr>
      <w:r>
        <w:t>In 2001, over 90 per cent of individuals are employed</w:t>
      </w:r>
      <w:r w:rsidR="00750371">
        <w:t xml:space="preserve"> (figure </w:t>
      </w:r>
      <w:r w:rsidR="00121B7F">
        <w:t>3.6</w:t>
      </w:r>
      <w:r w:rsidR="00750371">
        <w:t>)</w:t>
      </w:r>
      <w:r>
        <w:t>. Unemployment and NILF are low (4.6 and 4.2 per cent, respectively). In the latter case, the percentage in NILF is much lower than the average for all mature adults (17.7</w:t>
      </w:r>
      <w:r w:rsidR="00750371">
        <w:t> </w:t>
      </w:r>
      <w:r>
        <w:t>per</w:t>
      </w:r>
      <w:r w:rsidR="00DE3D51">
        <w:t> </w:t>
      </w:r>
      <w:r>
        <w:t xml:space="preserve">cent). Education levels are lower </w:t>
      </w:r>
      <w:r w:rsidR="00FD57F4">
        <w:t>compared to</w:t>
      </w:r>
      <w:r>
        <w:t xml:space="preserve"> most other mature adult pathways</w:t>
      </w:r>
      <w:r w:rsidR="00DE3D51">
        <w:t xml:space="preserve"> —</w:t>
      </w:r>
      <w:r>
        <w:t xml:space="preserve"> 44</w:t>
      </w:r>
      <w:r w:rsidR="00750371">
        <w:t> </w:t>
      </w:r>
      <w:r>
        <w:t>per cent of individuals have low levels of education</w:t>
      </w:r>
      <w:r w:rsidR="00750371">
        <w:t xml:space="preserve"> (table </w:t>
      </w:r>
      <w:r w:rsidR="00121B7F">
        <w:t>3.10</w:t>
      </w:r>
      <w:r w:rsidR="00750371">
        <w:t>)</w:t>
      </w:r>
      <w:r>
        <w:t xml:space="preserve">. </w:t>
      </w:r>
    </w:p>
    <w:p w:rsidR="00A3243A" w:rsidRDefault="00713E38" w:rsidP="00713E38">
      <w:pPr>
        <w:pStyle w:val="BodyText"/>
      </w:pPr>
      <w:r>
        <w:t>All individuals in this pathway spend some time in work only, averaging 2.1 spells of 35.8 months (about 3 years) in length</w:t>
      </w:r>
      <w:r w:rsidR="00750371">
        <w:t xml:space="preserve"> (table </w:t>
      </w:r>
      <w:r w:rsidR="00121B7F">
        <w:t>3.11</w:t>
      </w:r>
      <w:r w:rsidR="00750371">
        <w:t>)</w:t>
      </w:r>
      <w:r>
        <w:t>. These spells are more likely to occur in the earlier p</w:t>
      </w:r>
      <w:r w:rsidR="00B07E7A">
        <w:t>art of the observation period.</w:t>
      </w:r>
    </w:p>
    <w:p w:rsidR="00713E38" w:rsidRDefault="00713E38" w:rsidP="00713E38">
      <w:pPr>
        <w:pStyle w:val="BodyText"/>
      </w:pPr>
      <w:r>
        <w:t>From 2004, when the average age is about 52 years and the maximum is 57 years, the share of individuals in NILF begins to increase</w:t>
      </w:r>
      <w:r w:rsidRPr="003E5B41">
        <w:t xml:space="preserve"> </w:t>
      </w:r>
      <w:r>
        <w:t>sharply</w:t>
      </w:r>
      <w:r w:rsidR="00750371">
        <w:t xml:space="preserve"> (figure </w:t>
      </w:r>
      <w:r w:rsidR="00121B7F">
        <w:t>3.6</w:t>
      </w:r>
      <w:r w:rsidR="00750371">
        <w:t>)</w:t>
      </w:r>
      <w:r>
        <w:t xml:space="preserve">. </w:t>
      </w:r>
      <w:r w:rsidR="00397D03">
        <w:t xml:space="preserve">This is </w:t>
      </w:r>
      <w:r w:rsidR="00FD57F4">
        <w:t xml:space="preserve">partially explained by ageing, although it is unclear why </w:t>
      </w:r>
      <w:r w:rsidR="00B00107">
        <w:t>NILF</w:t>
      </w:r>
      <w:r w:rsidR="00FD57F4">
        <w:t xml:space="preserve"> increases so sharply</w:t>
      </w:r>
      <w:r w:rsidR="00B00107">
        <w:t xml:space="preserve"> at a time when the economy was growing so strongly</w:t>
      </w:r>
      <w:r w:rsidR="00FD57F4">
        <w:t xml:space="preserve">. (For example, there were no major policy changes around this time.) </w:t>
      </w:r>
      <w:r>
        <w:t xml:space="preserve">By 2010, 83 per cent are NILF and </w:t>
      </w:r>
      <w:r w:rsidR="00410C5E">
        <w:t>about half of the</w:t>
      </w:r>
      <w:r w:rsidR="00B00107">
        <w:t>se individuals</w:t>
      </w:r>
      <w:r w:rsidR="00410C5E">
        <w:t xml:space="preserve"> are </w:t>
      </w:r>
      <w:r>
        <w:t xml:space="preserve">more than </w:t>
      </w:r>
      <w:r w:rsidR="00410C5E" w:rsidRPr="00410C5E">
        <w:t>60</w:t>
      </w:r>
      <w:r>
        <w:t xml:space="preserve"> years old. Consistent with the age profile of individuals in this pathway, most of the increasing NILF activity is due to retirement f</w:t>
      </w:r>
      <w:r w:rsidR="00DE3D51">
        <w:t>rom the workforce (60 per cent).</w:t>
      </w:r>
      <w:r>
        <w:t xml:space="preserve"> </w:t>
      </w:r>
      <w:r w:rsidR="00DE3D51">
        <w:t xml:space="preserve">Other reasons for leaving the labour force include </w:t>
      </w:r>
      <w:r>
        <w:t>illness, injury</w:t>
      </w:r>
      <w:r w:rsidR="00DE3D51">
        <w:t>,</w:t>
      </w:r>
      <w:r>
        <w:t xml:space="preserve"> disability or care </w:t>
      </w:r>
      <w:r w:rsidR="00DE3D51">
        <w:t>obligations</w:t>
      </w:r>
      <w:r>
        <w:t xml:space="preserve"> (22 per cent)</w:t>
      </w:r>
      <w:r w:rsidR="00750371">
        <w:t xml:space="preserve"> (not shown)</w:t>
      </w:r>
      <w:r>
        <w:t xml:space="preserve">. </w:t>
      </w:r>
      <w:r>
        <w:lastRenderedPageBreak/>
        <w:t>Nearly everyone in this pathway spends some time in NILF, averaging 1.74 spells of 21.4 months per spell.</w:t>
      </w:r>
      <w:r>
        <w:rPr>
          <w:rStyle w:val="FootnoteReference"/>
        </w:rPr>
        <w:footnoteReference w:id="10"/>
      </w:r>
    </w:p>
    <w:p w:rsidR="00713E38" w:rsidRDefault="00DE3D51" w:rsidP="00713E38">
      <w:pPr>
        <w:pStyle w:val="BodyText"/>
      </w:pPr>
      <w:r>
        <w:t>Accompanying</w:t>
      </w:r>
      <w:r w:rsidR="00B00107">
        <w:t xml:space="preserve"> </w:t>
      </w:r>
      <w:r w:rsidR="00713E38">
        <w:t xml:space="preserve">this story of the transition to retirement </w:t>
      </w:r>
      <w:r w:rsidR="00B00107">
        <w:t>is</w:t>
      </w:r>
      <w:r w:rsidR="00713E38">
        <w:t xml:space="preserve"> one of geographic movement. In 2001, 59 per cent of individuals reside in major cities</w:t>
      </w:r>
      <w:r w:rsidR="00410C5E">
        <w:t>, although 15</w:t>
      </w:r>
      <w:r w:rsidR="003A099D">
        <w:t> </w:t>
      </w:r>
      <w:r w:rsidR="00410C5E">
        <w:t>per cent of them subsequently move to regional or remote areas (most likely as they retire)</w:t>
      </w:r>
      <w:r w:rsidR="00713E38">
        <w:t xml:space="preserve">. This reduces the proportion </w:t>
      </w:r>
      <w:r w:rsidR="00410C5E">
        <w:t xml:space="preserve">in this pathway </w:t>
      </w:r>
      <w:r w:rsidR="00713E38">
        <w:t>living in major cities to 50</w:t>
      </w:r>
      <w:r w:rsidR="003A099D">
        <w:t> </w:t>
      </w:r>
      <w:r w:rsidR="00713E38">
        <w:t>per cent by 2010</w:t>
      </w:r>
      <w:r w:rsidR="00FA4556">
        <w:t xml:space="preserve"> (table </w:t>
      </w:r>
      <w:r w:rsidR="00121B7F">
        <w:t>3.10</w:t>
      </w:r>
      <w:r w:rsidR="00FA4556">
        <w:t>)</w:t>
      </w:r>
      <w:r w:rsidR="00713E38">
        <w:t>.</w:t>
      </w:r>
    </w:p>
    <w:p w:rsidR="00450928" w:rsidRDefault="003A099D" w:rsidP="00DE5B40">
      <w:pPr>
        <w:pStyle w:val="BodyText"/>
      </w:pPr>
      <w:r>
        <w:t xml:space="preserve">Spells of </w:t>
      </w:r>
      <w:r w:rsidR="00713E38">
        <w:t xml:space="preserve">other activities </w:t>
      </w:r>
      <w:r>
        <w:t>are infrequent and tend</w:t>
      </w:r>
      <w:r w:rsidR="00713E38">
        <w:t xml:space="preserve"> to </w:t>
      </w:r>
      <w:r>
        <w:t xml:space="preserve">last </w:t>
      </w:r>
      <w:r w:rsidR="00713E38">
        <w:t xml:space="preserve">about </w:t>
      </w:r>
      <w:r w:rsidR="00A310CE">
        <w:t>six </w:t>
      </w:r>
      <w:r w:rsidR="00713E38">
        <w:t>months</w:t>
      </w:r>
      <w:r>
        <w:t xml:space="preserve"> on average</w:t>
      </w:r>
      <w:r w:rsidR="00713E38">
        <w:t>. The limited incidence and short duration of study means that education levels remain quite low</w:t>
      </w:r>
      <w:r w:rsidR="00B00107">
        <w:t>. M</w:t>
      </w:r>
      <w:r w:rsidR="00713E38">
        <w:t xml:space="preserve">ost higher level qualifications require significantly more than six months to </w:t>
      </w:r>
      <w:r w:rsidR="00B00107">
        <w:t>complete</w:t>
      </w:r>
      <w:r w:rsidR="00410C5E">
        <w:t xml:space="preserve"> and are unlikely to be undertaken </w:t>
      </w:r>
      <w:r w:rsidR="00B00107">
        <w:t xml:space="preserve">by individuals in a later </w:t>
      </w:r>
      <w:r w:rsidR="00410C5E">
        <w:t xml:space="preserve">stage </w:t>
      </w:r>
      <w:r w:rsidR="00B00107">
        <w:t>of their life cycle</w:t>
      </w:r>
      <w:r w:rsidR="00713E38">
        <w:t>.</w:t>
      </w:r>
      <w:r w:rsidR="00713E38">
        <w:rPr>
          <w:rStyle w:val="FootnoteReference"/>
        </w:rPr>
        <w:footnoteReference w:id="11"/>
      </w:r>
    </w:p>
    <w:p w:rsidR="008B6DA4" w:rsidRPr="0002368C" w:rsidRDefault="008B6DA4" w:rsidP="008B6DA4">
      <w:pPr>
        <w:pStyle w:val="FigureTitle"/>
      </w:pPr>
      <w:r>
        <w:rPr>
          <w:b w:val="0"/>
        </w:rPr>
        <w:lastRenderedPageBreak/>
        <w:t xml:space="preserve">Figure </w:t>
      </w:r>
      <w:bookmarkStart w:id="26" w:name="OLE_LINK25"/>
      <w:r w:rsidR="00121B7F">
        <w:rPr>
          <w:b w:val="0"/>
        </w:rPr>
        <w:t>3.</w:t>
      </w:r>
      <w:r w:rsidR="00C42746">
        <w:rPr>
          <w:b w:val="0"/>
          <w:noProof/>
        </w:rPr>
        <w:t>6</w:t>
      </w:r>
      <w:bookmarkEnd w:id="26"/>
      <w:r>
        <w:tab/>
        <w:t xml:space="preserve">Activities in the </w:t>
      </w:r>
      <w:r w:rsidR="00D44D55" w:rsidRPr="003A099D">
        <w:rPr>
          <w:i/>
        </w:rPr>
        <w:t>Work to NILF</w:t>
      </w:r>
      <w:r>
        <w:t xml:space="preserve"> pathway for </w:t>
      </w:r>
      <w:r w:rsidR="00450928">
        <w:t>mature adults</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8B6DA4" w:rsidTr="008B6DA4">
        <w:tc>
          <w:tcPr>
            <w:tcW w:w="8777" w:type="dxa"/>
          </w:tcPr>
          <w:p w:rsidR="008B6DA4" w:rsidRPr="00AF4FFC" w:rsidRDefault="008B6DA4" w:rsidP="008B6DA4">
            <w:pPr>
              <w:pStyle w:val="Figure"/>
              <w:rPr>
                <w:rFonts w:ascii="Arial" w:hAnsi="Arial" w:cs="Arial"/>
                <w:b/>
                <w:sz w:val="20"/>
              </w:rPr>
            </w:pPr>
            <w:r w:rsidRPr="00AF4FFC">
              <w:rPr>
                <w:rFonts w:ascii="Arial" w:hAnsi="Arial" w:cs="Arial"/>
                <w:b/>
                <w:sz w:val="20"/>
              </w:rPr>
              <w:t>(A) Activity sequences by individual</w:t>
            </w:r>
          </w:p>
          <w:p w:rsidR="008B6DA4" w:rsidRDefault="00C20187" w:rsidP="00F77B16">
            <w:pPr>
              <w:pStyle w:val="Figure"/>
              <w:jc w:val="left"/>
            </w:pPr>
            <w:r>
              <w:rPr>
                <w:noProof/>
              </w:rPr>
              <w:t>  </w:t>
            </w:r>
            <w:r w:rsidR="007C193D">
              <w:rPr>
                <w:noProof/>
              </w:rPr>
              <w:t>        </w:t>
            </w:r>
            <w:r w:rsidR="007C193D">
              <w:rPr>
                <w:noProof/>
              </w:rPr>
              <w:drawing>
                <wp:inline distT="0" distB="0" distL="0" distR="0" wp14:anchorId="44E1908D" wp14:editId="1C735973">
                  <wp:extent cx="4514215" cy="3286760"/>
                  <wp:effectExtent l="0" t="0" r="0" b="0"/>
                  <wp:docPr id="8" name="Picture 8" descr="Figure 3.6 Activities in the Work to NILF pathway for mature adults panel A - Activity sequences by individual&#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Longitudinal Surveys\Hilda R10\100c\CB\meanprobdist\recode activity\final SI plots\MA_2.png"/>
                          <pic:cNvPicPr>
                            <a:picLocks noChangeAspect="1" noChangeArrowheads="1"/>
                          </pic:cNvPicPr>
                        </pic:nvPicPr>
                        <pic:blipFill rotWithShape="1">
                          <a:blip r:embed="rId18">
                            <a:extLst>
                              <a:ext uri="{28A0092B-C50C-407E-A947-70E740481C1C}">
                                <a14:useLocalDpi xmlns:a14="http://schemas.microsoft.com/office/drawing/2010/main" val="0"/>
                              </a:ext>
                            </a:extLst>
                          </a:blip>
                          <a:srcRect l="-399" t="548" r="399" b="-548"/>
                          <a:stretch/>
                        </pic:blipFill>
                        <pic:spPr bwMode="auto">
                          <a:xfrm>
                            <a:off x="0" y="0"/>
                            <a:ext cx="4514215" cy="3286760"/>
                          </a:xfrm>
                          <a:prstGeom prst="rect">
                            <a:avLst/>
                          </a:prstGeom>
                          <a:noFill/>
                          <a:ln>
                            <a:noFill/>
                          </a:ln>
                        </pic:spPr>
                      </pic:pic>
                    </a:graphicData>
                  </a:graphic>
                </wp:inline>
              </w:drawing>
            </w:r>
          </w:p>
        </w:tc>
      </w:tr>
      <w:tr w:rsidR="008B6DA4" w:rsidTr="008B6DA4">
        <w:tc>
          <w:tcPr>
            <w:tcW w:w="8777" w:type="dxa"/>
          </w:tcPr>
          <w:p w:rsidR="008B6DA4" w:rsidRPr="00AF4FFC" w:rsidRDefault="008B6DA4" w:rsidP="008B6DA4">
            <w:pPr>
              <w:pStyle w:val="Figure"/>
              <w:rPr>
                <w:rFonts w:ascii="Arial" w:hAnsi="Arial" w:cs="Arial"/>
                <w:b/>
                <w:sz w:val="20"/>
              </w:rPr>
            </w:pPr>
            <w:r w:rsidRPr="00AF4FFC">
              <w:rPr>
                <w:rFonts w:ascii="Arial" w:hAnsi="Arial" w:cs="Arial"/>
                <w:b/>
                <w:sz w:val="20"/>
              </w:rPr>
              <w:t>(B) Activities by monthly share</w:t>
            </w:r>
          </w:p>
          <w:p w:rsidR="008B6DA4" w:rsidRDefault="00E52838" w:rsidP="008B6DA4">
            <w:pPr>
              <w:pStyle w:val="Figure"/>
            </w:pPr>
            <w:r>
              <w:rPr>
                <w:noProof/>
              </w:rPr>
              <w:drawing>
                <wp:inline distT="0" distB="0" distL="0" distR="0" wp14:anchorId="103B5DA8" wp14:editId="5084B771">
                  <wp:extent cx="4165200" cy="2725200"/>
                  <wp:effectExtent l="0" t="0" r="0" b="0"/>
                  <wp:docPr id="20" name="Picture 20" descr="Figure 3.6 Activities in the Work to NILF pathway for mature adults panel B - Activities by monthly sh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65200" cy="2725200"/>
                          </a:xfrm>
                          <a:prstGeom prst="rect">
                            <a:avLst/>
                          </a:prstGeom>
                          <a:noFill/>
                        </pic:spPr>
                      </pic:pic>
                    </a:graphicData>
                  </a:graphic>
                </wp:inline>
              </w:drawing>
            </w:r>
          </w:p>
        </w:tc>
      </w:tr>
    </w:tbl>
    <w:p w:rsidR="008B6DA4" w:rsidRDefault="008B6DA4" w:rsidP="008B6DA4">
      <w:pPr>
        <w:pStyle w:val="Source"/>
      </w:pPr>
      <w:r>
        <w:rPr>
          <w:i/>
        </w:rPr>
        <w:t>Data source</w:t>
      </w:r>
      <w:r w:rsidRPr="00167F06">
        <w:t xml:space="preserve">: </w:t>
      </w:r>
      <w:r w:rsidR="005C3704">
        <w:t xml:space="preserve">Authors’ estimates </w:t>
      </w:r>
      <w:r>
        <w:t>based on HILDA waves 1–10.</w:t>
      </w:r>
    </w:p>
    <w:p w:rsidR="008B6DA4" w:rsidRPr="00A413CD" w:rsidRDefault="008B6DA4" w:rsidP="008B6DA4">
      <w:pPr>
        <w:pStyle w:val="BodyText"/>
      </w:pPr>
    </w:p>
    <w:p w:rsidR="00450928" w:rsidRDefault="00450928" w:rsidP="00450928">
      <w:pPr>
        <w:pStyle w:val="TableTitle"/>
      </w:pPr>
      <w:r>
        <w:rPr>
          <w:b w:val="0"/>
        </w:rPr>
        <w:lastRenderedPageBreak/>
        <w:t xml:space="preserve">Table </w:t>
      </w:r>
      <w:bookmarkStart w:id="27" w:name="OLE_LINK24"/>
      <w:r w:rsidR="00121B7F">
        <w:rPr>
          <w:b w:val="0"/>
        </w:rPr>
        <w:t>3.</w:t>
      </w:r>
      <w:r w:rsidR="00C42746">
        <w:rPr>
          <w:b w:val="0"/>
          <w:noProof/>
        </w:rPr>
        <w:t>10</w:t>
      </w:r>
      <w:bookmarkEnd w:id="27"/>
      <w:r>
        <w:tab/>
        <w:t xml:space="preserve">Selected characteristics of individuals in the </w:t>
      </w:r>
      <w:r w:rsidR="00D44D55" w:rsidRPr="00E9795B">
        <w:rPr>
          <w:i/>
        </w:rPr>
        <w:t>Work to NILF</w:t>
      </w:r>
      <w:r>
        <w:t xml:space="preserve"> pathway for mature adults</w:t>
      </w:r>
    </w:p>
    <w:tbl>
      <w:tblPr>
        <w:tblW w:w="0" w:type="auto"/>
        <w:tblLayout w:type="fixed"/>
        <w:tblCellMar>
          <w:left w:w="0" w:type="dxa"/>
          <w:right w:w="0" w:type="dxa"/>
        </w:tblCellMar>
        <w:tblLook w:val="0000" w:firstRow="0" w:lastRow="0" w:firstColumn="0" w:lastColumn="0" w:noHBand="0" w:noVBand="0"/>
      </w:tblPr>
      <w:tblGrid>
        <w:gridCol w:w="3969"/>
        <w:gridCol w:w="1843"/>
        <w:gridCol w:w="1134"/>
        <w:gridCol w:w="1843"/>
      </w:tblGrid>
      <w:tr w:rsidR="00450928" w:rsidTr="00DE4EEF">
        <w:tc>
          <w:tcPr>
            <w:tcW w:w="3969" w:type="dxa"/>
            <w:tcBorders>
              <w:top w:val="single" w:sz="6" w:space="0" w:color="auto"/>
              <w:bottom w:val="single" w:sz="6" w:space="0" w:color="auto"/>
            </w:tcBorders>
            <w:shd w:val="clear" w:color="auto" w:fill="auto"/>
            <w:vAlign w:val="bottom"/>
          </w:tcPr>
          <w:p w:rsidR="00450928" w:rsidRDefault="00450928" w:rsidP="00DE4EEF">
            <w:pPr>
              <w:pStyle w:val="TableColumnHeading"/>
              <w:jc w:val="left"/>
            </w:pPr>
            <w:r>
              <w:t>Characteristic</w:t>
            </w:r>
          </w:p>
        </w:tc>
        <w:tc>
          <w:tcPr>
            <w:tcW w:w="1843" w:type="dxa"/>
            <w:tcBorders>
              <w:top w:val="single" w:sz="6" w:space="0" w:color="auto"/>
              <w:bottom w:val="single" w:sz="6" w:space="0" w:color="auto"/>
            </w:tcBorders>
            <w:shd w:val="clear" w:color="auto" w:fill="auto"/>
            <w:vAlign w:val="bottom"/>
          </w:tcPr>
          <w:p w:rsidR="00450928" w:rsidRDefault="00450928" w:rsidP="00DE4EEF">
            <w:pPr>
              <w:pStyle w:val="TableColumnHeading"/>
              <w:jc w:val="left"/>
            </w:pPr>
            <w:r>
              <w:t>Measure</w:t>
            </w:r>
          </w:p>
        </w:tc>
        <w:tc>
          <w:tcPr>
            <w:tcW w:w="1134" w:type="dxa"/>
            <w:tcBorders>
              <w:top w:val="single" w:sz="6" w:space="0" w:color="auto"/>
              <w:bottom w:val="single" w:sz="6" w:space="0" w:color="auto"/>
            </w:tcBorders>
            <w:vAlign w:val="bottom"/>
          </w:tcPr>
          <w:p w:rsidR="00450928" w:rsidRDefault="00450928" w:rsidP="00DE4EEF">
            <w:pPr>
              <w:pStyle w:val="TableColumnHeading"/>
            </w:pPr>
            <w:r>
              <w:t>W–N pathway</w:t>
            </w:r>
          </w:p>
        </w:tc>
        <w:tc>
          <w:tcPr>
            <w:tcW w:w="1843" w:type="dxa"/>
            <w:tcBorders>
              <w:top w:val="single" w:sz="6" w:space="0" w:color="auto"/>
              <w:bottom w:val="single" w:sz="6" w:space="0" w:color="auto"/>
            </w:tcBorders>
            <w:shd w:val="clear" w:color="auto" w:fill="auto"/>
            <w:vAlign w:val="bottom"/>
          </w:tcPr>
          <w:p w:rsidR="00450928" w:rsidRDefault="00450928" w:rsidP="00DE4EEF">
            <w:pPr>
              <w:pStyle w:val="TableColumnHeading"/>
              <w:ind w:right="0"/>
            </w:pPr>
            <w:r>
              <w:t>All mature adult pathways</w:t>
            </w:r>
          </w:p>
        </w:tc>
      </w:tr>
      <w:tr w:rsidR="00450928" w:rsidTr="00450928">
        <w:tc>
          <w:tcPr>
            <w:tcW w:w="3969" w:type="dxa"/>
          </w:tcPr>
          <w:p w:rsidR="00450928" w:rsidRPr="00ED5DF6" w:rsidRDefault="00450928" w:rsidP="00450928">
            <w:pPr>
              <w:pStyle w:val="TableBodyText"/>
              <w:spacing w:before="80"/>
              <w:jc w:val="left"/>
              <w:rPr>
                <w:b/>
              </w:rPr>
            </w:pPr>
            <w:r w:rsidRPr="00ED5DF6">
              <w:rPr>
                <w:b/>
              </w:rPr>
              <w:t>In 2001:</w:t>
            </w:r>
          </w:p>
        </w:tc>
        <w:tc>
          <w:tcPr>
            <w:tcW w:w="1843" w:type="dxa"/>
          </w:tcPr>
          <w:p w:rsidR="00450928" w:rsidRDefault="00450928" w:rsidP="00450928">
            <w:pPr>
              <w:pStyle w:val="TableBodyText"/>
              <w:spacing w:before="80"/>
              <w:jc w:val="left"/>
            </w:pPr>
          </w:p>
        </w:tc>
        <w:tc>
          <w:tcPr>
            <w:tcW w:w="1134" w:type="dxa"/>
          </w:tcPr>
          <w:p w:rsidR="00450928" w:rsidRDefault="00450928" w:rsidP="00450928">
            <w:pPr>
              <w:pStyle w:val="TableBodyText"/>
              <w:spacing w:before="80"/>
            </w:pPr>
          </w:p>
        </w:tc>
        <w:tc>
          <w:tcPr>
            <w:tcW w:w="1843" w:type="dxa"/>
          </w:tcPr>
          <w:p w:rsidR="00450928" w:rsidRDefault="00450928" w:rsidP="00450928">
            <w:pPr>
              <w:pStyle w:val="TableBodyText"/>
              <w:spacing w:before="80"/>
              <w:ind w:right="0"/>
            </w:pPr>
          </w:p>
        </w:tc>
      </w:tr>
      <w:tr w:rsidR="00450928" w:rsidTr="00450928">
        <w:tc>
          <w:tcPr>
            <w:tcW w:w="3969" w:type="dxa"/>
          </w:tcPr>
          <w:p w:rsidR="00450928" w:rsidRDefault="00450928" w:rsidP="00450928">
            <w:pPr>
              <w:pStyle w:val="TableBodyText"/>
              <w:jc w:val="left"/>
            </w:pPr>
            <w:r>
              <w:t>age</w:t>
            </w:r>
          </w:p>
        </w:tc>
        <w:tc>
          <w:tcPr>
            <w:tcW w:w="1843" w:type="dxa"/>
          </w:tcPr>
          <w:p w:rsidR="00450928" w:rsidRDefault="00450928" w:rsidP="00450928">
            <w:pPr>
              <w:pStyle w:val="TableBodyText"/>
              <w:jc w:val="left"/>
            </w:pPr>
            <w:r>
              <w:t>years, average</w:t>
            </w:r>
          </w:p>
        </w:tc>
        <w:tc>
          <w:tcPr>
            <w:tcW w:w="1134" w:type="dxa"/>
            <w:vAlign w:val="bottom"/>
          </w:tcPr>
          <w:p w:rsidR="00450928" w:rsidRDefault="00450928" w:rsidP="00450928">
            <w:pPr>
              <w:pStyle w:val="TableBodyText"/>
            </w:pPr>
            <w:r>
              <w:t>49.1</w:t>
            </w:r>
          </w:p>
        </w:tc>
        <w:tc>
          <w:tcPr>
            <w:tcW w:w="1843" w:type="dxa"/>
            <w:vAlign w:val="bottom"/>
          </w:tcPr>
          <w:p w:rsidR="00450928" w:rsidRDefault="00450928" w:rsidP="00450928">
            <w:pPr>
              <w:pStyle w:val="TableBodyText"/>
              <w:ind w:right="0"/>
            </w:pPr>
            <w:r>
              <w:t>46.7</w:t>
            </w:r>
          </w:p>
        </w:tc>
      </w:tr>
      <w:tr w:rsidR="00450928" w:rsidTr="00450928">
        <w:tc>
          <w:tcPr>
            <w:tcW w:w="3969" w:type="dxa"/>
          </w:tcPr>
          <w:p w:rsidR="00450928" w:rsidRDefault="00450928" w:rsidP="00450928">
            <w:pPr>
              <w:pStyle w:val="TableBodyText"/>
              <w:jc w:val="left"/>
            </w:pPr>
            <w:r>
              <w:t>gender</w:t>
            </w:r>
          </w:p>
        </w:tc>
        <w:tc>
          <w:tcPr>
            <w:tcW w:w="1843" w:type="dxa"/>
          </w:tcPr>
          <w:p w:rsidR="00450928" w:rsidRDefault="00450928" w:rsidP="00450928">
            <w:pPr>
              <w:pStyle w:val="TableBodyText"/>
              <w:jc w:val="left"/>
            </w:pPr>
            <w:r>
              <w:t>% female</w:t>
            </w:r>
          </w:p>
        </w:tc>
        <w:tc>
          <w:tcPr>
            <w:tcW w:w="1134" w:type="dxa"/>
            <w:vAlign w:val="bottom"/>
          </w:tcPr>
          <w:p w:rsidR="00450928" w:rsidRDefault="00450928" w:rsidP="00450928">
            <w:pPr>
              <w:pStyle w:val="TableBodyText"/>
            </w:pPr>
            <w:r>
              <w:t>58.06</w:t>
            </w:r>
          </w:p>
        </w:tc>
        <w:tc>
          <w:tcPr>
            <w:tcW w:w="1843" w:type="dxa"/>
            <w:vAlign w:val="bottom"/>
          </w:tcPr>
          <w:p w:rsidR="00450928" w:rsidRDefault="00450928" w:rsidP="00450928">
            <w:pPr>
              <w:pStyle w:val="TableBodyText"/>
              <w:ind w:right="0"/>
            </w:pPr>
            <w:r>
              <w:t>53.82</w:t>
            </w:r>
          </w:p>
        </w:tc>
      </w:tr>
      <w:tr w:rsidR="00450928" w:rsidTr="00450928">
        <w:tc>
          <w:tcPr>
            <w:tcW w:w="3969" w:type="dxa"/>
          </w:tcPr>
          <w:p w:rsidR="00450928" w:rsidRDefault="00450928" w:rsidP="00450928">
            <w:pPr>
              <w:pStyle w:val="TableBodyText"/>
              <w:jc w:val="left"/>
            </w:pPr>
            <w:r>
              <w:t>locality (remoteness)</w:t>
            </w:r>
          </w:p>
        </w:tc>
        <w:tc>
          <w:tcPr>
            <w:tcW w:w="1843" w:type="dxa"/>
          </w:tcPr>
          <w:p w:rsidR="00450928" w:rsidRDefault="00450928" w:rsidP="00450928">
            <w:pPr>
              <w:pStyle w:val="TableBodyText"/>
              <w:jc w:val="left"/>
            </w:pPr>
            <w:r>
              <w:t>% major city</w:t>
            </w:r>
          </w:p>
        </w:tc>
        <w:tc>
          <w:tcPr>
            <w:tcW w:w="1134" w:type="dxa"/>
            <w:vAlign w:val="bottom"/>
          </w:tcPr>
          <w:p w:rsidR="00450928" w:rsidRDefault="00450928" w:rsidP="00450928">
            <w:pPr>
              <w:pStyle w:val="TableBodyText"/>
            </w:pPr>
            <w:r>
              <w:t>58.53</w:t>
            </w:r>
          </w:p>
        </w:tc>
        <w:tc>
          <w:tcPr>
            <w:tcW w:w="1843" w:type="dxa"/>
            <w:vAlign w:val="bottom"/>
          </w:tcPr>
          <w:p w:rsidR="00450928" w:rsidRDefault="00450928" w:rsidP="00450928">
            <w:pPr>
              <w:pStyle w:val="TableBodyText"/>
              <w:ind w:right="0"/>
            </w:pPr>
            <w:r>
              <w:t>60.62</w:t>
            </w:r>
          </w:p>
        </w:tc>
      </w:tr>
      <w:tr w:rsidR="00450928" w:rsidTr="00722111">
        <w:tc>
          <w:tcPr>
            <w:tcW w:w="3969" w:type="dxa"/>
          </w:tcPr>
          <w:p w:rsidR="00450928" w:rsidRDefault="00450928" w:rsidP="00450928">
            <w:pPr>
              <w:pStyle w:val="TableBodyText"/>
              <w:jc w:val="left"/>
            </w:pPr>
            <w:r>
              <w:t>highest level of education</w:t>
            </w:r>
            <w:r w:rsidRPr="00DE4890">
              <w:rPr>
                <w:rStyle w:val="NoteLabel"/>
              </w:rPr>
              <w:t>a</w:t>
            </w:r>
          </w:p>
        </w:tc>
        <w:tc>
          <w:tcPr>
            <w:tcW w:w="1843" w:type="dxa"/>
            <w:vAlign w:val="bottom"/>
          </w:tcPr>
          <w:p w:rsidR="00450928" w:rsidRDefault="00450928" w:rsidP="00722111">
            <w:pPr>
              <w:pStyle w:val="TableBodyText"/>
              <w:jc w:val="left"/>
            </w:pPr>
            <w:r>
              <w:t>% high</w:t>
            </w:r>
          </w:p>
        </w:tc>
        <w:tc>
          <w:tcPr>
            <w:tcW w:w="1134" w:type="dxa"/>
            <w:vAlign w:val="bottom"/>
          </w:tcPr>
          <w:p w:rsidR="00450928" w:rsidRDefault="00450928" w:rsidP="00450928">
            <w:pPr>
              <w:pStyle w:val="TableBodyText"/>
            </w:pPr>
            <w:r>
              <w:t>21.66</w:t>
            </w:r>
          </w:p>
        </w:tc>
        <w:tc>
          <w:tcPr>
            <w:tcW w:w="1843" w:type="dxa"/>
            <w:vAlign w:val="bottom"/>
          </w:tcPr>
          <w:p w:rsidR="00450928" w:rsidRDefault="00450928" w:rsidP="00450928">
            <w:pPr>
              <w:pStyle w:val="TableBodyText"/>
              <w:ind w:right="0"/>
            </w:pPr>
            <w:r>
              <w:t>24.39</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C30F41">
            <w:pPr>
              <w:pStyle w:val="TableBodyText"/>
              <w:jc w:val="left"/>
            </w:pPr>
            <w:r>
              <w:t xml:space="preserve">% </w:t>
            </w:r>
            <w:r w:rsidR="00C30F41">
              <w:t>m</w:t>
            </w:r>
            <w:r>
              <w:t>edium</w:t>
            </w:r>
          </w:p>
        </w:tc>
        <w:tc>
          <w:tcPr>
            <w:tcW w:w="1134" w:type="dxa"/>
            <w:vAlign w:val="bottom"/>
          </w:tcPr>
          <w:p w:rsidR="00450928" w:rsidRDefault="00450928" w:rsidP="00450928">
            <w:pPr>
              <w:pStyle w:val="TableBodyText"/>
            </w:pPr>
            <w:r>
              <w:t>34.1</w:t>
            </w:r>
          </w:p>
        </w:tc>
        <w:tc>
          <w:tcPr>
            <w:tcW w:w="1843" w:type="dxa"/>
            <w:vAlign w:val="bottom"/>
          </w:tcPr>
          <w:p w:rsidR="00450928" w:rsidRDefault="00450928" w:rsidP="00450928">
            <w:pPr>
              <w:pStyle w:val="TableBodyText"/>
              <w:ind w:right="0"/>
            </w:pPr>
            <w:r>
              <w:t>40.06</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450928">
            <w:pPr>
              <w:pStyle w:val="TableBodyText"/>
              <w:jc w:val="left"/>
            </w:pPr>
            <w:r>
              <w:t>% low</w:t>
            </w:r>
          </w:p>
        </w:tc>
        <w:tc>
          <w:tcPr>
            <w:tcW w:w="1134" w:type="dxa"/>
            <w:vAlign w:val="bottom"/>
          </w:tcPr>
          <w:p w:rsidR="00450928" w:rsidRDefault="00450928" w:rsidP="00450928">
            <w:pPr>
              <w:pStyle w:val="TableBodyText"/>
            </w:pPr>
            <w:r>
              <w:t>44.23</w:t>
            </w:r>
          </w:p>
        </w:tc>
        <w:tc>
          <w:tcPr>
            <w:tcW w:w="1843" w:type="dxa"/>
            <w:vAlign w:val="bottom"/>
          </w:tcPr>
          <w:p w:rsidR="00450928" w:rsidRDefault="00450928" w:rsidP="00450928">
            <w:pPr>
              <w:pStyle w:val="TableBodyText"/>
              <w:ind w:right="0"/>
            </w:pPr>
            <w:r>
              <w:t>35.56</w:t>
            </w:r>
          </w:p>
        </w:tc>
      </w:tr>
      <w:tr w:rsidR="00450928" w:rsidTr="00450928">
        <w:tc>
          <w:tcPr>
            <w:tcW w:w="3969" w:type="dxa"/>
          </w:tcPr>
          <w:p w:rsidR="00450928" w:rsidRDefault="006A600A" w:rsidP="00450928">
            <w:pPr>
              <w:pStyle w:val="TableBodyText"/>
              <w:jc w:val="left"/>
            </w:pPr>
            <w:r>
              <w:t>u</w:t>
            </w:r>
            <w:r w:rsidR="00450928">
              <w:t>nemployed</w:t>
            </w:r>
          </w:p>
        </w:tc>
        <w:tc>
          <w:tcPr>
            <w:tcW w:w="1843" w:type="dxa"/>
          </w:tcPr>
          <w:p w:rsidR="00450928" w:rsidRDefault="00450928" w:rsidP="00450928">
            <w:pPr>
              <w:pStyle w:val="TableBodyText"/>
              <w:jc w:val="left"/>
            </w:pPr>
            <w:r>
              <w:t>% U</w:t>
            </w:r>
          </w:p>
        </w:tc>
        <w:tc>
          <w:tcPr>
            <w:tcW w:w="1134" w:type="dxa"/>
            <w:vAlign w:val="bottom"/>
          </w:tcPr>
          <w:p w:rsidR="00450928" w:rsidRDefault="00450928" w:rsidP="00450928">
            <w:pPr>
              <w:pStyle w:val="TableBodyText"/>
            </w:pPr>
            <w:r>
              <w:t>4.61</w:t>
            </w:r>
          </w:p>
        </w:tc>
        <w:tc>
          <w:tcPr>
            <w:tcW w:w="1843" w:type="dxa"/>
            <w:vAlign w:val="bottom"/>
          </w:tcPr>
          <w:p w:rsidR="00450928" w:rsidRDefault="00450928" w:rsidP="00450928">
            <w:pPr>
              <w:pStyle w:val="TableBodyText"/>
              <w:ind w:right="0"/>
            </w:pPr>
            <w:r>
              <w:t>3.53</w:t>
            </w:r>
          </w:p>
        </w:tc>
      </w:tr>
      <w:tr w:rsidR="00450928" w:rsidTr="00450928">
        <w:tc>
          <w:tcPr>
            <w:tcW w:w="3969" w:type="dxa"/>
          </w:tcPr>
          <w:p w:rsidR="00450928" w:rsidRDefault="00450928" w:rsidP="00450928">
            <w:pPr>
              <w:pStyle w:val="TableBodyText"/>
              <w:jc w:val="left"/>
            </w:pPr>
            <w:r>
              <w:t>NILF (inc</w:t>
            </w:r>
            <w:r w:rsidR="00406870">
              <w:t>l</w:t>
            </w:r>
            <w:r>
              <w:t>. marginally attached)</w:t>
            </w:r>
          </w:p>
        </w:tc>
        <w:tc>
          <w:tcPr>
            <w:tcW w:w="1843" w:type="dxa"/>
          </w:tcPr>
          <w:p w:rsidR="00450928" w:rsidRDefault="00450928" w:rsidP="00450928">
            <w:pPr>
              <w:pStyle w:val="TableBodyText"/>
              <w:jc w:val="left"/>
            </w:pPr>
            <w:r>
              <w:t>% NILF</w:t>
            </w:r>
          </w:p>
        </w:tc>
        <w:tc>
          <w:tcPr>
            <w:tcW w:w="1134" w:type="dxa"/>
            <w:vAlign w:val="bottom"/>
          </w:tcPr>
          <w:p w:rsidR="00450928" w:rsidRDefault="00450928" w:rsidP="00450928">
            <w:pPr>
              <w:pStyle w:val="TableBodyText"/>
            </w:pPr>
            <w:r>
              <w:t>4.15</w:t>
            </w:r>
          </w:p>
        </w:tc>
        <w:tc>
          <w:tcPr>
            <w:tcW w:w="1843" w:type="dxa"/>
            <w:vAlign w:val="bottom"/>
          </w:tcPr>
          <w:p w:rsidR="00450928" w:rsidRDefault="00450928" w:rsidP="00450928">
            <w:pPr>
              <w:pStyle w:val="TableBodyText"/>
              <w:ind w:right="0"/>
            </w:pPr>
            <w:r>
              <w:t>17.67</w:t>
            </w:r>
          </w:p>
        </w:tc>
      </w:tr>
      <w:tr w:rsidR="00450928" w:rsidTr="00450928">
        <w:tc>
          <w:tcPr>
            <w:tcW w:w="3969" w:type="dxa"/>
          </w:tcPr>
          <w:p w:rsidR="00450928" w:rsidRPr="00ED5DF6" w:rsidRDefault="00450928" w:rsidP="00450928">
            <w:pPr>
              <w:pStyle w:val="TableBodyText"/>
              <w:jc w:val="left"/>
              <w:rPr>
                <w:i/>
              </w:rPr>
            </w:pPr>
            <w:r w:rsidRPr="00ED5DF6">
              <w:rPr>
                <w:i/>
              </w:rPr>
              <w:t>of which:</w:t>
            </w:r>
          </w:p>
        </w:tc>
        <w:tc>
          <w:tcPr>
            <w:tcW w:w="1843" w:type="dxa"/>
          </w:tcPr>
          <w:p w:rsidR="00450928" w:rsidRDefault="00450928" w:rsidP="00450928">
            <w:pPr>
              <w:pStyle w:val="TableBodyText"/>
              <w:jc w:val="left"/>
            </w:pPr>
          </w:p>
        </w:tc>
        <w:tc>
          <w:tcPr>
            <w:tcW w:w="1134" w:type="dxa"/>
            <w:vAlign w:val="bottom"/>
          </w:tcPr>
          <w:p w:rsidR="00450928" w:rsidRDefault="00450928" w:rsidP="00450928">
            <w:pPr>
              <w:pStyle w:val="TableBodyText"/>
            </w:pPr>
          </w:p>
        </w:tc>
        <w:tc>
          <w:tcPr>
            <w:tcW w:w="1843" w:type="dxa"/>
            <w:vAlign w:val="bottom"/>
          </w:tcPr>
          <w:p w:rsidR="00450928" w:rsidRDefault="00450928" w:rsidP="00450928">
            <w:pPr>
              <w:pStyle w:val="TableBodyText"/>
              <w:ind w:right="0"/>
            </w:pPr>
            <w:r>
              <w:t> </w:t>
            </w:r>
          </w:p>
        </w:tc>
      </w:tr>
      <w:tr w:rsidR="00450928" w:rsidTr="00450928">
        <w:tc>
          <w:tcPr>
            <w:tcW w:w="3969" w:type="dxa"/>
          </w:tcPr>
          <w:p w:rsidR="00450928" w:rsidRDefault="00450928" w:rsidP="00450928">
            <w:pPr>
              <w:pStyle w:val="TableBodyText"/>
              <w:ind w:firstLine="278"/>
              <w:jc w:val="left"/>
            </w:pPr>
            <w:r>
              <w:t>home duties/childcare</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22.22</w:t>
            </w:r>
          </w:p>
        </w:tc>
        <w:tc>
          <w:tcPr>
            <w:tcW w:w="1843" w:type="dxa"/>
            <w:vAlign w:val="bottom"/>
          </w:tcPr>
          <w:p w:rsidR="00450928" w:rsidRDefault="00450928" w:rsidP="00450928">
            <w:pPr>
              <w:pStyle w:val="TableBodyText"/>
              <w:ind w:right="0"/>
            </w:pPr>
            <w:r>
              <w:t>43.51</w:t>
            </w:r>
          </w:p>
        </w:tc>
      </w:tr>
      <w:tr w:rsidR="00450928" w:rsidTr="00450928">
        <w:tc>
          <w:tcPr>
            <w:tcW w:w="3969" w:type="dxa"/>
          </w:tcPr>
          <w:p w:rsidR="00450928" w:rsidRDefault="00450928" w:rsidP="00450928">
            <w:pPr>
              <w:pStyle w:val="TableBodyText"/>
              <w:ind w:firstLine="278"/>
              <w:jc w:val="left"/>
            </w:pPr>
            <w:r>
              <w:t>study</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11.11</w:t>
            </w:r>
          </w:p>
        </w:tc>
        <w:tc>
          <w:tcPr>
            <w:tcW w:w="1843" w:type="dxa"/>
            <w:vAlign w:val="bottom"/>
          </w:tcPr>
          <w:p w:rsidR="00450928" w:rsidRDefault="00450928" w:rsidP="00450928">
            <w:pPr>
              <w:pStyle w:val="TableBodyText"/>
              <w:ind w:right="0"/>
            </w:pPr>
            <w:r>
              <w:t>4.33</w:t>
            </w:r>
          </w:p>
        </w:tc>
      </w:tr>
      <w:tr w:rsidR="00450928" w:rsidTr="00450928">
        <w:tc>
          <w:tcPr>
            <w:tcW w:w="3969" w:type="dxa"/>
          </w:tcPr>
          <w:p w:rsidR="00450928" w:rsidRDefault="00450928" w:rsidP="00450928">
            <w:pPr>
              <w:pStyle w:val="TableBodyText"/>
              <w:ind w:firstLine="278"/>
              <w:jc w:val="left"/>
            </w:pPr>
            <w:r>
              <w:t>marginally attached to labour force</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11.11</w:t>
            </w:r>
          </w:p>
        </w:tc>
        <w:tc>
          <w:tcPr>
            <w:tcW w:w="1843" w:type="dxa"/>
            <w:vAlign w:val="bottom"/>
          </w:tcPr>
          <w:p w:rsidR="00450928" w:rsidRDefault="00450928" w:rsidP="00450928">
            <w:pPr>
              <w:pStyle w:val="TableBodyText"/>
              <w:ind w:right="0"/>
            </w:pPr>
            <w:r>
              <w:t>3.37</w:t>
            </w:r>
          </w:p>
        </w:tc>
      </w:tr>
      <w:tr w:rsidR="00450928" w:rsidTr="00722111">
        <w:tc>
          <w:tcPr>
            <w:tcW w:w="3969" w:type="dxa"/>
          </w:tcPr>
          <w:p w:rsidR="00450928" w:rsidRDefault="00450928" w:rsidP="00450928">
            <w:pPr>
              <w:pStyle w:val="TableBodyText"/>
              <w:ind w:firstLine="278"/>
              <w:jc w:val="left"/>
            </w:pPr>
            <w:r>
              <w:t>other reasons</w:t>
            </w:r>
            <w:r>
              <w:rPr>
                <w:rStyle w:val="NoteLabel"/>
              </w:rPr>
              <w:t>b</w:t>
            </w:r>
          </w:p>
        </w:tc>
        <w:tc>
          <w:tcPr>
            <w:tcW w:w="1843" w:type="dxa"/>
            <w:vAlign w:val="bottom"/>
          </w:tcPr>
          <w:p w:rsidR="00450928" w:rsidRDefault="00450928" w:rsidP="00722111">
            <w:pPr>
              <w:pStyle w:val="TableBodyText"/>
              <w:jc w:val="left"/>
            </w:pPr>
            <w:r>
              <w:t>% of NILF</w:t>
            </w:r>
          </w:p>
        </w:tc>
        <w:tc>
          <w:tcPr>
            <w:tcW w:w="1134" w:type="dxa"/>
            <w:vAlign w:val="bottom"/>
          </w:tcPr>
          <w:p w:rsidR="00450928" w:rsidRDefault="00450928" w:rsidP="00450928">
            <w:pPr>
              <w:pStyle w:val="TableBodyText"/>
            </w:pPr>
            <w:r>
              <w:t>55.55</w:t>
            </w:r>
          </w:p>
        </w:tc>
        <w:tc>
          <w:tcPr>
            <w:tcW w:w="1843" w:type="dxa"/>
            <w:vAlign w:val="bottom"/>
          </w:tcPr>
          <w:p w:rsidR="00450928" w:rsidRPr="00165DAA" w:rsidRDefault="00450928" w:rsidP="00450928">
            <w:pPr>
              <w:pStyle w:val="TableBodyText"/>
              <w:ind w:right="0"/>
            </w:pPr>
            <w:r>
              <w:t>48.80</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450928">
            <w:pPr>
              <w:pStyle w:val="TableBodyText"/>
              <w:jc w:val="left"/>
            </w:pPr>
          </w:p>
        </w:tc>
        <w:tc>
          <w:tcPr>
            <w:tcW w:w="1134" w:type="dxa"/>
            <w:vAlign w:val="bottom"/>
          </w:tcPr>
          <w:p w:rsidR="00450928" w:rsidRDefault="00450928" w:rsidP="00450928">
            <w:pPr>
              <w:pStyle w:val="TableBodyText"/>
            </w:pPr>
          </w:p>
        </w:tc>
        <w:tc>
          <w:tcPr>
            <w:tcW w:w="1843" w:type="dxa"/>
          </w:tcPr>
          <w:p w:rsidR="00450928" w:rsidRDefault="00450928" w:rsidP="00450928">
            <w:pPr>
              <w:pStyle w:val="TableBodyText"/>
              <w:ind w:right="0"/>
            </w:pPr>
          </w:p>
        </w:tc>
      </w:tr>
      <w:tr w:rsidR="00450928" w:rsidTr="00450928">
        <w:tc>
          <w:tcPr>
            <w:tcW w:w="3969" w:type="dxa"/>
          </w:tcPr>
          <w:p w:rsidR="00450928" w:rsidRPr="00ED5DF6" w:rsidRDefault="00450928" w:rsidP="00450928">
            <w:pPr>
              <w:pStyle w:val="TableBodyText"/>
              <w:spacing w:before="80"/>
              <w:jc w:val="left"/>
              <w:rPr>
                <w:b/>
              </w:rPr>
            </w:pPr>
            <w:r w:rsidRPr="00ED5DF6">
              <w:rPr>
                <w:b/>
              </w:rPr>
              <w:t>In 2010:</w:t>
            </w:r>
          </w:p>
        </w:tc>
        <w:tc>
          <w:tcPr>
            <w:tcW w:w="1843" w:type="dxa"/>
          </w:tcPr>
          <w:p w:rsidR="00450928" w:rsidRDefault="00450928" w:rsidP="00450928">
            <w:pPr>
              <w:pStyle w:val="TableBodyText"/>
              <w:spacing w:before="80"/>
              <w:jc w:val="left"/>
            </w:pPr>
          </w:p>
        </w:tc>
        <w:tc>
          <w:tcPr>
            <w:tcW w:w="1134" w:type="dxa"/>
            <w:vAlign w:val="bottom"/>
          </w:tcPr>
          <w:p w:rsidR="00450928" w:rsidRDefault="00450928" w:rsidP="00450928">
            <w:pPr>
              <w:pStyle w:val="TableBodyText"/>
            </w:pPr>
          </w:p>
        </w:tc>
        <w:tc>
          <w:tcPr>
            <w:tcW w:w="1843" w:type="dxa"/>
          </w:tcPr>
          <w:p w:rsidR="00450928" w:rsidRDefault="00450928" w:rsidP="00450928">
            <w:pPr>
              <w:pStyle w:val="TableBodyText"/>
              <w:spacing w:before="80"/>
              <w:ind w:right="0"/>
            </w:pPr>
          </w:p>
        </w:tc>
      </w:tr>
      <w:tr w:rsidR="00450928" w:rsidTr="00450928">
        <w:tc>
          <w:tcPr>
            <w:tcW w:w="3969" w:type="dxa"/>
          </w:tcPr>
          <w:p w:rsidR="00450928" w:rsidRDefault="00450928" w:rsidP="00450928">
            <w:pPr>
              <w:pStyle w:val="TableBodyText"/>
              <w:jc w:val="left"/>
            </w:pPr>
            <w:r>
              <w:t>locality (remoteness)</w:t>
            </w:r>
          </w:p>
        </w:tc>
        <w:tc>
          <w:tcPr>
            <w:tcW w:w="1843" w:type="dxa"/>
          </w:tcPr>
          <w:p w:rsidR="00450928" w:rsidRDefault="00450928" w:rsidP="00450928">
            <w:pPr>
              <w:pStyle w:val="TableBodyText"/>
              <w:jc w:val="left"/>
            </w:pPr>
            <w:r>
              <w:t>% major city</w:t>
            </w:r>
          </w:p>
        </w:tc>
        <w:tc>
          <w:tcPr>
            <w:tcW w:w="1134" w:type="dxa"/>
            <w:vAlign w:val="bottom"/>
          </w:tcPr>
          <w:p w:rsidR="00450928" w:rsidRDefault="00450928" w:rsidP="00450928">
            <w:pPr>
              <w:pStyle w:val="TableBodyText"/>
            </w:pPr>
            <w:r>
              <w:t>50.23</w:t>
            </w:r>
          </w:p>
        </w:tc>
        <w:tc>
          <w:tcPr>
            <w:tcW w:w="1843" w:type="dxa"/>
            <w:vAlign w:val="bottom"/>
          </w:tcPr>
          <w:p w:rsidR="00450928" w:rsidRDefault="00450928" w:rsidP="00450928">
            <w:pPr>
              <w:pStyle w:val="TableBodyText"/>
              <w:ind w:right="0"/>
            </w:pPr>
            <w:r>
              <w:t>58.33</w:t>
            </w:r>
          </w:p>
        </w:tc>
      </w:tr>
      <w:tr w:rsidR="00450928" w:rsidTr="00722111">
        <w:tc>
          <w:tcPr>
            <w:tcW w:w="3969" w:type="dxa"/>
          </w:tcPr>
          <w:p w:rsidR="00450928" w:rsidRDefault="00450928" w:rsidP="00450928">
            <w:pPr>
              <w:pStyle w:val="TableBodyText"/>
              <w:jc w:val="left"/>
            </w:pPr>
            <w:r>
              <w:t>highest level of education</w:t>
            </w:r>
            <w:r w:rsidRPr="00DE4890">
              <w:rPr>
                <w:rStyle w:val="NoteLabel"/>
              </w:rPr>
              <w:t>a</w:t>
            </w:r>
          </w:p>
        </w:tc>
        <w:tc>
          <w:tcPr>
            <w:tcW w:w="1843" w:type="dxa"/>
            <w:vAlign w:val="bottom"/>
          </w:tcPr>
          <w:p w:rsidR="00450928" w:rsidRDefault="00450928" w:rsidP="00722111">
            <w:pPr>
              <w:pStyle w:val="TableBodyText"/>
              <w:jc w:val="left"/>
            </w:pPr>
            <w:r>
              <w:t>% high</w:t>
            </w:r>
          </w:p>
        </w:tc>
        <w:tc>
          <w:tcPr>
            <w:tcW w:w="1134" w:type="dxa"/>
            <w:vAlign w:val="bottom"/>
          </w:tcPr>
          <w:p w:rsidR="00450928" w:rsidRDefault="00450928" w:rsidP="00450928">
            <w:pPr>
              <w:pStyle w:val="TableBodyText"/>
            </w:pPr>
            <w:r>
              <w:t>21.66</w:t>
            </w:r>
          </w:p>
        </w:tc>
        <w:tc>
          <w:tcPr>
            <w:tcW w:w="1843" w:type="dxa"/>
            <w:vAlign w:val="bottom"/>
          </w:tcPr>
          <w:p w:rsidR="00450928" w:rsidRDefault="00450928" w:rsidP="00450928">
            <w:pPr>
              <w:pStyle w:val="TableBodyText"/>
              <w:ind w:right="0"/>
            </w:pPr>
            <w:r>
              <w:t>25.53</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C30F41">
            <w:pPr>
              <w:pStyle w:val="TableBodyText"/>
              <w:jc w:val="left"/>
            </w:pPr>
            <w:r>
              <w:t xml:space="preserve">% </w:t>
            </w:r>
            <w:r w:rsidR="00C30F41">
              <w:t>m</w:t>
            </w:r>
            <w:r>
              <w:t>edium</w:t>
            </w:r>
          </w:p>
        </w:tc>
        <w:tc>
          <w:tcPr>
            <w:tcW w:w="1134" w:type="dxa"/>
            <w:vAlign w:val="bottom"/>
          </w:tcPr>
          <w:p w:rsidR="00450928" w:rsidRDefault="00450928" w:rsidP="00450928">
            <w:pPr>
              <w:pStyle w:val="TableBodyText"/>
            </w:pPr>
            <w:r>
              <w:t>37.78</w:t>
            </w:r>
          </w:p>
        </w:tc>
        <w:tc>
          <w:tcPr>
            <w:tcW w:w="1843" w:type="dxa"/>
            <w:vAlign w:val="bottom"/>
          </w:tcPr>
          <w:p w:rsidR="00450928" w:rsidRDefault="00450928" w:rsidP="00450928">
            <w:pPr>
              <w:pStyle w:val="TableBodyText"/>
              <w:ind w:right="0"/>
            </w:pPr>
            <w:r>
              <w:t>42.78</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450928">
            <w:pPr>
              <w:pStyle w:val="TableBodyText"/>
              <w:jc w:val="left"/>
            </w:pPr>
            <w:r>
              <w:t>% low</w:t>
            </w:r>
          </w:p>
        </w:tc>
        <w:tc>
          <w:tcPr>
            <w:tcW w:w="1134" w:type="dxa"/>
            <w:vAlign w:val="bottom"/>
          </w:tcPr>
          <w:p w:rsidR="00450928" w:rsidRDefault="00450928" w:rsidP="00450928">
            <w:pPr>
              <w:pStyle w:val="TableBodyText"/>
            </w:pPr>
            <w:r>
              <w:t>40.56</w:t>
            </w:r>
          </w:p>
        </w:tc>
        <w:tc>
          <w:tcPr>
            <w:tcW w:w="1843" w:type="dxa"/>
            <w:vAlign w:val="bottom"/>
          </w:tcPr>
          <w:p w:rsidR="00450928" w:rsidRDefault="00450928" w:rsidP="00450928">
            <w:pPr>
              <w:pStyle w:val="TableBodyText"/>
              <w:ind w:right="0"/>
            </w:pPr>
            <w:r>
              <w:t>31.68</w:t>
            </w:r>
          </w:p>
        </w:tc>
      </w:tr>
      <w:tr w:rsidR="00450928" w:rsidTr="00450928">
        <w:tc>
          <w:tcPr>
            <w:tcW w:w="3969" w:type="dxa"/>
          </w:tcPr>
          <w:p w:rsidR="00450928" w:rsidRDefault="006A600A" w:rsidP="00450928">
            <w:pPr>
              <w:pStyle w:val="TableBodyText"/>
              <w:jc w:val="left"/>
            </w:pPr>
            <w:r>
              <w:t>u</w:t>
            </w:r>
            <w:r w:rsidR="00450928">
              <w:t>nemployed</w:t>
            </w:r>
          </w:p>
        </w:tc>
        <w:tc>
          <w:tcPr>
            <w:tcW w:w="1843" w:type="dxa"/>
          </w:tcPr>
          <w:p w:rsidR="00450928" w:rsidRDefault="00450928" w:rsidP="00450928">
            <w:pPr>
              <w:pStyle w:val="TableBodyText"/>
              <w:jc w:val="left"/>
            </w:pPr>
            <w:r>
              <w:t>% U</w:t>
            </w:r>
          </w:p>
        </w:tc>
        <w:tc>
          <w:tcPr>
            <w:tcW w:w="1134" w:type="dxa"/>
            <w:vAlign w:val="bottom"/>
          </w:tcPr>
          <w:p w:rsidR="00450928" w:rsidRDefault="00450928" w:rsidP="00450928">
            <w:pPr>
              <w:pStyle w:val="TableBodyText"/>
            </w:pPr>
            <w:r>
              <w:t>2.30</w:t>
            </w:r>
          </w:p>
        </w:tc>
        <w:tc>
          <w:tcPr>
            <w:tcW w:w="1843" w:type="dxa"/>
            <w:vAlign w:val="bottom"/>
          </w:tcPr>
          <w:p w:rsidR="00450928" w:rsidRDefault="00450928" w:rsidP="00450928">
            <w:pPr>
              <w:pStyle w:val="TableBodyText"/>
              <w:ind w:right="0"/>
            </w:pPr>
            <w:r>
              <w:t>1.91</w:t>
            </w:r>
          </w:p>
        </w:tc>
      </w:tr>
      <w:tr w:rsidR="00450928" w:rsidTr="00450928">
        <w:tc>
          <w:tcPr>
            <w:tcW w:w="3969" w:type="dxa"/>
          </w:tcPr>
          <w:p w:rsidR="00450928" w:rsidRDefault="00450928" w:rsidP="00450928">
            <w:pPr>
              <w:pStyle w:val="TableBodyText"/>
              <w:jc w:val="left"/>
            </w:pPr>
            <w:r>
              <w:t>NILF (inc</w:t>
            </w:r>
            <w:r w:rsidR="00406870">
              <w:t>l</w:t>
            </w:r>
            <w:r>
              <w:t>. marginally attached)</w:t>
            </w:r>
          </w:p>
        </w:tc>
        <w:tc>
          <w:tcPr>
            <w:tcW w:w="1843" w:type="dxa"/>
          </w:tcPr>
          <w:p w:rsidR="00450928" w:rsidRDefault="00450928" w:rsidP="00450928">
            <w:pPr>
              <w:pStyle w:val="TableBodyText"/>
              <w:jc w:val="left"/>
            </w:pPr>
            <w:r>
              <w:t>% NILF</w:t>
            </w:r>
          </w:p>
        </w:tc>
        <w:tc>
          <w:tcPr>
            <w:tcW w:w="1134" w:type="dxa"/>
            <w:vAlign w:val="bottom"/>
          </w:tcPr>
          <w:p w:rsidR="00450928" w:rsidRDefault="00450928" w:rsidP="00450928">
            <w:pPr>
              <w:pStyle w:val="TableBodyText"/>
            </w:pPr>
            <w:r>
              <w:t>82.95</w:t>
            </w:r>
          </w:p>
        </w:tc>
        <w:tc>
          <w:tcPr>
            <w:tcW w:w="1843" w:type="dxa"/>
            <w:vAlign w:val="bottom"/>
          </w:tcPr>
          <w:p w:rsidR="00450928" w:rsidRDefault="00450928" w:rsidP="00450928">
            <w:pPr>
              <w:pStyle w:val="TableBodyText"/>
              <w:ind w:right="0"/>
            </w:pPr>
            <w:r>
              <w:t>26.89</w:t>
            </w:r>
          </w:p>
        </w:tc>
      </w:tr>
      <w:tr w:rsidR="00450928" w:rsidTr="00450928">
        <w:tc>
          <w:tcPr>
            <w:tcW w:w="3969" w:type="dxa"/>
          </w:tcPr>
          <w:p w:rsidR="00450928" w:rsidRPr="00ED5DF6" w:rsidRDefault="00450928" w:rsidP="00450928">
            <w:pPr>
              <w:pStyle w:val="TableBodyText"/>
              <w:jc w:val="left"/>
              <w:rPr>
                <w:i/>
              </w:rPr>
            </w:pPr>
            <w:r w:rsidRPr="00ED5DF6">
              <w:rPr>
                <w:i/>
              </w:rPr>
              <w:t>of which:</w:t>
            </w:r>
          </w:p>
        </w:tc>
        <w:tc>
          <w:tcPr>
            <w:tcW w:w="1843" w:type="dxa"/>
          </w:tcPr>
          <w:p w:rsidR="00450928" w:rsidRDefault="00450928" w:rsidP="00450928">
            <w:pPr>
              <w:pStyle w:val="TableBodyText"/>
              <w:jc w:val="left"/>
            </w:pPr>
          </w:p>
        </w:tc>
        <w:tc>
          <w:tcPr>
            <w:tcW w:w="1134" w:type="dxa"/>
            <w:vAlign w:val="bottom"/>
          </w:tcPr>
          <w:p w:rsidR="00450928" w:rsidRDefault="00450928" w:rsidP="00450928">
            <w:pPr>
              <w:pStyle w:val="TableBodyText"/>
            </w:pPr>
          </w:p>
        </w:tc>
        <w:tc>
          <w:tcPr>
            <w:tcW w:w="1843" w:type="dxa"/>
            <w:vAlign w:val="bottom"/>
          </w:tcPr>
          <w:p w:rsidR="00450928" w:rsidRDefault="00450928" w:rsidP="00450928">
            <w:pPr>
              <w:pStyle w:val="TableBodyText"/>
              <w:ind w:right="0"/>
            </w:pPr>
            <w:r>
              <w:t> </w:t>
            </w:r>
          </w:p>
        </w:tc>
      </w:tr>
      <w:tr w:rsidR="00450928" w:rsidTr="00450928">
        <w:tc>
          <w:tcPr>
            <w:tcW w:w="3969" w:type="dxa"/>
          </w:tcPr>
          <w:p w:rsidR="00450928" w:rsidRDefault="00450928" w:rsidP="00450928">
            <w:pPr>
              <w:pStyle w:val="TableBodyText"/>
              <w:ind w:firstLine="278"/>
              <w:jc w:val="left"/>
            </w:pPr>
            <w:r>
              <w:t>home duties/childcare</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11.67</w:t>
            </w:r>
          </w:p>
        </w:tc>
        <w:tc>
          <w:tcPr>
            <w:tcW w:w="1843" w:type="dxa"/>
            <w:vAlign w:val="bottom"/>
          </w:tcPr>
          <w:p w:rsidR="00450928" w:rsidRDefault="00450928" w:rsidP="00450928">
            <w:pPr>
              <w:pStyle w:val="TableBodyText"/>
              <w:ind w:right="0"/>
            </w:pPr>
            <w:r>
              <w:t>17.69</w:t>
            </w:r>
          </w:p>
        </w:tc>
      </w:tr>
      <w:tr w:rsidR="00450928" w:rsidTr="00450928">
        <w:tc>
          <w:tcPr>
            <w:tcW w:w="3969" w:type="dxa"/>
          </w:tcPr>
          <w:p w:rsidR="00450928" w:rsidRDefault="00450928" w:rsidP="00450928">
            <w:pPr>
              <w:pStyle w:val="TableBodyText"/>
              <w:ind w:firstLine="278"/>
              <w:jc w:val="left"/>
            </w:pPr>
            <w:r>
              <w:t>study</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0.56</w:t>
            </w:r>
          </w:p>
        </w:tc>
        <w:tc>
          <w:tcPr>
            <w:tcW w:w="1843" w:type="dxa"/>
            <w:vAlign w:val="bottom"/>
          </w:tcPr>
          <w:p w:rsidR="00450928" w:rsidRDefault="00450928" w:rsidP="00450928">
            <w:pPr>
              <w:pStyle w:val="TableBodyText"/>
              <w:ind w:right="0"/>
            </w:pPr>
            <w:r>
              <w:t>1.11</w:t>
            </w:r>
          </w:p>
        </w:tc>
      </w:tr>
      <w:tr w:rsidR="00450928" w:rsidTr="00450928">
        <w:tc>
          <w:tcPr>
            <w:tcW w:w="3969" w:type="dxa"/>
            <w:shd w:val="clear" w:color="auto" w:fill="auto"/>
          </w:tcPr>
          <w:p w:rsidR="00450928" w:rsidRDefault="00450928" w:rsidP="00450928">
            <w:pPr>
              <w:pStyle w:val="TableBodyText"/>
              <w:ind w:firstLine="278"/>
              <w:jc w:val="left"/>
            </w:pPr>
            <w:r>
              <w:t>marginally attached to labour force</w:t>
            </w:r>
          </w:p>
        </w:tc>
        <w:tc>
          <w:tcPr>
            <w:tcW w:w="1843" w:type="dxa"/>
            <w:shd w:val="clear" w:color="auto" w:fill="auto"/>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1.11</w:t>
            </w:r>
          </w:p>
        </w:tc>
        <w:tc>
          <w:tcPr>
            <w:tcW w:w="1843" w:type="dxa"/>
            <w:shd w:val="clear" w:color="auto" w:fill="auto"/>
            <w:vAlign w:val="bottom"/>
          </w:tcPr>
          <w:p w:rsidR="00450928" w:rsidRDefault="00450928" w:rsidP="00450928">
            <w:pPr>
              <w:pStyle w:val="TableBodyText"/>
              <w:ind w:right="0"/>
            </w:pPr>
            <w:r>
              <w:t>1.42</w:t>
            </w:r>
          </w:p>
        </w:tc>
      </w:tr>
      <w:tr w:rsidR="00450928" w:rsidTr="00722111">
        <w:tc>
          <w:tcPr>
            <w:tcW w:w="3969" w:type="dxa"/>
            <w:tcBorders>
              <w:bottom w:val="single" w:sz="6" w:space="0" w:color="auto"/>
            </w:tcBorders>
            <w:shd w:val="clear" w:color="auto" w:fill="auto"/>
          </w:tcPr>
          <w:p w:rsidR="00450928" w:rsidRDefault="00450928" w:rsidP="00450928">
            <w:pPr>
              <w:pStyle w:val="TableBodyText"/>
              <w:ind w:firstLine="278"/>
              <w:jc w:val="left"/>
            </w:pPr>
            <w:r>
              <w:t>other reasons</w:t>
            </w:r>
            <w:r>
              <w:rPr>
                <w:rStyle w:val="NoteLabel"/>
              </w:rPr>
              <w:t>b</w:t>
            </w:r>
          </w:p>
        </w:tc>
        <w:tc>
          <w:tcPr>
            <w:tcW w:w="1843" w:type="dxa"/>
            <w:tcBorders>
              <w:bottom w:val="single" w:sz="6" w:space="0" w:color="auto"/>
            </w:tcBorders>
            <w:shd w:val="clear" w:color="auto" w:fill="auto"/>
            <w:vAlign w:val="bottom"/>
          </w:tcPr>
          <w:p w:rsidR="00450928" w:rsidRDefault="00450928" w:rsidP="00722111">
            <w:pPr>
              <w:pStyle w:val="TableBodyText"/>
              <w:jc w:val="left"/>
            </w:pPr>
            <w:r>
              <w:t>% of NILF</w:t>
            </w:r>
          </w:p>
        </w:tc>
        <w:tc>
          <w:tcPr>
            <w:tcW w:w="1134" w:type="dxa"/>
            <w:tcBorders>
              <w:bottom w:val="single" w:sz="6" w:space="0" w:color="auto"/>
            </w:tcBorders>
            <w:vAlign w:val="bottom"/>
          </w:tcPr>
          <w:p w:rsidR="00450928" w:rsidRDefault="00450928" w:rsidP="00450928">
            <w:pPr>
              <w:pStyle w:val="TableBodyText"/>
            </w:pPr>
            <w:r>
              <w:t>86.67</w:t>
            </w:r>
          </w:p>
        </w:tc>
        <w:tc>
          <w:tcPr>
            <w:tcW w:w="1843" w:type="dxa"/>
            <w:tcBorders>
              <w:bottom w:val="single" w:sz="6" w:space="0" w:color="auto"/>
            </w:tcBorders>
            <w:shd w:val="clear" w:color="auto" w:fill="auto"/>
            <w:vAlign w:val="bottom"/>
          </w:tcPr>
          <w:p w:rsidR="00450928" w:rsidRPr="00165DAA" w:rsidRDefault="00450928" w:rsidP="00450928">
            <w:pPr>
              <w:pStyle w:val="TableBodyText"/>
              <w:ind w:right="0"/>
            </w:pPr>
            <w:r>
              <w:t>79.77</w:t>
            </w:r>
          </w:p>
        </w:tc>
      </w:tr>
    </w:tbl>
    <w:p w:rsidR="00450928" w:rsidRDefault="00450928" w:rsidP="00450928">
      <w:pPr>
        <w:pStyle w:val="Note"/>
      </w:pPr>
      <w:r w:rsidRPr="00DE4890">
        <w:rPr>
          <w:rStyle w:val="NoteLabel"/>
        </w:rPr>
        <w:t>a</w:t>
      </w:r>
      <w:r>
        <w:t xml:space="preserve"> Educational attainment has been classified as high (Bachelor </w:t>
      </w:r>
      <w:r w:rsidR="00D14EC0">
        <w:t>D</w:t>
      </w:r>
      <w:r>
        <w:t>egree or above), medium (Year 12, Certificate III/IV, Diploma or Advanced Diploma) and low (Certificate I/II, Certificate not defined, Year 11 or lower).  </w:t>
      </w:r>
      <w:r>
        <w:rPr>
          <w:rStyle w:val="NoteLabel"/>
        </w:rPr>
        <w:t>b</w:t>
      </w:r>
      <w:r>
        <w:t> May include caring for others with illness/disability, retirement/voluntarily inactive, own illness/disability (rendering the individual temporarily or permanently unable to work), travel/holidays/leisure activities, working in an unpaid voluntary job, or other (unspecified) activities.</w:t>
      </w:r>
    </w:p>
    <w:p w:rsidR="00450928" w:rsidRDefault="00450928" w:rsidP="00450928">
      <w:pPr>
        <w:pStyle w:val="Source"/>
      </w:pPr>
      <w:r>
        <w:rPr>
          <w:i/>
        </w:rPr>
        <w:t>Source</w:t>
      </w:r>
      <w:r>
        <w:t xml:space="preserve">: </w:t>
      </w:r>
      <w:r w:rsidR="005C3704">
        <w:t xml:space="preserve">Authors’ estimates </w:t>
      </w:r>
      <w:r>
        <w:t>based on HILDA waves 1–10.</w:t>
      </w:r>
    </w:p>
    <w:p w:rsidR="00450928" w:rsidRDefault="00450928" w:rsidP="00450928">
      <w:pPr>
        <w:pStyle w:val="TableTitle"/>
      </w:pPr>
      <w:r>
        <w:rPr>
          <w:b w:val="0"/>
        </w:rPr>
        <w:lastRenderedPageBreak/>
        <w:t xml:space="preserve">Table </w:t>
      </w:r>
      <w:bookmarkStart w:id="28" w:name="OLE_LINK23"/>
      <w:r w:rsidR="00121B7F">
        <w:rPr>
          <w:b w:val="0"/>
        </w:rPr>
        <w:t>3.</w:t>
      </w:r>
      <w:r w:rsidR="00C42746">
        <w:rPr>
          <w:b w:val="0"/>
          <w:noProof/>
        </w:rPr>
        <w:t>11</w:t>
      </w:r>
      <w:bookmarkEnd w:id="28"/>
      <w:r>
        <w:tab/>
        <w:t xml:space="preserve">Selected characteristics of activity patterns in the </w:t>
      </w:r>
      <w:r w:rsidR="00D44D55" w:rsidRPr="003A099D">
        <w:rPr>
          <w:i/>
        </w:rPr>
        <w:t>Work to NILF</w:t>
      </w:r>
      <w:r>
        <w:t xml:space="preserve"> pathway (mature adults)</w:t>
      </w:r>
      <w:r w:rsidRPr="004106CD">
        <w:rPr>
          <w:rStyle w:val="NoteLabel"/>
          <w:b/>
        </w:rPr>
        <w:t>a</w:t>
      </w:r>
    </w:p>
    <w:tbl>
      <w:tblPr>
        <w:tblW w:w="0" w:type="auto"/>
        <w:tblLayout w:type="fixed"/>
        <w:tblCellMar>
          <w:left w:w="0" w:type="dxa"/>
          <w:right w:w="0" w:type="dxa"/>
        </w:tblCellMar>
        <w:tblLook w:val="0000" w:firstRow="0" w:lastRow="0" w:firstColumn="0" w:lastColumn="0" w:noHBand="0" w:noVBand="0"/>
      </w:tblPr>
      <w:tblGrid>
        <w:gridCol w:w="3544"/>
        <w:gridCol w:w="992"/>
        <w:gridCol w:w="993"/>
        <w:gridCol w:w="992"/>
        <w:gridCol w:w="850"/>
        <w:gridCol w:w="1418"/>
      </w:tblGrid>
      <w:tr w:rsidR="00450928" w:rsidTr="0009064E">
        <w:tc>
          <w:tcPr>
            <w:tcW w:w="3544" w:type="dxa"/>
            <w:tcBorders>
              <w:top w:val="single" w:sz="6" w:space="0" w:color="auto"/>
              <w:bottom w:val="single" w:sz="6" w:space="0" w:color="auto"/>
            </w:tcBorders>
            <w:shd w:val="clear" w:color="auto" w:fill="auto"/>
          </w:tcPr>
          <w:p w:rsidR="00450928" w:rsidRDefault="00450928" w:rsidP="00450928">
            <w:pPr>
              <w:pStyle w:val="TableColumnHeading"/>
              <w:jc w:val="left"/>
            </w:pPr>
            <w:r>
              <w:t> </w:t>
            </w:r>
          </w:p>
        </w:tc>
        <w:tc>
          <w:tcPr>
            <w:tcW w:w="992" w:type="dxa"/>
            <w:tcBorders>
              <w:top w:val="single" w:sz="6" w:space="0" w:color="auto"/>
              <w:bottom w:val="single" w:sz="6" w:space="0" w:color="auto"/>
            </w:tcBorders>
            <w:shd w:val="clear" w:color="auto" w:fill="auto"/>
            <w:vAlign w:val="bottom"/>
          </w:tcPr>
          <w:p w:rsidR="00450928" w:rsidRDefault="00450928" w:rsidP="0009064E">
            <w:pPr>
              <w:pStyle w:val="TableColumnHeading"/>
            </w:pPr>
            <w:r>
              <w:t>Work only</w:t>
            </w:r>
          </w:p>
        </w:tc>
        <w:tc>
          <w:tcPr>
            <w:tcW w:w="993" w:type="dxa"/>
            <w:tcBorders>
              <w:top w:val="single" w:sz="6" w:space="0" w:color="auto"/>
              <w:bottom w:val="single" w:sz="6" w:space="0" w:color="auto"/>
            </w:tcBorders>
            <w:shd w:val="clear" w:color="auto" w:fill="auto"/>
            <w:vAlign w:val="bottom"/>
          </w:tcPr>
          <w:p w:rsidR="00450928" w:rsidRDefault="00450928" w:rsidP="0009064E">
            <w:pPr>
              <w:pStyle w:val="TableColumnHeading"/>
            </w:pPr>
            <w:r>
              <w:t>Work and study</w:t>
            </w:r>
          </w:p>
        </w:tc>
        <w:tc>
          <w:tcPr>
            <w:tcW w:w="992" w:type="dxa"/>
            <w:tcBorders>
              <w:top w:val="single" w:sz="6" w:space="0" w:color="auto"/>
              <w:bottom w:val="single" w:sz="6" w:space="0" w:color="auto"/>
            </w:tcBorders>
            <w:shd w:val="clear" w:color="auto" w:fill="auto"/>
            <w:vAlign w:val="bottom"/>
          </w:tcPr>
          <w:p w:rsidR="00450928" w:rsidRDefault="00450928" w:rsidP="0009064E">
            <w:pPr>
              <w:pStyle w:val="TableColumnHeading"/>
            </w:pPr>
            <w:r>
              <w:t>Study only</w:t>
            </w:r>
          </w:p>
        </w:tc>
        <w:tc>
          <w:tcPr>
            <w:tcW w:w="850" w:type="dxa"/>
            <w:tcBorders>
              <w:top w:val="single" w:sz="6" w:space="0" w:color="auto"/>
              <w:bottom w:val="single" w:sz="6" w:space="0" w:color="auto"/>
            </w:tcBorders>
            <w:shd w:val="clear" w:color="auto" w:fill="auto"/>
            <w:vAlign w:val="bottom"/>
          </w:tcPr>
          <w:p w:rsidR="00450928" w:rsidRDefault="00450928" w:rsidP="0009064E">
            <w:pPr>
              <w:pStyle w:val="TableColumnHeading"/>
            </w:pPr>
            <w:r>
              <w:t>NILF</w:t>
            </w:r>
          </w:p>
        </w:tc>
        <w:tc>
          <w:tcPr>
            <w:tcW w:w="1418" w:type="dxa"/>
            <w:tcBorders>
              <w:top w:val="single" w:sz="6" w:space="0" w:color="auto"/>
              <w:bottom w:val="single" w:sz="6" w:space="0" w:color="auto"/>
            </w:tcBorders>
            <w:shd w:val="clear" w:color="auto" w:fill="auto"/>
            <w:vAlign w:val="bottom"/>
          </w:tcPr>
          <w:p w:rsidR="00450928" w:rsidRDefault="00450928" w:rsidP="0009064E">
            <w:pPr>
              <w:pStyle w:val="TableColumnHeading"/>
              <w:ind w:right="6"/>
            </w:pPr>
            <w:r>
              <w:t>Unemployment</w:t>
            </w:r>
          </w:p>
        </w:tc>
      </w:tr>
      <w:tr w:rsidR="00450928" w:rsidTr="00450928">
        <w:tc>
          <w:tcPr>
            <w:tcW w:w="3544" w:type="dxa"/>
          </w:tcPr>
          <w:p w:rsidR="00450928" w:rsidRDefault="00450928" w:rsidP="00450928">
            <w:pPr>
              <w:pStyle w:val="TableBodyText"/>
              <w:jc w:val="left"/>
            </w:pPr>
            <w:r>
              <w:t>Average time in the activity (per cent)</w:t>
            </w:r>
          </w:p>
        </w:tc>
        <w:tc>
          <w:tcPr>
            <w:tcW w:w="992" w:type="dxa"/>
          </w:tcPr>
          <w:p w:rsidR="00450928" w:rsidRDefault="00450928" w:rsidP="00450928">
            <w:pPr>
              <w:pStyle w:val="TableBodyText"/>
            </w:pPr>
            <w:r>
              <w:t>63.12</w:t>
            </w:r>
          </w:p>
        </w:tc>
        <w:tc>
          <w:tcPr>
            <w:tcW w:w="993" w:type="dxa"/>
          </w:tcPr>
          <w:p w:rsidR="00450928" w:rsidRDefault="00450928" w:rsidP="00450928">
            <w:pPr>
              <w:pStyle w:val="TableBodyText"/>
            </w:pPr>
            <w:r>
              <w:t>1.87</w:t>
            </w:r>
          </w:p>
        </w:tc>
        <w:tc>
          <w:tcPr>
            <w:tcW w:w="992" w:type="dxa"/>
          </w:tcPr>
          <w:p w:rsidR="00450928" w:rsidRDefault="00450928" w:rsidP="00450928">
            <w:pPr>
              <w:pStyle w:val="TableBodyText"/>
            </w:pPr>
            <w:r>
              <w:t>1.13</w:t>
            </w:r>
          </w:p>
        </w:tc>
        <w:tc>
          <w:tcPr>
            <w:tcW w:w="850" w:type="dxa"/>
          </w:tcPr>
          <w:p w:rsidR="00450928" w:rsidRDefault="00450928" w:rsidP="00450928">
            <w:pPr>
              <w:pStyle w:val="TableBodyText"/>
            </w:pPr>
            <w:r>
              <w:t>30.77</w:t>
            </w:r>
          </w:p>
        </w:tc>
        <w:tc>
          <w:tcPr>
            <w:tcW w:w="1418" w:type="dxa"/>
          </w:tcPr>
          <w:p w:rsidR="00450928" w:rsidRDefault="00450928" w:rsidP="00450928">
            <w:pPr>
              <w:pStyle w:val="TableBodyText"/>
              <w:ind w:right="0"/>
            </w:pPr>
            <w:r>
              <w:t>3.11</w:t>
            </w:r>
          </w:p>
        </w:tc>
      </w:tr>
      <w:tr w:rsidR="00450928" w:rsidTr="00450928">
        <w:tc>
          <w:tcPr>
            <w:tcW w:w="3544" w:type="dxa"/>
          </w:tcPr>
          <w:p w:rsidR="00450928" w:rsidRDefault="00450928" w:rsidP="00450928">
            <w:pPr>
              <w:pStyle w:val="TableBodyText"/>
              <w:jc w:val="left"/>
            </w:pPr>
            <w:r>
              <w:t xml:space="preserve">Share of path with at least one spell of the activity </w:t>
            </w:r>
          </w:p>
        </w:tc>
        <w:tc>
          <w:tcPr>
            <w:tcW w:w="992" w:type="dxa"/>
          </w:tcPr>
          <w:p w:rsidR="00450928" w:rsidRDefault="00450928" w:rsidP="00450928">
            <w:pPr>
              <w:pStyle w:val="TableBodyText"/>
            </w:pPr>
            <w:r>
              <w:t>100.00</w:t>
            </w:r>
          </w:p>
        </w:tc>
        <w:tc>
          <w:tcPr>
            <w:tcW w:w="993" w:type="dxa"/>
          </w:tcPr>
          <w:p w:rsidR="00450928" w:rsidRDefault="00450928" w:rsidP="00450928">
            <w:pPr>
              <w:pStyle w:val="TableBodyText"/>
            </w:pPr>
            <w:r>
              <w:t>23.04</w:t>
            </w:r>
          </w:p>
        </w:tc>
        <w:tc>
          <w:tcPr>
            <w:tcW w:w="992" w:type="dxa"/>
          </w:tcPr>
          <w:p w:rsidR="00450928" w:rsidRDefault="00450928" w:rsidP="00450928">
            <w:pPr>
              <w:pStyle w:val="TableBodyText"/>
            </w:pPr>
            <w:r>
              <w:t>13.82</w:t>
            </w:r>
          </w:p>
        </w:tc>
        <w:tc>
          <w:tcPr>
            <w:tcW w:w="850" w:type="dxa"/>
          </w:tcPr>
          <w:p w:rsidR="00450928" w:rsidRDefault="00450928" w:rsidP="00450928">
            <w:pPr>
              <w:pStyle w:val="TableBodyText"/>
            </w:pPr>
            <w:r>
              <w:t>99.08</w:t>
            </w:r>
          </w:p>
        </w:tc>
        <w:tc>
          <w:tcPr>
            <w:tcW w:w="1418" w:type="dxa"/>
          </w:tcPr>
          <w:p w:rsidR="00450928" w:rsidRDefault="00450928" w:rsidP="00450928">
            <w:pPr>
              <w:pStyle w:val="TableBodyText"/>
              <w:ind w:right="0"/>
            </w:pPr>
            <w:r>
              <w:t>31.80</w:t>
            </w:r>
          </w:p>
        </w:tc>
      </w:tr>
      <w:tr w:rsidR="00450928" w:rsidTr="00450928">
        <w:tc>
          <w:tcPr>
            <w:tcW w:w="8789" w:type="dxa"/>
            <w:gridSpan w:val="6"/>
          </w:tcPr>
          <w:p w:rsidR="00450928" w:rsidRDefault="00450928" w:rsidP="00450928">
            <w:pPr>
              <w:pStyle w:val="TableBodyText"/>
              <w:ind w:right="0"/>
              <w:jc w:val="left"/>
            </w:pPr>
            <w:r>
              <w:t>Conditional on at least one spell of the activity:</w:t>
            </w:r>
          </w:p>
        </w:tc>
      </w:tr>
      <w:tr w:rsidR="00450928" w:rsidTr="00450928">
        <w:tc>
          <w:tcPr>
            <w:tcW w:w="3544" w:type="dxa"/>
          </w:tcPr>
          <w:p w:rsidR="00450928" w:rsidRDefault="00450928" w:rsidP="00450928">
            <w:pPr>
              <w:pStyle w:val="TableBodyText"/>
              <w:ind w:left="142"/>
              <w:jc w:val="left"/>
            </w:pPr>
            <w:r>
              <w:t>average number of spells</w:t>
            </w:r>
          </w:p>
        </w:tc>
        <w:tc>
          <w:tcPr>
            <w:tcW w:w="992" w:type="dxa"/>
          </w:tcPr>
          <w:p w:rsidR="00450928" w:rsidRDefault="00450928" w:rsidP="00450928">
            <w:pPr>
              <w:pStyle w:val="TableBodyText"/>
            </w:pPr>
            <w:r>
              <w:t>2.12</w:t>
            </w:r>
          </w:p>
        </w:tc>
        <w:tc>
          <w:tcPr>
            <w:tcW w:w="993" w:type="dxa"/>
          </w:tcPr>
          <w:p w:rsidR="00450928" w:rsidRDefault="00450928" w:rsidP="00450928">
            <w:pPr>
              <w:pStyle w:val="TableBodyText"/>
            </w:pPr>
            <w:r>
              <w:t>1.58</w:t>
            </w:r>
          </w:p>
        </w:tc>
        <w:tc>
          <w:tcPr>
            <w:tcW w:w="992" w:type="dxa"/>
          </w:tcPr>
          <w:p w:rsidR="00450928" w:rsidRDefault="00450928" w:rsidP="00450928">
            <w:pPr>
              <w:pStyle w:val="TableBodyText"/>
            </w:pPr>
            <w:r>
              <w:t>1.60</w:t>
            </w:r>
          </w:p>
        </w:tc>
        <w:tc>
          <w:tcPr>
            <w:tcW w:w="850" w:type="dxa"/>
          </w:tcPr>
          <w:p w:rsidR="00450928" w:rsidRDefault="00450928" w:rsidP="00450928">
            <w:pPr>
              <w:pStyle w:val="TableBodyText"/>
            </w:pPr>
            <w:r>
              <w:t>1.74</w:t>
            </w:r>
          </w:p>
        </w:tc>
        <w:tc>
          <w:tcPr>
            <w:tcW w:w="1418" w:type="dxa"/>
          </w:tcPr>
          <w:p w:rsidR="00450928" w:rsidRDefault="00450928" w:rsidP="00450928">
            <w:pPr>
              <w:pStyle w:val="TableBodyText"/>
              <w:ind w:right="0"/>
            </w:pPr>
            <w:r>
              <w:t>1.88</w:t>
            </w:r>
          </w:p>
        </w:tc>
      </w:tr>
      <w:tr w:rsidR="00450928" w:rsidTr="00450928">
        <w:tc>
          <w:tcPr>
            <w:tcW w:w="3544" w:type="dxa"/>
            <w:tcBorders>
              <w:bottom w:val="single" w:sz="6" w:space="0" w:color="auto"/>
            </w:tcBorders>
          </w:tcPr>
          <w:p w:rsidR="00450928" w:rsidRDefault="00450928" w:rsidP="00450928">
            <w:pPr>
              <w:pStyle w:val="TableBodyText"/>
              <w:ind w:left="142"/>
              <w:jc w:val="left"/>
            </w:pPr>
            <w:r>
              <w:t>average length of spell (months)</w:t>
            </w:r>
          </w:p>
        </w:tc>
        <w:tc>
          <w:tcPr>
            <w:tcW w:w="992" w:type="dxa"/>
            <w:tcBorders>
              <w:bottom w:val="single" w:sz="6" w:space="0" w:color="auto"/>
            </w:tcBorders>
            <w:shd w:val="clear" w:color="auto" w:fill="auto"/>
          </w:tcPr>
          <w:p w:rsidR="00450928" w:rsidRDefault="00450928" w:rsidP="00450928">
            <w:pPr>
              <w:pStyle w:val="TableBodyText"/>
            </w:pPr>
            <w:r>
              <w:t>35.81</w:t>
            </w:r>
          </w:p>
        </w:tc>
        <w:tc>
          <w:tcPr>
            <w:tcW w:w="993" w:type="dxa"/>
            <w:tcBorders>
              <w:bottom w:val="single" w:sz="6" w:space="0" w:color="auto"/>
            </w:tcBorders>
            <w:shd w:val="clear" w:color="auto" w:fill="auto"/>
          </w:tcPr>
          <w:p w:rsidR="00450928" w:rsidRDefault="00450928" w:rsidP="00450928">
            <w:pPr>
              <w:pStyle w:val="TableBodyText"/>
            </w:pPr>
            <w:r>
              <w:t>6.15</w:t>
            </w:r>
          </w:p>
        </w:tc>
        <w:tc>
          <w:tcPr>
            <w:tcW w:w="992" w:type="dxa"/>
            <w:tcBorders>
              <w:bottom w:val="single" w:sz="6" w:space="0" w:color="auto"/>
            </w:tcBorders>
            <w:shd w:val="clear" w:color="auto" w:fill="auto"/>
          </w:tcPr>
          <w:p w:rsidR="00450928" w:rsidRDefault="00450928" w:rsidP="00450928">
            <w:pPr>
              <w:pStyle w:val="TableBodyText"/>
            </w:pPr>
            <w:r>
              <w:t>6.13</w:t>
            </w:r>
          </w:p>
        </w:tc>
        <w:tc>
          <w:tcPr>
            <w:tcW w:w="850" w:type="dxa"/>
            <w:tcBorders>
              <w:bottom w:val="single" w:sz="6" w:space="0" w:color="auto"/>
            </w:tcBorders>
            <w:shd w:val="clear" w:color="auto" w:fill="auto"/>
          </w:tcPr>
          <w:p w:rsidR="00450928" w:rsidRDefault="00450928" w:rsidP="00450928">
            <w:pPr>
              <w:pStyle w:val="TableBodyText"/>
            </w:pPr>
            <w:r>
              <w:t>21.43</w:t>
            </w:r>
          </w:p>
        </w:tc>
        <w:tc>
          <w:tcPr>
            <w:tcW w:w="1418" w:type="dxa"/>
            <w:tcBorders>
              <w:bottom w:val="single" w:sz="6" w:space="0" w:color="auto"/>
            </w:tcBorders>
            <w:shd w:val="clear" w:color="auto" w:fill="auto"/>
          </w:tcPr>
          <w:p w:rsidR="00450928" w:rsidRDefault="00450928" w:rsidP="00450928">
            <w:pPr>
              <w:pStyle w:val="TableBodyText"/>
              <w:ind w:right="0"/>
            </w:pPr>
            <w:r>
              <w:t>6.23</w:t>
            </w:r>
          </w:p>
        </w:tc>
      </w:tr>
    </w:tbl>
    <w:p w:rsidR="00450928" w:rsidRDefault="00A310CE" w:rsidP="00450928">
      <w:pPr>
        <w:pStyle w:val="Note"/>
      </w:pPr>
      <w:r>
        <w:rPr>
          <w:rStyle w:val="NoteLabel"/>
        </w:rPr>
        <w:t>a</w:t>
      </w:r>
      <w:r>
        <w:t> </w:t>
      </w:r>
      <w:r w:rsidR="00450928">
        <w:t>Pathway size 217 (9.2 per cent of mature adults); average number of activities 2.68.</w:t>
      </w:r>
    </w:p>
    <w:p w:rsidR="00450928" w:rsidRPr="00F257C3" w:rsidRDefault="00450928" w:rsidP="00450928">
      <w:pPr>
        <w:pStyle w:val="Source"/>
      </w:pPr>
      <w:r>
        <w:rPr>
          <w:i/>
        </w:rPr>
        <w:t>Source</w:t>
      </w:r>
      <w:r>
        <w:t xml:space="preserve">: </w:t>
      </w:r>
      <w:r w:rsidR="005C3704">
        <w:t xml:space="preserve">Authors’ estimates </w:t>
      </w:r>
      <w:r>
        <w:t>based on HILDA waves 1–10.</w:t>
      </w:r>
    </w:p>
    <w:p w:rsidR="00DE5B40" w:rsidRDefault="00DE5B40" w:rsidP="00DE5B40">
      <w:pPr>
        <w:pStyle w:val="Heading3"/>
      </w:pPr>
      <w:r>
        <w:t xml:space="preserve">Seniors in the </w:t>
      </w:r>
      <w:r w:rsidRPr="003C2423">
        <w:rPr>
          <w:i/>
        </w:rPr>
        <w:t>Work</w:t>
      </w:r>
      <w:r>
        <w:t xml:space="preserve"> pathway</w:t>
      </w:r>
    </w:p>
    <w:p w:rsidR="00F83732" w:rsidRDefault="003A099D" w:rsidP="00F83732">
      <w:pPr>
        <w:pStyle w:val="BodyText"/>
      </w:pPr>
      <w:r>
        <w:t>Among seniors aged 55–64 in 2001, t</w:t>
      </w:r>
      <w:r w:rsidR="00F83732">
        <w:t>h</w:t>
      </w:r>
      <w:r>
        <w:t xml:space="preserve">e </w:t>
      </w:r>
      <w:r w:rsidRPr="003A099D">
        <w:rPr>
          <w:i/>
        </w:rPr>
        <w:t>Work</w:t>
      </w:r>
      <w:r w:rsidR="00F83732">
        <w:t xml:space="preserve"> pathway represents 21.5 per cent of </w:t>
      </w:r>
      <w:r>
        <w:t xml:space="preserve">individuals </w:t>
      </w:r>
      <w:r w:rsidR="00B15484">
        <w:t>(table </w:t>
      </w:r>
      <w:r w:rsidR="00121B7F">
        <w:t>3.13</w:t>
      </w:r>
      <w:r w:rsidR="00BB0004">
        <w:t xml:space="preserve"> below</w:t>
      </w:r>
      <w:r w:rsidR="00B15484">
        <w:t>)</w:t>
      </w:r>
      <w:r w:rsidR="00F83732">
        <w:t>. The</w:t>
      </w:r>
      <w:r w:rsidR="00F83732" w:rsidRPr="00BF2473">
        <w:t xml:space="preserve"> </w:t>
      </w:r>
      <w:r w:rsidR="00F83732">
        <w:t>members of this pathway tend to be younger than those in the other senior pathways: 75</w:t>
      </w:r>
      <w:r w:rsidR="00C8200C">
        <w:t> </w:t>
      </w:r>
      <w:r w:rsidR="00F83732">
        <w:t xml:space="preserve">per cent are aged </w:t>
      </w:r>
      <w:r w:rsidR="00564DEE">
        <w:t>less than</w:t>
      </w:r>
      <w:r w:rsidR="00F83732">
        <w:t xml:space="preserve"> 60 years, whereas in the other senior pathways less than 50</w:t>
      </w:r>
      <w:r w:rsidR="00C8200C">
        <w:t> </w:t>
      </w:r>
      <w:r w:rsidR="00F83732">
        <w:t xml:space="preserve">per cent are </w:t>
      </w:r>
      <w:r w:rsidR="00B00E44">
        <w:t>aged less than 60</w:t>
      </w:r>
      <w:r>
        <w:t> </w:t>
      </w:r>
      <w:r w:rsidR="00B00E44">
        <w:t>years</w:t>
      </w:r>
      <w:r w:rsidR="00B15484">
        <w:t xml:space="preserve"> (not shown)</w:t>
      </w:r>
      <w:r w:rsidR="00F83732">
        <w:t>. The</w:t>
      </w:r>
      <w:r w:rsidR="0090174B">
        <w:t xml:space="preserve"> </w:t>
      </w:r>
      <w:r w:rsidR="0090174B" w:rsidRPr="0090174B">
        <w:rPr>
          <w:i/>
        </w:rPr>
        <w:t>Work</w:t>
      </w:r>
      <w:r w:rsidR="00F83732">
        <w:t xml:space="preserve"> pathway contains predominantly men (58</w:t>
      </w:r>
      <w:r w:rsidR="00C8200C">
        <w:t> </w:t>
      </w:r>
      <w:r w:rsidR="00F83732">
        <w:t>per cent)</w:t>
      </w:r>
      <w:r w:rsidR="00B15484" w:rsidRPr="00B15484">
        <w:t xml:space="preserve"> </w:t>
      </w:r>
      <w:r w:rsidR="00B15484">
        <w:t>(table </w:t>
      </w:r>
      <w:r w:rsidR="00121B7F">
        <w:t>3.12</w:t>
      </w:r>
      <w:r w:rsidR="00BB0004">
        <w:t xml:space="preserve"> below</w:t>
      </w:r>
      <w:r w:rsidR="00B15484">
        <w:t>)</w:t>
      </w:r>
      <w:r w:rsidR="00F83732">
        <w:t xml:space="preserve">. </w:t>
      </w:r>
    </w:p>
    <w:p w:rsidR="00F83732" w:rsidRDefault="00F83732" w:rsidP="00F83732">
      <w:pPr>
        <w:pStyle w:val="BodyText"/>
      </w:pPr>
      <w:r>
        <w:t>Unlike the other senior pathways, where activities are strongly associated with the transition to retirement and retirement itself, this pathway is dominated by work</w:t>
      </w:r>
      <w:r w:rsidR="00B15484">
        <w:t xml:space="preserve"> (figure </w:t>
      </w:r>
      <w:r w:rsidR="00121B7F">
        <w:t>3.7</w:t>
      </w:r>
      <w:r w:rsidR="00BB0004">
        <w:t xml:space="preserve"> below</w:t>
      </w:r>
      <w:r w:rsidR="00B15484">
        <w:t>)</w:t>
      </w:r>
      <w:r>
        <w:t>. All individuals spend some time in work only and average 1.88</w:t>
      </w:r>
      <w:r w:rsidR="003A099D">
        <w:t> </w:t>
      </w:r>
      <w:r>
        <w:t>spells lasting 58 months (almost 5 years) per spell</w:t>
      </w:r>
      <w:r w:rsidR="00B15484">
        <w:t xml:space="preserve"> (table </w:t>
      </w:r>
      <w:r w:rsidR="00121B7F">
        <w:t>3.13</w:t>
      </w:r>
      <w:r w:rsidR="00B15484">
        <w:t>)</w:t>
      </w:r>
      <w:r>
        <w:t xml:space="preserve">. More than one third of the individuals spend the entire </w:t>
      </w:r>
      <w:r w:rsidR="00C8200C">
        <w:t>ten</w:t>
      </w:r>
      <w:r w:rsidR="002270B7">
        <w:t xml:space="preserve"> </w:t>
      </w:r>
      <w:r>
        <w:t>years in work only</w:t>
      </w:r>
      <w:r w:rsidR="00B15484">
        <w:t xml:space="preserve"> (figure </w:t>
      </w:r>
      <w:r w:rsidR="00121B7F">
        <w:t>3.7</w:t>
      </w:r>
      <w:r w:rsidR="00B15484">
        <w:t>)</w:t>
      </w:r>
      <w:r>
        <w:t>. Combining work with study is also common</w:t>
      </w:r>
      <w:r w:rsidR="003A099D">
        <w:t xml:space="preserve"> —</w:t>
      </w:r>
      <w:r>
        <w:t xml:space="preserve"> one quarter of individuals average 1.55 spells of 10.4</w:t>
      </w:r>
      <w:r w:rsidR="002270B7">
        <w:t xml:space="preserve"> </w:t>
      </w:r>
      <w:r>
        <w:t>months</w:t>
      </w:r>
      <w:r w:rsidR="00B15484">
        <w:t xml:space="preserve"> (table </w:t>
      </w:r>
      <w:r w:rsidR="00121B7F">
        <w:t>3.13</w:t>
      </w:r>
      <w:r w:rsidR="00B15484">
        <w:t>)</w:t>
      </w:r>
      <w:r>
        <w:t>.</w:t>
      </w:r>
    </w:p>
    <w:p w:rsidR="00F83732" w:rsidRDefault="00F83732" w:rsidP="00F83732">
      <w:pPr>
        <w:pStyle w:val="BodyText"/>
      </w:pPr>
      <w:r>
        <w:t xml:space="preserve">Education levels are higher in this pathway compared to the other senior pathways. About one quarter of seniors in the </w:t>
      </w:r>
      <w:r w:rsidRPr="00030C3E">
        <w:rPr>
          <w:i/>
        </w:rPr>
        <w:t>Work</w:t>
      </w:r>
      <w:r>
        <w:t xml:space="preserve"> pathway ha</w:t>
      </w:r>
      <w:r w:rsidR="00B00E44">
        <w:t>s</w:t>
      </w:r>
      <w:r>
        <w:t xml:space="preserve"> high education levels in 2001, and one</w:t>
      </w:r>
      <w:r w:rsidR="00C8200C">
        <w:t xml:space="preserve"> </w:t>
      </w:r>
      <w:r>
        <w:t>third ha</w:t>
      </w:r>
      <w:r w:rsidR="00B00E44">
        <w:t>s</w:t>
      </w:r>
      <w:r>
        <w:t xml:space="preserve"> medium</w:t>
      </w:r>
      <w:r w:rsidR="00914827">
        <w:noBreakHyphen/>
      </w:r>
      <w:r>
        <w:t xml:space="preserve">level </w:t>
      </w:r>
      <w:r w:rsidR="00B15484">
        <w:t>education (table </w:t>
      </w:r>
      <w:r w:rsidR="00121B7F">
        <w:t>3.12</w:t>
      </w:r>
      <w:r w:rsidR="00B15484">
        <w:t>)</w:t>
      </w:r>
      <w:r>
        <w:t>. Although 24</w:t>
      </w:r>
      <w:r w:rsidR="00B15484">
        <w:t> </w:t>
      </w:r>
      <w:r>
        <w:t>per cent of individuals combine study and work, there is no change in broad education levels by 2010, suggesting th</w:t>
      </w:r>
      <w:r w:rsidR="00B00E44">
        <w:t>e</w:t>
      </w:r>
      <w:r>
        <w:t xml:space="preserve"> study activity represents education at the same or lower levels</w:t>
      </w:r>
      <w:r w:rsidR="003A099D">
        <w:t>,</w:t>
      </w:r>
      <w:r>
        <w:t xml:space="preserve"> or p</w:t>
      </w:r>
      <w:r w:rsidR="00AC4A2A">
        <w:t>art</w:t>
      </w:r>
      <w:r w:rsidR="00914827">
        <w:noBreakHyphen/>
      </w:r>
      <w:r w:rsidR="00AC4A2A">
        <w:t>qualif</w:t>
      </w:r>
      <w:r w:rsidR="003A099D">
        <w:t>ication completions</w:t>
      </w:r>
      <w:r w:rsidR="00AC4A2A">
        <w:t>.</w:t>
      </w:r>
    </w:p>
    <w:p w:rsidR="00F83732" w:rsidRDefault="00F83732" w:rsidP="00F83732">
      <w:pPr>
        <w:pStyle w:val="BodyText"/>
      </w:pPr>
      <w:r>
        <w:t>Few seniors experience unemployment, possibly because they tend to withdraw from the labour force upon leaving employment. However, for those individuals in this pathway who do become unemployed, the experience tends to be pro</w:t>
      </w:r>
      <w:r w:rsidR="00B00E44">
        <w:t>tracted</w:t>
      </w:r>
      <w:r>
        <w:t xml:space="preserve"> (</w:t>
      </w:r>
      <w:r w:rsidR="0052401C">
        <w:t>nine</w:t>
      </w:r>
      <w:r w:rsidR="00C8200C">
        <w:t> </w:t>
      </w:r>
      <w:r>
        <w:t>months) and recurrent (1.55 spells on average)</w:t>
      </w:r>
      <w:r w:rsidR="00B15484">
        <w:t xml:space="preserve"> (table </w:t>
      </w:r>
      <w:r w:rsidR="00121B7F">
        <w:t>3.13</w:t>
      </w:r>
      <w:r w:rsidR="00B15484">
        <w:t>)</w:t>
      </w:r>
      <w:r>
        <w:t xml:space="preserve">. </w:t>
      </w:r>
    </w:p>
    <w:p w:rsidR="00450928" w:rsidRDefault="008F3B1B" w:rsidP="00DE5B40">
      <w:pPr>
        <w:pStyle w:val="BodyText"/>
      </w:pPr>
      <w:r>
        <w:lastRenderedPageBreak/>
        <w:t>This pathway displays the lowest rate of NILF among seniors in 2010, as m</w:t>
      </w:r>
      <w:r w:rsidR="00F83732">
        <w:t>ost individuals in this pathway are yet to retire. In 2001, 4 per cent are NILF</w:t>
      </w:r>
      <w:r w:rsidR="00B15484">
        <w:t xml:space="preserve"> (table </w:t>
      </w:r>
      <w:r w:rsidR="00121B7F">
        <w:t>3.12</w:t>
      </w:r>
      <w:r w:rsidR="00B15484">
        <w:t>)</w:t>
      </w:r>
      <w:r w:rsidR="00F83732">
        <w:t>. During the ten</w:t>
      </w:r>
      <w:r w:rsidR="00EA57D3">
        <w:noBreakHyphen/>
      </w:r>
      <w:r w:rsidR="00F83732">
        <w:t>year period, only 37 per cent spend time NILF, averaging 1.75 spells of 7.5</w:t>
      </w:r>
      <w:r w:rsidR="00B15484">
        <w:t xml:space="preserve"> </w:t>
      </w:r>
      <w:r w:rsidR="00F83732">
        <w:t>months each</w:t>
      </w:r>
      <w:r w:rsidR="00B15484">
        <w:t xml:space="preserve"> </w:t>
      </w:r>
      <w:r w:rsidR="00CF370D">
        <w:t>(table </w:t>
      </w:r>
      <w:r w:rsidR="00121B7F">
        <w:t>3.13</w:t>
      </w:r>
      <w:r w:rsidR="00CF370D">
        <w:t>)</w:t>
      </w:r>
      <w:r w:rsidR="00F83732">
        <w:t>. Monthly activity shares show a temporary</w:t>
      </w:r>
      <w:r w:rsidR="00B00E44">
        <w:t>, but small</w:t>
      </w:r>
      <w:r w:rsidR="00F83732">
        <w:t xml:space="preserve"> </w:t>
      </w:r>
      <w:r>
        <w:t xml:space="preserve">increase in NILF from July 2005 to June </w:t>
      </w:r>
      <w:r w:rsidR="00F83732">
        <w:t>2007</w:t>
      </w:r>
      <w:r w:rsidR="00CF370D">
        <w:t xml:space="preserve"> (figure </w:t>
      </w:r>
      <w:r w:rsidR="00121B7F">
        <w:t>3.7</w:t>
      </w:r>
      <w:r w:rsidR="00CF370D">
        <w:t>)</w:t>
      </w:r>
      <w:r w:rsidR="00F83732">
        <w:t>. In 2010, 16</w:t>
      </w:r>
      <w:r w:rsidR="00CF370D">
        <w:t> </w:t>
      </w:r>
      <w:r w:rsidR="00F83732">
        <w:t>per cent of individuals are NILF and this is mostly due to the few individuals in this pathway who retire</w:t>
      </w:r>
      <w:r w:rsidR="00CF370D">
        <w:t xml:space="preserve"> (table </w:t>
      </w:r>
      <w:r w:rsidR="00121B7F">
        <w:t>3.12</w:t>
      </w:r>
      <w:r w:rsidR="00CF370D">
        <w:t>)</w:t>
      </w:r>
      <w:r w:rsidR="003A099D">
        <w:t>.</w:t>
      </w:r>
    </w:p>
    <w:p w:rsidR="008B6DA4" w:rsidRPr="0002368C" w:rsidRDefault="008B6DA4" w:rsidP="008B6DA4">
      <w:pPr>
        <w:pStyle w:val="FigureTitle"/>
      </w:pPr>
      <w:r>
        <w:rPr>
          <w:b w:val="0"/>
        </w:rPr>
        <w:lastRenderedPageBreak/>
        <w:t xml:space="preserve">Figure </w:t>
      </w:r>
      <w:bookmarkStart w:id="29" w:name="OLE_LINK28"/>
      <w:r w:rsidR="00121B7F">
        <w:rPr>
          <w:b w:val="0"/>
        </w:rPr>
        <w:t>3.</w:t>
      </w:r>
      <w:r w:rsidR="00C42746">
        <w:rPr>
          <w:b w:val="0"/>
          <w:noProof/>
        </w:rPr>
        <w:t>7</w:t>
      </w:r>
      <w:bookmarkEnd w:id="29"/>
      <w:r>
        <w:tab/>
        <w:t xml:space="preserve">Activities in the </w:t>
      </w:r>
      <w:r w:rsidRPr="00DC17C0">
        <w:rPr>
          <w:i/>
        </w:rPr>
        <w:t>W</w:t>
      </w:r>
      <w:r w:rsidR="00D44D55" w:rsidRPr="00DC17C0">
        <w:rPr>
          <w:i/>
        </w:rPr>
        <w:t>ork</w:t>
      </w:r>
      <w:r>
        <w:t xml:space="preserve"> pathway for </w:t>
      </w:r>
      <w:r w:rsidR="00450928">
        <w:t>seniors</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8B6DA4" w:rsidTr="008B6DA4">
        <w:tc>
          <w:tcPr>
            <w:tcW w:w="8777" w:type="dxa"/>
          </w:tcPr>
          <w:p w:rsidR="008B6DA4" w:rsidRPr="00AF4FFC" w:rsidRDefault="008B6DA4" w:rsidP="008B6DA4">
            <w:pPr>
              <w:pStyle w:val="Figure"/>
              <w:rPr>
                <w:rFonts w:ascii="Arial" w:hAnsi="Arial" w:cs="Arial"/>
                <w:b/>
                <w:sz w:val="20"/>
              </w:rPr>
            </w:pPr>
            <w:r w:rsidRPr="00AF4FFC">
              <w:rPr>
                <w:rFonts w:ascii="Arial" w:hAnsi="Arial" w:cs="Arial"/>
                <w:b/>
                <w:sz w:val="20"/>
              </w:rPr>
              <w:t>(A) Activity sequences by individual</w:t>
            </w:r>
          </w:p>
          <w:p w:rsidR="008B6DA4" w:rsidRDefault="00C413F9" w:rsidP="00C413F9">
            <w:pPr>
              <w:pStyle w:val="Figure"/>
              <w:jc w:val="left"/>
            </w:pPr>
            <w:r>
              <w:t>  </w:t>
            </w:r>
            <w:r w:rsidR="00FA7CC0">
              <w:t>        </w:t>
            </w:r>
            <w:r w:rsidR="007C193D">
              <w:rPr>
                <w:noProof/>
              </w:rPr>
              <w:drawing>
                <wp:inline distT="0" distB="0" distL="0" distR="0" wp14:anchorId="0E7E59D9" wp14:editId="20498D9C">
                  <wp:extent cx="4510405" cy="3288030"/>
                  <wp:effectExtent l="0" t="0" r="0" b="0"/>
                  <wp:docPr id="10" name="Picture 10" descr="Figure 3.7 Activities in the Work pathway for seniors panel A - Activity sequences by individual&#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Longitudinal Surveys\Hilda R10\100c\CB\meanprobdist\recode activity\final SI plots\S_4.png"/>
                          <pic:cNvPicPr>
                            <a:picLocks noChangeAspect="1" noChangeArrowheads="1"/>
                          </pic:cNvPicPr>
                        </pic:nvPicPr>
                        <pic:blipFill rotWithShape="1">
                          <a:blip r:embed="rId20">
                            <a:extLst>
                              <a:ext uri="{28A0092B-C50C-407E-A947-70E740481C1C}">
                                <a14:useLocalDpi xmlns:a14="http://schemas.microsoft.com/office/drawing/2010/main" val="0"/>
                              </a:ext>
                            </a:extLst>
                          </a:blip>
                          <a:srcRect l="-399" t="547" r="399" b="-547"/>
                          <a:stretch/>
                        </pic:blipFill>
                        <pic:spPr bwMode="auto">
                          <a:xfrm>
                            <a:off x="0" y="0"/>
                            <a:ext cx="4510405" cy="3288030"/>
                          </a:xfrm>
                          <a:prstGeom prst="rect">
                            <a:avLst/>
                          </a:prstGeom>
                          <a:noFill/>
                          <a:ln>
                            <a:noFill/>
                          </a:ln>
                        </pic:spPr>
                      </pic:pic>
                    </a:graphicData>
                  </a:graphic>
                </wp:inline>
              </w:drawing>
            </w:r>
          </w:p>
        </w:tc>
      </w:tr>
      <w:tr w:rsidR="008B6DA4" w:rsidTr="008B6DA4">
        <w:tc>
          <w:tcPr>
            <w:tcW w:w="8777" w:type="dxa"/>
          </w:tcPr>
          <w:p w:rsidR="008B6DA4" w:rsidRPr="00AF4FFC" w:rsidRDefault="008B6DA4" w:rsidP="008B6DA4">
            <w:pPr>
              <w:pStyle w:val="Figure"/>
              <w:rPr>
                <w:rFonts w:ascii="Arial" w:hAnsi="Arial" w:cs="Arial"/>
                <w:b/>
                <w:sz w:val="20"/>
              </w:rPr>
            </w:pPr>
            <w:r w:rsidRPr="00AF4FFC">
              <w:rPr>
                <w:rFonts w:ascii="Arial" w:hAnsi="Arial" w:cs="Arial"/>
                <w:b/>
                <w:sz w:val="20"/>
              </w:rPr>
              <w:t>(B) Activities by monthly share</w:t>
            </w:r>
          </w:p>
          <w:p w:rsidR="00DE2DEF" w:rsidRPr="00DE2DEF" w:rsidRDefault="00970781" w:rsidP="008B6DA4">
            <w:pPr>
              <w:pStyle w:val="Figure"/>
            </w:pPr>
            <w:r>
              <w:rPr>
                <w:noProof/>
              </w:rPr>
              <w:drawing>
                <wp:inline distT="0" distB="0" distL="0" distR="0" wp14:anchorId="40CA60DB" wp14:editId="2EF27A77">
                  <wp:extent cx="4150800" cy="2714400"/>
                  <wp:effectExtent l="0" t="0" r="0" b="0"/>
                  <wp:docPr id="21" name="Picture 21" descr="Figure 3.7 Activities in the Work pathway for seniors panel B - Activities by monthly sh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50800" cy="2714400"/>
                          </a:xfrm>
                          <a:prstGeom prst="rect">
                            <a:avLst/>
                          </a:prstGeom>
                          <a:noFill/>
                        </pic:spPr>
                      </pic:pic>
                    </a:graphicData>
                  </a:graphic>
                </wp:inline>
              </w:drawing>
            </w:r>
          </w:p>
        </w:tc>
      </w:tr>
    </w:tbl>
    <w:p w:rsidR="008B6DA4" w:rsidRDefault="008B6DA4" w:rsidP="008B6DA4">
      <w:pPr>
        <w:pStyle w:val="Source"/>
      </w:pPr>
      <w:r>
        <w:rPr>
          <w:i/>
        </w:rPr>
        <w:t>Data source</w:t>
      </w:r>
      <w:r w:rsidRPr="00167F06">
        <w:t xml:space="preserve">: </w:t>
      </w:r>
      <w:r w:rsidR="005C3704">
        <w:t xml:space="preserve">Authors’ estimates </w:t>
      </w:r>
      <w:r>
        <w:t>based on HILDA waves 1–10.</w:t>
      </w:r>
    </w:p>
    <w:p w:rsidR="008B6DA4" w:rsidRPr="00A413CD" w:rsidRDefault="008B6DA4" w:rsidP="008B6DA4">
      <w:pPr>
        <w:pStyle w:val="BodyText"/>
      </w:pPr>
    </w:p>
    <w:p w:rsidR="00450928" w:rsidRDefault="00450928" w:rsidP="00450928">
      <w:pPr>
        <w:pStyle w:val="TableTitle"/>
      </w:pPr>
      <w:r>
        <w:rPr>
          <w:b w:val="0"/>
        </w:rPr>
        <w:lastRenderedPageBreak/>
        <w:t xml:space="preserve">Table </w:t>
      </w:r>
      <w:bookmarkStart w:id="30" w:name="OLE_LINK27"/>
      <w:r w:rsidR="00121B7F">
        <w:rPr>
          <w:b w:val="0"/>
        </w:rPr>
        <w:t>3.</w:t>
      </w:r>
      <w:r w:rsidR="00C42746">
        <w:rPr>
          <w:b w:val="0"/>
          <w:noProof/>
        </w:rPr>
        <w:t>12</w:t>
      </w:r>
      <w:bookmarkEnd w:id="30"/>
      <w:r>
        <w:tab/>
        <w:t xml:space="preserve">Selected characteristics of individuals in the </w:t>
      </w:r>
      <w:r w:rsidR="00D44D55" w:rsidRPr="00DC17C0">
        <w:rPr>
          <w:i/>
        </w:rPr>
        <w:t>Work</w:t>
      </w:r>
      <w:r>
        <w:t xml:space="preserve"> pathway for seniors</w:t>
      </w:r>
    </w:p>
    <w:tbl>
      <w:tblPr>
        <w:tblW w:w="0" w:type="auto"/>
        <w:tblLayout w:type="fixed"/>
        <w:tblCellMar>
          <w:left w:w="0" w:type="dxa"/>
          <w:right w:w="0" w:type="dxa"/>
        </w:tblCellMar>
        <w:tblLook w:val="0000" w:firstRow="0" w:lastRow="0" w:firstColumn="0" w:lastColumn="0" w:noHBand="0" w:noVBand="0"/>
      </w:tblPr>
      <w:tblGrid>
        <w:gridCol w:w="3969"/>
        <w:gridCol w:w="1843"/>
        <w:gridCol w:w="1134"/>
        <w:gridCol w:w="1843"/>
      </w:tblGrid>
      <w:tr w:rsidR="00450928" w:rsidTr="00450928">
        <w:tc>
          <w:tcPr>
            <w:tcW w:w="3969" w:type="dxa"/>
            <w:tcBorders>
              <w:top w:val="single" w:sz="6" w:space="0" w:color="auto"/>
              <w:bottom w:val="single" w:sz="6" w:space="0" w:color="auto"/>
            </w:tcBorders>
            <w:shd w:val="clear" w:color="auto" w:fill="auto"/>
          </w:tcPr>
          <w:p w:rsidR="00450928" w:rsidRDefault="00450928" w:rsidP="00450928">
            <w:pPr>
              <w:pStyle w:val="TableColumnHeading"/>
              <w:jc w:val="left"/>
            </w:pPr>
            <w:r>
              <w:t>Characteristic</w:t>
            </w:r>
          </w:p>
        </w:tc>
        <w:tc>
          <w:tcPr>
            <w:tcW w:w="1843" w:type="dxa"/>
            <w:tcBorders>
              <w:top w:val="single" w:sz="6" w:space="0" w:color="auto"/>
              <w:bottom w:val="single" w:sz="6" w:space="0" w:color="auto"/>
            </w:tcBorders>
            <w:shd w:val="clear" w:color="auto" w:fill="auto"/>
          </w:tcPr>
          <w:p w:rsidR="00450928" w:rsidRDefault="00450928" w:rsidP="00450928">
            <w:pPr>
              <w:pStyle w:val="TableColumnHeading"/>
              <w:jc w:val="left"/>
            </w:pPr>
            <w:r>
              <w:t>Measure</w:t>
            </w:r>
          </w:p>
        </w:tc>
        <w:tc>
          <w:tcPr>
            <w:tcW w:w="1134" w:type="dxa"/>
            <w:tcBorders>
              <w:top w:val="single" w:sz="6" w:space="0" w:color="auto"/>
              <w:bottom w:val="single" w:sz="6" w:space="0" w:color="auto"/>
            </w:tcBorders>
          </w:tcPr>
          <w:p w:rsidR="00450928" w:rsidRDefault="00450928" w:rsidP="00450928">
            <w:pPr>
              <w:pStyle w:val="TableColumnHeading"/>
            </w:pPr>
            <w:r>
              <w:t>W pathway</w:t>
            </w:r>
          </w:p>
        </w:tc>
        <w:tc>
          <w:tcPr>
            <w:tcW w:w="1843" w:type="dxa"/>
            <w:tcBorders>
              <w:top w:val="single" w:sz="6" w:space="0" w:color="auto"/>
              <w:bottom w:val="single" w:sz="6" w:space="0" w:color="auto"/>
            </w:tcBorders>
            <w:shd w:val="clear" w:color="auto" w:fill="auto"/>
          </w:tcPr>
          <w:p w:rsidR="00450928" w:rsidRDefault="00450928" w:rsidP="00450928">
            <w:pPr>
              <w:pStyle w:val="TableColumnHeading"/>
              <w:ind w:right="0"/>
            </w:pPr>
            <w:r>
              <w:t>All senior pathways</w:t>
            </w:r>
          </w:p>
        </w:tc>
      </w:tr>
      <w:tr w:rsidR="00450928" w:rsidTr="00450928">
        <w:tc>
          <w:tcPr>
            <w:tcW w:w="3969" w:type="dxa"/>
          </w:tcPr>
          <w:p w:rsidR="00450928" w:rsidRPr="00ED5DF6" w:rsidRDefault="00450928" w:rsidP="00450928">
            <w:pPr>
              <w:pStyle w:val="TableBodyText"/>
              <w:spacing w:before="80"/>
              <w:jc w:val="left"/>
              <w:rPr>
                <w:b/>
              </w:rPr>
            </w:pPr>
            <w:r w:rsidRPr="00ED5DF6">
              <w:rPr>
                <w:b/>
              </w:rPr>
              <w:t>In 2001:</w:t>
            </w:r>
          </w:p>
        </w:tc>
        <w:tc>
          <w:tcPr>
            <w:tcW w:w="1843" w:type="dxa"/>
          </w:tcPr>
          <w:p w:rsidR="00450928" w:rsidRDefault="00450928" w:rsidP="00450928">
            <w:pPr>
              <w:pStyle w:val="TableBodyText"/>
              <w:spacing w:before="80"/>
              <w:jc w:val="left"/>
            </w:pPr>
          </w:p>
        </w:tc>
        <w:tc>
          <w:tcPr>
            <w:tcW w:w="1134" w:type="dxa"/>
          </w:tcPr>
          <w:p w:rsidR="00450928" w:rsidRDefault="00450928" w:rsidP="00450928">
            <w:pPr>
              <w:pStyle w:val="TableBodyText"/>
              <w:spacing w:before="80"/>
            </w:pPr>
          </w:p>
        </w:tc>
        <w:tc>
          <w:tcPr>
            <w:tcW w:w="1843" w:type="dxa"/>
          </w:tcPr>
          <w:p w:rsidR="00450928" w:rsidRDefault="00450928" w:rsidP="00450928">
            <w:pPr>
              <w:pStyle w:val="TableBodyText"/>
              <w:spacing w:before="80"/>
              <w:ind w:right="0"/>
            </w:pPr>
          </w:p>
        </w:tc>
      </w:tr>
      <w:tr w:rsidR="00450928" w:rsidTr="00450928">
        <w:tc>
          <w:tcPr>
            <w:tcW w:w="3969" w:type="dxa"/>
          </w:tcPr>
          <w:p w:rsidR="00450928" w:rsidRDefault="00450928" w:rsidP="00450928">
            <w:pPr>
              <w:pStyle w:val="TableBodyText"/>
              <w:jc w:val="left"/>
            </w:pPr>
            <w:r>
              <w:t>age</w:t>
            </w:r>
          </w:p>
        </w:tc>
        <w:tc>
          <w:tcPr>
            <w:tcW w:w="1843" w:type="dxa"/>
          </w:tcPr>
          <w:p w:rsidR="00450928" w:rsidRDefault="00450928" w:rsidP="00450928">
            <w:pPr>
              <w:pStyle w:val="TableBodyText"/>
              <w:jc w:val="left"/>
            </w:pPr>
            <w:r>
              <w:t>years, average</w:t>
            </w:r>
          </w:p>
        </w:tc>
        <w:tc>
          <w:tcPr>
            <w:tcW w:w="1134" w:type="dxa"/>
            <w:vAlign w:val="bottom"/>
          </w:tcPr>
          <w:p w:rsidR="00450928" w:rsidRDefault="00450928" w:rsidP="00450928">
            <w:pPr>
              <w:pStyle w:val="TableBodyText"/>
            </w:pPr>
            <w:r>
              <w:t>57.8</w:t>
            </w:r>
          </w:p>
        </w:tc>
        <w:tc>
          <w:tcPr>
            <w:tcW w:w="1843" w:type="dxa"/>
            <w:vAlign w:val="bottom"/>
          </w:tcPr>
          <w:p w:rsidR="00450928" w:rsidRDefault="00450928" w:rsidP="00450928">
            <w:pPr>
              <w:pStyle w:val="TableBodyText"/>
              <w:ind w:right="0"/>
            </w:pPr>
            <w:r>
              <w:t>59.2</w:t>
            </w:r>
          </w:p>
        </w:tc>
      </w:tr>
      <w:tr w:rsidR="00450928" w:rsidTr="00450928">
        <w:tc>
          <w:tcPr>
            <w:tcW w:w="3969" w:type="dxa"/>
          </w:tcPr>
          <w:p w:rsidR="00450928" w:rsidRDefault="00450928" w:rsidP="00450928">
            <w:pPr>
              <w:pStyle w:val="TableBodyText"/>
              <w:jc w:val="left"/>
            </w:pPr>
            <w:r>
              <w:t>gender</w:t>
            </w:r>
          </w:p>
        </w:tc>
        <w:tc>
          <w:tcPr>
            <w:tcW w:w="1843" w:type="dxa"/>
          </w:tcPr>
          <w:p w:rsidR="00450928" w:rsidRDefault="00450928" w:rsidP="00450928">
            <w:pPr>
              <w:pStyle w:val="TableBodyText"/>
              <w:jc w:val="left"/>
            </w:pPr>
            <w:r>
              <w:t>% female</w:t>
            </w:r>
          </w:p>
        </w:tc>
        <w:tc>
          <w:tcPr>
            <w:tcW w:w="1134" w:type="dxa"/>
            <w:vAlign w:val="bottom"/>
          </w:tcPr>
          <w:p w:rsidR="00450928" w:rsidRDefault="00450928" w:rsidP="00450928">
            <w:pPr>
              <w:pStyle w:val="TableBodyText"/>
            </w:pPr>
            <w:r>
              <w:t>41.78</w:t>
            </w:r>
          </w:p>
        </w:tc>
        <w:tc>
          <w:tcPr>
            <w:tcW w:w="1843" w:type="dxa"/>
            <w:vAlign w:val="bottom"/>
          </w:tcPr>
          <w:p w:rsidR="00450928" w:rsidRDefault="00450928" w:rsidP="00450928">
            <w:pPr>
              <w:pStyle w:val="TableBodyText"/>
              <w:ind w:right="0"/>
            </w:pPr>
            <w:r>
              <w:t>53.25</w:t>
            </w:r>
          </w:p>
        </w:tc>
      </w:tr>
      <w:tr w:rsidR="00450928" w:rsidTr="00450928">
        <w:tc>
          <w:tcPr>
            <w:tcW w:w="3969" w:type="dxa"/>
          </w:tcPr>
          <w:p w:rsidR="00450928" w:rsidRDefault="00450928" w:rsidP="00450928">
            <w:pPr>
              <w:pStyle w:val="TableBodyText"/>
              <w:jc w:val="left"/>
            </w:pPr>
            <w:r>
              <w:t>locality (remoteness)</w:t>
            </w:r>
          </w:p>
        </w:tc>
        <w:tc>
          <w:tcPr>
            <w:tcW w:w="1843" w:type="dxa"/>
          </w:tcPr>
          <w:p w:rsidR="00450928" w:rsidRDefault="00450928" w:rsidP="00450928">
            <w:pPr>
              <w:pStyle w:val="TableBodyText"/>
              <w:jc w:val="left"/>
            </w:pPr>
            <w:r>
              <w:t>% major city</w:t>
            </w:r>
          </w:p>
        </w:tc>
        <w:tc>
          <w:tcPr>
            <w:tcW w:w="1134" w:type="dxa"/>
            <w:vAlign w:val="bottom"/>
          </w:tcPr>
          <w:p w:rsidR="00450928" w:rsidRDefault="00450928" w:rsidP="00450928">
            <w:pPr>
              <w:pStyle w:val="TableBodyText"/>
            </w:pPr>
            <w:r>
              <w:t>58.22</w:t>
            </w:r>
          </w:p>
        </w:tc>
        <w:tc>
          <w:tcPr>
            <w:tcW w:w="1843" w:type="dxa"/>
            <w:vAlign w:val="bottom"/>
          </w:tcPr>
          <w:p w:rsidR="00450928" w:rsidRDefault="00450928" w:rsidP="00450928">
            <w:pPr>
              <w:pStyle w:val="TableBodyText"/>
              <w:ind w:right="0"/>
            </w:pPr>
            <w:r>
              <w:t>56.69</w:t>
            </w:r>
          </w:p>
        </w:tc>
      </w:tr>
      <w:tr w:rsidR="00450928" w:rsidTr="00722111">
        <w:tc>
          <w:tcPr>
            <w:tcW w:w="3969" w:type="dxa"/>
          </w:tcPr>
          <w:p w:rsidR="00450928" w:rsidRDefault="00450928" w:rsidP="00450928">
            <w:pPr>
              <w:pStyle w:val="TableBodyText"/>
              <w:jc w:val="left"/>
            </w:pPr>
            <w:r>
              <w:t>highest level of education</w:t>
            </w:r>
            <w:r w:rsidRPr="00DE4890">
              <w:rPr>
                <w:rStyle w:val="NoteLabel"/>
              </w:rPr>
              <w:t>a</w:t>
            </w:r>
          </w:p>
        </w:tc>
        <w:tc>
          <w:tcPr>
            <w:tcW w:w="1843" w:type="dxa"/>
            <w:vAlign w:val="bottom"/>
          </w:tcPr>
          <w:p w:rsidR="00450928" w:rsidRDefault="00450928" w:rsidP="00722111">
            <w:pPr>
              <w:pStyle w:val="TableBodyText"/>
              <w:jc w:val="left"/>
            </w:pPr>
            <w:r>
              <w:t>% high</w:t>
            </w:r>
          </w:p>
        </w:tc>
        <w:tc>
          <w:tcPr>
            <w:tcW w:w="1134" w:type="dxa"/>
            <w:vAlign w:val="bottom"/>
          </w:tcPr>
          <w:p w:rsidR="00450928" w:rsidRDefault="00450928" w:rsidP="00450928">
            <w:pPr>
              <w:pStyle w:val="TableBodyText"/>
            </w:pPr>
            <w:r>
              <w:t>24.89</w:t>
            </w:r>
          </w:p>
        </w:tc>
        <w:tc>
          <w:tcPr>
            <w:tcW w:w="1843" w:type="dxa"/>
            <w:vAlign w:val="bottom"/>
          </w:tcPr>
          <w:p w:rsidR="00450928" w:rsidRDefault="00450928" w:rsidP="00450928">
            <w:pPr>
              <w:pStyle w:val="TableBodyText"/>
              <w:ind w:right="0"/>
            </w:pPr>
            <w:r>
              <w:t>15.68</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09064E">
            <w:pPr>
              <w:pStyle w:val="TableBodyText"/>
              <w:jc w:val="left"/>
            </w:pPr>
            <w:r>
              <w:t xml:space="preserve">% </w:t>
            </w:r>
            <w:r w:rsidR="0009064E">
              <w:t>m</w:t>
            </w:r>
            <w:r>
              <w:t>edium</w:t>
            </w:r>
          </w:p>
        </w:tc>
        <w:tc>
          <w:tcPr>
            <w:tcW w:w="1134" w:type="dxa"/>
            <w:vAlign w:val="bottom"/>
          </w:tcPr>
          <w:p w:rsidR="00450928" w:rsidRDefault="00450928" w:rsidP="00450928">
            <w:pPr>
              <w:pStyle w:val="TableBodyText"/>
            </w:pPr>
            <w:r>
              <w:t>37.33</w:t>
            </w:r>
          </w:p>
        </w:tc>
        <w:tc>
          <w:tcPr>
            <w:tcW w:w="1843" w:type="dxa"/>
            <w:vAlign w:val="bottom"/>
          </w:tcPr>
          <w:p w:rsidR="00450928" w:rsidRDefault="00450928" w:rsidP="00450928">
            <w:pPr>
              <w:pStyle w:val="TableBodyText"/>
              <w:ind w:right="0"/>
            </w:pPr>
            <w:r>
              <w:t>34.9</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450928">
            <w:pPr>
              <w:pStyle w:val="TableBodyText"/>
              <w:jc w:val="left"/>
            </w:pPr>
            <w:r>
              <w:t>% low</w:t>
            </w:r>
          </w:p>
        </w:tc>
        <w:tc>
          <w:tcPr>
            <w:tcW w:w="1134" w:type="dxa"/>
            <w:vAlign w:val="bottom"/>
          </w:tcPr>
          <w:p w:rsidR="00450928" w:rsidRDefault="00450928" w:rsidP="00450928">
            <w:pPr>
              <w:pStyle w:val="TableBodyText"/>
            </w:pPr>
            <w:r>
              <w:t>37.77</w:t>
            </w:r>
          </w:p>
        </w:tc>
        <w:tc>
          <w:tcPr>
            <w:tcW w:w="1843" w:type="dxa"/>
            <w:vAlign w:val="bottom"/>
          </w:tcPr>
          <w:p w:rsidR="00450928" w:rsidRDefault="00450928" w:rsidP="00450928">
            <w:pPr>
              <w:pStyle w:val="TableBodyText"/>
              <w:ind w:right="0"/>
            </w:pPr>
            <w:r>
              <w:t>49.42</w:t>
            </w:r>
          </w:p>
        </w:tc>
      </w:tr>
      <w:tr w:rsidR="00450928" w:rsidTr="00450928">
        <w:tc>
          <w:tcPr>
            <w:tcW w:w="3969" w:type="dxa"/>
          </w:tcPr>
          <w:p w:rsidR="00450928" w:rsidRDefault="006A600A" w:rsidP="00450928">
            <w:pPr>
              <w:pStyle w:val="TableBodyText"/>
              <w:jc w:val="left"/>
            </w:pPr>
            <w:r>
              <w:t>u</w:t>
            </w:r>
            <w:r w:rsidR="00450928">
              <w:t>nemployed</w:t>
            </w:r>
          </w:p>
        </w:tc>
        <w:tc>
          <w:tcPr>
            <w:tcW w:w="1843" w:type="dxa"/>
          </w:tcPr>
          <w:p w:rsidR="00450928" w:rsidRDefault="00450928" w:rsidP="00450928">
            <w:pPr>
              <w:pStyle w:val="TableBodyText"/>
              <w:jc w:val="left"/>
            </w:pPr>
            <w:r>
              <w:t>% U</w:t>
            </w:r>
          </w:p>
        </w:tc>
        <w:tc>
          <w:tcPr>
            <w:tcW w:w="1134" w:type="dxa"/>
            <w:vAlign w:val="bottom"/>
          </w:tcPr>
          <w:p w:rsidR="00450928" w:rsidRDefault="00450928" w:rsidP="00450928">
            <w:pPr>
              <w:pStyle w:val="TableBodyText"/>
            </w:pPr>
            <w:r>
              <w:t>2.22</w:t>
            </w:r>
          </w:p>
        </w:tc>
        <w:tc>
          <w:tcPr>
            <w:tcW w:w="1843" w:type="dxa"/>
            <w:vAlign w:val="bottom"/>
          </w:tcPr>
          <w:p w:rsidR="00450928" w:rsidRDefault="00450928" w:rsidP="00450928">
            <w:pPr>
              <w:pStyle w:val="TableBodyText"/>
              <w:ind w:right="0"/>
            </w:pPr>
            <w:r>
              <w:t>2.20</w:t>
            </w:r>
          </w:p>
        </w:tc>
      </w:tr>
      <w:tr w:rsidR="00450928" w:rsidTr="00450928">
        <w:tc>
          <w:tcPr>
            <w:tcW w:w="3969" w:type="dxa"/>
          </w:tcPr>
          <w:p w:rsidR="00450928" w:rsidRDefault="00450928" w:rsidP="00450928">
            <w:pPr>
              <w:pStyle w:val="TableBodyText"/>
              <w:jc w:val="left"/>
            </w:pPr>
            <w:r>
              <w:t>NILF (inc</w:t>
            </w:r>
            <w:r w:rsidR="00406870">
              <w:t>l</w:t>
            </w:r>
            <w:r>
              <w:t>. marginally attached)</w:t>
            </w:r>
          </w:p>
        </w:tc>
        <w:tc>
          <w:tcPr>
            <w:tcW w:w="1843" w:type="dxa"/>
          </w:tcPr>
          <w:p w:rsidR="00450928" w:rsidRDefault="00450928" w:rsidP="00450928">
            <w:pPr>
              <w:pStyle w:val="TableBodyText"/>
              <w:jc w:val="left"/>
            </w:pPr>
            <w:r>
              <w:t>% NILF</w:t>
            </w:r>
          </w:p>
        </w:tc>
        <w:tc>
          <w:tcPr>
            <w:tcW w:w="1134" w:type="dxa"/>
            <w:vAlign w:val="bottom"/>
          </w:tcPr>
          <w:p w:rsidR="00450928" w:rsidRDefault="00450928" w:rsidP="00450928">
            <w:pPr>
              <w:pStyle w:val="TableBodyText"/>
            </w:pPr>
            <w:r>
              <w:t>3.56</w:t>
            </w:r>
          </w:p>
        </w:tc>
        <w:tc>
          <w:tcPr>
            <w:tcW w:w="1843" w:type="dxa"/>
            <w:vAlign w:val="bottom"/>
          </w:tcPr>
          <w:p w:rsidR="00450928" w:rsidRDefault="00450928" w:rsidP="00450928">
            <w:pPr>
              <w:pStyle w:val="TableBodyText"/>
              <w:ind w:right="0"/>
            </w:pPr>
            <w:r>
              <w:t>50.00</w:t>
            </w:r>
          </w:p>
        </w:tc>
      </w:tr>
      <w:tr w:rsidR="00450928" w:rsidTr="00450928">
        <w:tc>
          <w:tcPr>
            <w:tcW w:w="3969" w:type="dxa"/>
          </w:tcPr>
          <w:p w:rsidR="00450928" w:rsidRPr="00ED5DF6" w:rsidRDefault="00450928" w:rsidP="00450928">
            <w:pPr>
              <w:pStyle w:val="TableBodyText"/>
              <w:jc w:val="left"/>
              <w:rPr>
                <w:i/>
              </w:rPr>
            </w:pPr>
            <w:r w:rsidRPr="00ED5DF6">
              <w:rPr>
                <w:i/>
              </w:rPr>
              <w:t>of which:</w:t>
            </w:r>
          </w:p>
        </w:tc>
        <w:tc>
          <w:tcPr>
            <w:tcW w:w="1843" w:type="dxa"/>
          </w:tcPr>
          <w:p w:rsidR="00450928" w:rsidRDefault="00450928" w:rsidP="00450928">
            <w:pPr>
              <w:pStyle w:val="TableBodyText"/>
              <w:jc w:val="left"/>
            </w:pPr>
          </w:p>
        </w:tc>
        <w:tc>
          <w:tcPr>
            <w:tcW w:w="1134" w:type="dxa"/>
            <w:vAlign w:val="bottom"/>
          </w:tcPr>
          <w:p w:rsidR="00450928" w:rsidRDefault="00450928" w:rsidP="00450928">
            <w:pPr>
              <w:pStyle w:val="TableBodyText"/>
            </w:pPr>
            <w:r>
              <w:t> </w:t>
            </w:r>
          </w:p>
        </w:tc>
        <w:tc>
          <w:tcPr>
            <w:tcW w:w="1843" w:type="dxa"/>
            <w:vAlign w:val="bottom"/>
          </w:tcPr>
          <w:p w:rsidR="00450928" w:rsidRDefault="00450928" w:rsidP="00450928">
            <w:pPr>
              <w:pStyle w:val="TableBodyText"/>
              <w:ind w:right="0"/>
            </w:pPr>
            <w:r>
              <w:t> </w:t>
            </w:r>
          </w:p>
        </w:tc>
      </w:tr>
      <w:tr w:rsidR="00450928" w:rsidTr="00450928">
        <w:tc>
          <w:tcPr>
            <w:tcW w:w="3969" w:type="dxa"/>
          </w:tcPr>
          <w:p w:rsidR="00450928" w:rsidRDefault="00450928" w:rsidP="00450928">
            <w:pPr>
              <w:pStyle w:val="TableBodyText"/>
              <w:ind w:firstLine="278"/>
              <w:jc w:val="left"/>
            </w:pPr>
            <w:r>
              <w:t>home duties/childcare</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25.00</w:t>
            </w:r>
          </w:p>
        </w:tc>
        <w:tc>
          <w:tcPr>
            <w:tcW w:w="1843" w:type="dxa"/>
            <w:vAlign w:val="bottom"/>
          </w:tcPr>
          <w:p w:rsidR="00450928" w:rsidRDefault="00450928" w:rsidP="00450928">
            <w:pPr>
              <w:pStyle w:val="TableBodyText"/>
              <w:ind w:right="0"/>
            </w:pPr>
            <w:r>
              <w:t>17.78</w:t>
            </w:r>
          </w:p>
        </w:tc>
      </w:tr>
      <w:tr w:rsidR="00450928" w:rsidTr="00450928">
        <w:tc>
          <w:tcPr>
            <w:tcW w:w="3969" w:type="dxa"/>
          </w:tcPr>
          <w:p w:rsidR="00450928" w:rsidRDefault="00450928" w:rsidP="00450928">
            <w:pPr>
              <w:pStyle w:val="TableBodyText"/>
              <w:ind w:firstLine="278"/>
              <w:jc w:val="left"/>
            </w:pPr>
            <w:r>
              <w:t>study</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0.00</w:t>
            </w:r>
          </w:p>
        </w:tc>
        <w:tc>
          <w:tcPr>
            <w:tcW w:w="1843" w:type="dxa"/>
            <w:vAlign w:val="bottom"/>
          </w:tcPr>
          <w:p w:rsidR="00450928" w:rsidRDefault="00450928" w:rsidP="00450928">
            <w:pPr>
              <w:pStyle w:val="TableBodyText"/>
              <w:ind w:right="0"/>
            </w:pPr>
            <w:r>
              <w:t>0.76</w:t>
            </w:r>
          </w:p>
        </w:tc>
      </w:tr>
      <w:tr w:rsidR="00450928" w:rsidTr="00450928">
        <w:tc>
          <w:tcPr>
            <w:tcW w:w="3969" w:type="dxa"/>
          </w:tcPr>
          <w:p w:rsidR="00450928" w:rsidRDefault="00450928" w:rsidP="00450928">
            <w:pPr>
              <w:pStyle w:val="TableBodyText"/>
              <w:ind w:firstLine="278"/>
              <w:jc w:val="left"/>
            </w:pPr>
            <w:r>
              <w:t>marginally attached to labour force</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12.50</w:t>
            </w:r>
          </w:p>
        </w:tc>
        <w:tc>
          <w:tcPr>
            <w:tcW w:w="1843" w:type="dxa"/>
            <w:vAlign w:val="bottom"/>
          </w:tcPr>
          <w:p w:rsidR="00450928" w:rsidRDefault="00450928" w:rsidP="00450928">
            <w:pPr>
              <w:pStyle w:val="TableBodyText"/>
              <w:ind w:right="0"/>
            </w:pPr>
            <w:r>
              <w:t>0.38</w:t>
            </w:r>
          </w:p>
        </w:tc>
      </w:tr>
      <w:tr w:rsidR="00450928" w:rsidTr="00722111">
        <w:tc>
          <w:tcPr>
            <w:tcW w:w="3969" w:type="dxa"/>
          </w:tcPr>
          <w:p w:rsidR="00450928" w:rsidRDefault="00450928" w:rsidP="00450928">
            <w:pPr>
              <w:pStyle w:val="TableBodyText"/>
              <w:ind w:firstLine="278"/>
              <w:jc w:val="left"/>
            </w:pPr>
            <w:r>
              <w:t>other reasons</w:t>
            </w:r>
            <w:r>
              <w:rPr>
                <w:rStyle w:val="NoteLabel"/>
              </w:rPr>
              <w:t>b</w:t>
            </w:r>
          </w:p>
        </w:tc>
        <w:tc>
          <w:tcPr>
            <w:tcW w:w="1843" w:type="dxa"/>
            <w:vAlign w:val="bottom"/>
          </w:tcPr>
          <w:p w:rsidR="00450928" w:rsidRDefault="00450928" w:rsidP="00722111">
            <w:pPr>
              <w:pStyle w:val="TableBodyText"/>
              <w:jc w:val="left"/>
            </w:pPr>
            <w:r>
              <w:t>% of NILF</w:t>
            </w:r>
          </w:p>
        </w:tc>
        <w:tc>
          <w:tcPr>
            <w:tcW w:w="1134" w:type="dxa"/>
            <w:vAlign w:val="bottom"/>
          </w:tcPr>
          <w:p w:rsidR="00450928" w:rsidRDefault="00450928" w:rsidP="00450928">
            <w:pPr>
              <w:pStyle w:val="TableBodyText"/>
            </w:pPr>
            <w:r>
              <w:t>62.50</w:t>
            </w:r>
          </w:p>
        </w:tc>
        <w:tc>
          <w:tcPr>
            <w:tcW w:w="1843" w:type="dxa"/>
            <w:vAlign w:val="bottom"/>
          </w:tcPr>
          <w:p w:rsidR="00450928" w:rsidRPr="00165DAA" w:rsidRDefault="00450928" w:rsidP="00450928">
            <w:pPr>
              <w:pStyle w:val="TableBodyText"/>
              <w:ind w:right="0"/>
            </w:pPr>
            <w:r>
              <w:t>81.07</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450928">
            <w:pPr>
              <w:pStyle w:val="TableBodyText"/>
              <w:jc w:val="left"/>
            </w:pPr>
          </w:p>
        </w:tc>
        <w:tc>
          <w:tcPr>
            <w:tcW w:w="1134" w:type="dxa"/>
            <w:vAlign w:val="bottom"/>
          </w:tcPr>
          <w:p w:rsidR="00450928" w:rsidRDefault="00450928" w:rsidP="00450928">
            <w:pPr>
              <w:pStyle w:val="TableBodyText"/>
            </w:pPr>
          </w:p>
        </w:tc>
        <w:tc>
          <w:tcPr>
            <w:tcW w:w="1843" w:type="dxa"/>
          </w:tcPr>
          <w:p w:rsidR="00450928" w:rsidRDefault="00450928" w:rsidP="00450928">
            <w:pPr>
              <w:pStyle w:val="TableBodyText"/>
              <w:ind w:right="0"/>
            </w:pPr>
          </w:p>
        </w:tc>
      </w:tr>
      <w:tr w:rsidR="00450928" w:rsidTr="00450928">
        <w:tc>
          <w:tcPr>
            <w:tcW w:w="3969" w:type="dxa"/>
          </w:tcPr>
          <w:p w:rsidR="00450928" w:rsidRPr="00ED5DF6" w:rsidRDefault="00450928" w:rsidP="00450928">
            <w:pPr>
              <w:pStyle w:val="TableBodyText"/>
              <w:spacing w:before="80"/>
              <w:jc w:val="left"/>
              <w:rPr>
                <w:b/>
              </w:rPr>
            </w:pPr>
            <w:r w:rsidRPr="00ED5DF6">
              <w:rPr>
                <w:b/>
              </w:rPr>
              <w:t>In 2010:</w:t>
            </w:r>
          </w:p>
        </w:tc>
        <w:tc>
          <w:tcPr>
            <w:tcW w:w="1843" w:type="dxa"/>
          </w:tcPr>
          <w:p w:rsidR="00450928" w:rsidRDefault="00450928" w:rsidP="00450928">
            <w:pPr>
              <w:pStyle w:val="TableBodyText"/>
              <w:spacing w:before="80"/>
              <w:jc w:val="left"/>
            </w:pPr>
          </w:p>
        </w:tc>
        <w:tc>
          <w:tcPr>
            <w:tcW w:w="1134" w:type="dxa"/>
            <w:vAlign w:val="bottom"/>
          </w:tcPr>
          <w:p w:rsidR="00450928" w:rsidRDefault="00450928" w:rsidP="00450928">
            <w:pPr>
              <w:pStyle w:val="TableBodyText"/>
            </w:pPr>
          </w:p>
        </w:tc>
        <w:tc>
          <w:tcPr>
            <w:tcW w:w="1843" w:type="dxa"/>
          </w:tcPr>
          <w:p w:rsidR="00450928" w:rsidRDefault="00450928" w:rsidP="00450928">
            <w:pPr>
              <w:pStyle w:val="TableBodyText"/>
              <w:spacing w:before="80"/>
              <w:ind w:right="0"/>
            </w:pPr>
          </w:p>
        </w:tc>
      </w:tr>
      <w:tr w:rsidR="00450928" w:rsidTr="00450928">
        <w:tc>
          <w:tcPr>
            <w:tcW w:w="3969" w:type="dxa"/>
          </w:tcPr>
          <w:p w:rsidR="00450928" w:rsidRDefault="00450928" w:rsidP="00450928">
            <w:pPr>
              <w:pStyle w:val="TableBodyText"/>
              <w:jc w:val="left"/>
            </w:pPr>
            <w:r>
              <w:t>locality (remoteness)</w:t>
            </w:r>
          </w:p>
        </w:tc>
        <w:tc>
          <w:tcPr>
            <w:tcW w:w="1843" w:type="dxa"/>
          </w:tcPr>
          <w:p w:rsidR="00450928" w:rsidRDefault="00450928" w:rsidP="00450928">
            <w:pPr>
              <w:pStyle w:val="TableBodyText"/>
              <w:jc w:val="left"/>
            </w:pPr>
            <w:r>
              <w:t>% major city</w:t>
            </w:r>
          </w:p>
        </w:tc>
        <w:tc>
          <w:tcPr>
            <w:tcW w:w="1134" w:type="dxa"/>
            <w:vAlign w:val="bottom"/>
          </w:tcPr>
          <w:p w:rsidR="00450928" w:rsidRDefault="00450928" w:rsidP="00450928">
            <w:pPr>
              <w:pStyle w:val="TableBodyText"/>
            </w:pPr>
            <w:r>
              <w:t>56.00</w:t>
            </w:r>
          </w:p>
        </w:tc>
        <w:tc>
          <w:tcPr>
            <w:tcW w:w="1843" w:type="dxa"/>
            <w:vAlign w:val="bottom"/>
          </w:tcPr>
          <w:p w:rsidR="00450928" w:rsidRDefault="00450928" w:rsidP="00450928">
            <w:pPr>
              <w:pStyle w:val="TableBodyText"/>
              <w:ind w:right="0"/>
            </w:pPr>
            <w:r>
              <w:t>53.92</w:t>
            </w:r>
          </w:p>
        </w:tc>
      </w:tr>
      <w:tr w:rsidR="00450928" w:rsidTr="00722111">
        <w:tc>
          <w:tcPr>
            <w:tcW w:w="3969" w:type="dxa"/>
          </w:tcPr>
          <w:p w:rsidR="00450928" w:rsidRDefault="00450928" w:rsidP="00450928">
            <w:pPr>
              <w:pStyle w:val="TableBodyText"/>
              <w:jc w:val="left"/>
            </w:pPr>
            <w:r>
              <w:t>highest level of education</w:t>
            </w:r>
            <w:r w:rsidRPr="00DE4890">
              <w:rPr>
                <w:rStyle w:val="NoteLabel"/>
              </w:rPr>
              <w:t>a</w:t>
            </w:r>
          </w:p>
        </w:tc>
        <w:tc>
          <w:tcPr>
            <w:tcW w:w="1843" w:type="dxa"/>
            <w:vAlign w:val="bottom"/>
          </w:tcPr>
          <w:p w:rsidR="00450928" w:rsidRDefault="00450928" w:rsidP="00722111">
            <w:pPr>
              <w:pStyle w:val="TableBodyText"/>
              <w:jc w:val="left"/>
            </w:pPr>
            <w:r>
              <w:t>% high</w:t>
            </w:r>
          </w:p>
        </w:tc>
        <w:tc>
          <w:tcPr>
            <w:tcW w:w="1134" w:type="dxa"/>
            <w:vAlign w:val="bottom"/>
          </w:tcPr>
          <w:p w:rsidR="00450928" w:rsidRDefault="00450928" w:rsidP="00450928">
            <w:pPr>
              <w:pStyle w:val="TableBodyText"/>
            </w:pPr>
            <w:r>
              <w:t>25.33</w:t>
            </w:r>
          </w:p>
        </w:tc>
        <w:tc>
          <w:tcPr>
            <w:tcW w:w="1843" w:type="dxa"/>
            <w:vAlign w:val="bottom"/>
          </w:tcPr>
          <w:p w:rsidR="00450928" w:rsidRDefault="00450928" w:rsidP="00450928">
            <w:pPr>
              <w:pStyle w:val="TableBodyText"/>
              <w:ind w:right="0"/>
            </w:pPr>
            <w:r>
              <w:t>15.87</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09064E">
            <w:pPr>
              <w:pStyle w:val="TableBodyText"/>
              <w:jc w:val="left"/>
            </w:pPr>
            <w:r>
              <w:t xml:space="preserve">% </w:t>
            </w:r>
            <w:r w:rsidR="0009064E">
              <w:t>m</w:t>
            </w:r>
            <w:r>
              <w:t>edium</w:t>
            </w:r>
          </w:p>
        </w:tc>
        <w:tc>
          <w:tcPr>
            <w:tcW w:w="1134" w:type="dxa"/>
            <w:vAlign w:val="bottom"/>
          </w:tcPr>
          <w:p w:rsidR="00450928" w:rsidRDefault="00450928" w:rsidP="00450928">
            <w:pPr>
              <w:pStyle w:val="TableBodyText"/>
            </w:pPr>
            <w:r>
              <w:t>38.22</w:t>
            </w:r>
          </w:p>
        </w:tc>
        <w:tc>
          <w:tcPr>
            <w:tcW w:w="1843" w:type="dxa"/>
            <w:vAlign w:val="bottom"/>
          </w:tcPr>
          <w:p w:rsidR="00450928" w:rsidRDefault="00450928" w:rsidP="00450928">
            <w:pPr>
              <w:pStyle w:val="TableBodyText"/>
              <w:ind w:right="0"/>
            </w:pPr>
            <w:r>
              <w:t>35.66</w:t>
            </w:r>
          </w:p>
        </w:tc>
      </w:tr>
      <w:tr w:rsidR="00450928" w:rsidTr="00450928">
        <w:tc>
          <w:tcPr>
            <w:tcW w:w="3969" w:type="dxa"/>
          </w:tcPr>
          <w:p w:rsidR="00450928" w:rsidRDefault="00450928" w:rsidP="00450928">
            <w:pPr>
              <w:pStyle w:val="TableBodyText"/>
              <w:jc w:val="left"/>
            </w:pPr>
          </w:p>
        </w:tc>
        <w:tc>
          <w:tcPr>
            <w:tcW w:w="1843" w:type="dxa"/>
          </w:tcPr>
          <w:p w:rsidR="00450928" w:rsidRDefault="00450928" w:rsidP="00450928">
            <w:pPr>
              <w:pStyle w:val="TableBodyText"/>
              <w:jc w:val="left"/>
            </w:pPr>
            <w:r>
              <w:t>% low</w:t>
            </w:r>
          </w:p>
        </w:tc>
        <w:tc>
          <w:tcPr>
            <w:tcW w:w="1134" w:type="dxa"/>
            <w:vAlign w:val="bottom"/>
          </w:tcPr>
          <w:p w:rsidR="00450928" w:rsidRDefault="00450928" w:rsidP="00450928">
            <w:pPr>
              <w:pStyle w:val="TableBodyText"/>
            </w:pPr>
            <w:r>
              <w:t>36.44</w:t>
            </w:r>
          </w:p>
        </w:tc>
        <w:tc>
          <w:tcPr>
            <w:tcW w:w="1843" w:type="dxa"/>
            <w:vAlign w:val="bottom"/>
          </w:tcPr>
          <w:p w:rsidR="00450928" w:rsidRDefault="00450928" w:rsidP="00450928">
            <w:pPr>
              <w:pStyle w:val="TableBodyText"/>
              <w:ind w:right="0"/>
            </w:pPr>
            <w:r>
              <w:t>48.27</w:t>
            </w:r>
          </w:p>
        </w:tc>
      </w:tr>
      <w:tr w:rsidR="00450928" w:rsidTr="00450928">
        <w:tc>
          <w:tcPr>
            <w:tcW w:w="3969" w:type="dxa"/>
          </w:tcPr>
          <w:p w:rsidR="00450928" w:rsidRDefault="006A600A" w:rsidP="00450928">
            <w:pPr>
              <w:pStyle w:val="TableBodyText"/>
              <w:jc w:val="left"/>
            </w:pPr>
            <w:r>
              <w:t>u</w:t>
            </w:r>
            <w:r w:rsidR="00450928">
              <w:t>nemployed</w:t>
            </w:r>
          </w:p>
        </w:tc>
        <w:tc>
          <w:tcPr>
            <w:tcW w:w="1843" w:type="dxa"/>
          </w:tcPr>
          <w:p w:rsidR="00450928" w:rsidRDefault="00450928" w:rsidP="00450928">
            <w:pPr>
              <w:pStyle w:val="TableBodyText"/>
              <w:jc w:val="left"/>
            </w:pPr>
            <w:r>
              <w:t>% U</w:t>
            </w:r>
          </w:p>
        </w:tc>
        <w:tc>
          <w:tcPr>
            <w:tcW w:w="1134" w:type="dxa"/>
            <w:vAlign w:val="bottom"/>
          </w:tcPr>
          <w:p w:rsidR="00450928" w:rsidRDefault="00450928" w:rsidP="00450928">
            <w:pPr>
              <w:pStyle w:val="TableBodyText"/>
            </w:pPr>
            <w:r>
              <w:t>0.89</w:t>
            </w:r>
          </w:p>
        </w:tc>
        <w:tc>
          <w:tcPr>
            <w:tcW w:w="1843" w:type="dxa"/>
            <w:vAlign w:val="bottom"/>
          </w:tcPr>
          <w:p w:rsidR="00450928" w:rsidRDefault="00450928" w:rsidP="00450928">
            <w:pPr>
              <w:pStyle w:val="TableBodyText"/>
              <w:ind w:right="0"/>
            </w:pPr>
            <w:r>
              <w:t>0.19</w:t>
            </w:r>
          </w:p>
        </w:tc>
      </w:tr>
      <w:tr w:rsidR="00450928" w:rsidTr="00450928">
        <w:tc>
          <w:tcPr>
            <w:tcW w:w="3969" w:type="dxa"/>
          </w:tcPr>
          <w:p w:rsidR="00450928" w:rsidRDefault="00450928" w:rsidP="00450928">
            <w:pPr>
              <w:pStyle w:val="TableBodyText"/>
              <w:jc w:val="left"/>
            </w:pPr>
            <w:r>
              <w:t>NILF (inc</w:t>
            </w:r>
            <w:r w:rsidR="00406870">
              <w:t>l</w:t>
            </w:r>
            <w:r>
              <w:t>. marginally attached)</w:t>
            </w:r>
          </w:p>
        </w:tc>
        <w:tc>
          <w:tcPr>
            <w:tcW w:w="1843" w:type="dxa"/>
          </w:tcPr>
          <w:p w:rsidR="00450928" w:rsidRDefault="00450928" w:rsidP="00450928">
            <w:pPr>
              <w:pStyle w:val="TableBodyText"/>
              <w:jc w:val="left"/>
            </w:pPr>
            <w:r>
              <w:t>% NILF</w:t>
            </w:r>
          </w:p>
        </w:tc>
        <w:tc>
          <w:tcPr>
            <w:tcW w:w="1134" w:type="dxa"/>
            <w:vAlign w:val="bottom"/>
          </w:tcPr>
          <w:p w:rsidR="00450928" w:rsidRDefault="00450928" w:rsidP="00450928">
            <w:pPr>
              <w:pStyle w:val="TableBodyText"/>
            </w:pPr>
            <w:r>
              <w:t>16.44</w:t>
            </w:r>
          </w:p>
        </w:tc>
        <w:tc>
          <w:tcPr>
            <w:tcW w:w="1843" w:type="dxa"/>
            <w:vAlign w:val="bottom"/>
          </w:tcPr>
          <w:p w:rsidR="00450928" w:rsidRDefault="00450928" w:rsidP="00450928">
            <w:pPr>
              <w:pStyle w:val="TableBodyText"/>
              <w:ind w:right="0"/>
            </w:pPr>
            <w:r>
              <w:t>80.31</w:t>
            </w:r>
          </w:p>
        </w:tc>
      </w:tr>
      <w:tr w:rsidR="00450928" w:rsidTr="00450928">
        <w:tc>
          <w:tcPr>
            <w:tcW w:w="3969" w:type="dxa"/>
          </w:tcPr>
          <w:p w:rsidR="00450928" w:rsidRPr="00ED5DF6" w:rsidRDefault="00450928" w:rsidP="00450928">
            <w:pPr>
              <w:pStyle w:val="TableBodyText"/>
              <w:jc w:val="left"/>
              <w:rPr>
                <w:i/>
              </w:rPr>
            </w:pPr>
            <w:r w:rsidRPr="00ED5DF6">
              <w:rPr>
                <w:i/>
              </w:rPr>
              <w:t>of which:</w:t>
            </w:r>
          </w:p>
        </w:tc>
        <w:tc>
          <w:tcPr>
            <w:tcW w:w="1843" w:type="dxa"/>
          </w:tcPr>
          <w:p w:rsidR="00450928" w:rsidRDefault="00450928" w:rsidP="00450928">
            <w:pPr>
              <w:pStyle w:val="TableBodyText"/>
              <w:jc w:val="left"/>
            </w:pPr>
          </w:p>
        </w:tc>
        <w:tc>
          <w:tcPr>
            <w:tcW w:w="1134" w:type="dxa"/>
            <w:vAlign w:val="bottom"/>
          </w:tcPr>
          <w:p w:rsidR="00450928" w:rsidRDefault="00450928" w:rsidP="00450928">
            <w:pPr>
              <w:pStyle w:val="TableBodyText"/>
            </w:pPr>
            <w:r>
              <w:t> </w:t>
            </w:r>
          </w:p>
        </w:tc>
        <w:tc>
          <w:tcPr>
            <w:tcW w:w="1843" w:type="dxa"/>
            <w:vAlign w:val="bottom"/>
          </w:tcPr>
          <w:p w:rsidR="00450928" w:rsidRDefault="00450928" w:rsidP="00450928">
            <w:pPr>
              <w:pStyle w:val="TableBodyText"/>
              <w:ind w:right="0"/>
            </w:pPr>
            <w:r>
              <w:t> </w:t>
            </w:r>
          </w:p>
        </w:tc>
      </w:tr>
      <w:tr w:rsidR="00450928" w:rsidTr="00450928">
        <w:tc>
          <w:tcPr>
            <w:tcW w:w="3969" w:type="dxa"/>
          </w:tcPr>
          <w:p w:rsidR="00450928" w:rsidRDefault="00450928" w:rsidP="00450928">
            <w:pPr>
              <w:pStyle w:val="TableBodyText"/>
              <w:ind w:firstLine="278"/>
              <w:jc w:val="left"/>
            </w:pPr>
            <w:r>
              <w:t>home duties/childcare</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0.00</w:t>
            </w:r>
          </w:p>
        </w:tc>
        <w:tc>
          <w:tcPr>
            <w:tcW w:w="1843" w:type="dxa"/>
            <w:vAlign w:val="bottom"/>
          </w:tcPr>
          <w:p w:rsidR="00450928" w:rsidRDefault="00450928" w:rsidP="00450928">
            <w:pPr>
              <w:pStyle w:val="TableBodyText"/>
              <w:ind w:right="0"/>
            </w:pPr>
            <w:r>
              <w:t>7.26</w:t>
            </w:r>
          </w:p>
        </w:tc>
      </w:tr>
      <w:tr w:rsidR="00450928" w:rsidTr="00450928">
        <w:tc>
          <w:tcPr>
            <w:tcW w:w="3969" w:type="dxa"/>
          </w:tcPr>
          <w:p w:rsidR="00450928" w:rsidRDefault="00450928" w:rsidP="00450928">
            <w:pPr>
              <w:pStyle w:val="TableBodyText"/>
              <w:ind w:firstLine="278"/>
              <w:jc w:val="left"/>
            </w:pPr>
            <w:r>
              <w:t>study</w:t>
            </w:r>
          </w:p>
        </w:tc>
        <w:tc>
          <w:tcPr>
            <w:tcW w:w="1843" w:type="dxa"/>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0.00</w:t>
            </w:r>
          </w:p>
        </w:tc>
        <w:tc>
          <w:tcPr>
            <w:tcW w:w="1843" w:type="dxa"/>
            <w:vAlign w:val="bottom"/>
          </w:tcPr>
          <w:p w:rsidR="00450928" w:rsidRDefault="00450928" w:rsidP="00450928">
            <w:pPr>
              <w:pStyle w:val="TableBodyText"/>
              <w:ind w:right="0"/>
            </w:pPr>
            <w:r>
              <w:t>0.24</w:t>
            </w:r>
          </w:p>
        </w:tc>
      </w:tr>
      <w:tr w:rsidR="00450928" w:rsidTr="00450928">
        <w:tc>
          <w:tcPr>
            <w:tcW w:w="3969" w:type="dxa"/>
            <w:shd w:val="clear" w:color="auto" w:fill="auto"/>
          </w:tcPr>
          <w:p w:rsidR="00450928" w:rsidRDefault="00450928" w:rsidP="00450928">
            <w:pPr>
              <w:pStyle w:val="TableBodyText"/>
              <w:ind w:firstLine="278"/>
              <w:jc w:val="left"/>
            </w:pPr>
            <w:r>
              <w:t>marginally attached to labour force</w:t>
            </w:r>
          </w:p>
        </w:tc>
        <w:tc>
          <w:tcPr>
            <w:tcW w:w="1843" w:type="dxa"/>
            <w:shd w:val="clear" w:color="auto" w:fill="auto"/>
          </w:tcPr>
          <w:p w:rsidR="00450928" w:rsidRDefault="00450928" w:rsidP="00450928">
            <w:pPr>
              <w:pStyle w:val="TableBodyText"/>
              <w:jc w:val="left"/>
            </w:pPr>
            <w:r>
              <w:t>% of NILF</w:t>
            </w:r>
          </w:p>
        </w:tc>
        <w:tc>
          <w:tcPr>
            <w:tcW w:w="1134" w:type="dxa"/>
            <w:vAlign w:val="bottom"/>
          </w:tcPr>
          <w:p w:rsidR="00450928" w:rsidRDefault="00450928" w:rsidP="00450928">
            <w:pPr>
              <w:pStyle w:val="TableBodyText"/>
            </w:pPr>
            <w:r>
              <w:t>2.70</w:t>
            </w:r>
          </w:p>
        </w:tc>
        <w:tc>
          <w:tcPr>
            <w:tcW w:w="1843" w:type="dxa"/>
            <w:shd w:val="clear" w:color="auto" w:fill="auto"/>
            <w:vAlign w:val="bottom"/>
          </w:tcPr>
          <w:p w:rsidR="00450928" w:rsidRDefault="00450928" w:rsidP="00450928">
            <w:pPr>
              <w:pStyle w:val="TableBodyText"/>
              <w:ind w:right="0"/>
            </w:pPr>
            <w:r>
              <w:t>0.12</w:t>
            </w:r>
          </w:p>
        </w:tc>
      </w:tr>
      <w:tr w:rsidR="00450928" w:rsidTr="00722111">
        <w:tc>
          <w:tcPr>
            <w:tcW w:w="3969" w:type="dxa"/>
            <w:tcBorders>
              <w:bottom w:val="single" w:sz="6" w:space="0" w:color="auto"/>
            </w:tcBorders>
            <w:shd w:val="clear" w:color="auto" w:fill="auto"/>
          </w:tcPr>
          <w:p w:rsidR="00450928" w:rsidRDefault="00450928" w:rsidP="00450928">
            <w:pPr>
              <w:pStyle w:val="TableBodyText"/>
              <w:ind w:firstLine="278"/>
              <w:jc w:val="left"/>
            </w:pPr>
            <w:r>
              <w:t>other reasons</w:t>
            </w:r>
            <w:r>
              <w:rPr>
                <w:rStyle w:val="NoteLabel"/>
              </w:rPr>
              <w:t>b</w:t>
            </w:r>
          </w:p>
        </w:tc>
        <w:tc>
          <w:tcPr>
            <w:tcW w:w="1843" w:type="dxa"/>
            <w:tcBorders>
              <w:bottom w:val="single" w:sz="6" w:space="0" w:color="auto"/>
            </w:tcBorders>
            <w:shd w:val="clear" w:color="auto" w:fill="auto"/>
            <w:vAlign w:val="bottom"/>
          </w:tcPr>
          <w:p w:rsidR="00450928" w:rsidRDefault="00450928" w:rsidP="00722111">
            <w:pPr>
              <w:pStyle w:val="TableBodyText"/>
              <w:jc w:val="left"/>
            </w:pPr>
            <w:r>
              <w:t>% of NILF</w:t>
            </w:r>
          </w:p>
        </w:tc>
        <w:tc>
          <w:tcPr>
            <w:tcW w:w="1134" w:type="dxa"/>
            <w:tcBorders>
              <w:bottom w:val="single" w:sz="6" w:space="0" w:color="auto"/>
            </w:tcBorders>
            <w:vAlign w:val="bottom"/>
          </w:tcPr>
          <w:p w:rsidR="00450928" w:rsidRDefault="00450928" w:rsidP="00450928">
            <w:pPr>
              <w:pStyle w:val="TableBodyText"/>
            </w:pPr>
            <w:r>
              <w:t>97.31</w:t>
            </w:r>
          </w:p>
        </w:tc>
        <w:tc>
          <w:tcPr>
            <w:tcW w:w="1843" w:type="dxa"/>
            <w:tcBorders>
              <w:bottom w:val="single" w:sz="6" w:space="0" w:color="auto"/>
            </w:tcBorders>
            <w:shd w:val="clear" w:color="auto" w:fill="auto"/>
            <w:vAlign w:val="bottom"/>
          </w:tcPr>
          <w:p w:rsidR="00450928" w:rsidRPr="00165DAA" w:rsidRDefault="00450928" w:rsidP="00450928">
            <w:pPr>
              <w:pStyle w:val="TableBodyText"/>
              <w:ind w:right="0"/>
            </w:pPr>
            <w:r>
              <w:t>92.38</w:t>
            </w:r>
          </w:p>
        </w:tc>
      </w:tr>
    </w:tbl>
    <w:p w:rsidR="00450928" w:rsidRDefault="00450928" w:rsidP="00450928">
      <w:pPr>
        <w:pStyle w:val="Note"/>
      </w:pPr>
      <w:r w:rsidRPr="00DE4890">
        <w:rPr>
          <w:rStyle w:val="NoteLabel"/>
        </w:rPr>
        <w:t>a</w:t>
      </w:r>
      <w:r>
        <w:t> Educational attainment has bee</w:t>
      </w:r>
      <w:r w:rsidR="00D14EC0">
        <w:t>n classified as high (Bachelor</w:t>
      </w:r>
      <w:r>
        <w:t xml:space="preserve"> </w:t>
      </w:r>
      <w:r w:rsidR="00D14EC0">
        <w:t>D</w:t>
      </w:r>
      <w:r>
        <w:t>egree or above), medium (Year 12, Certificate III/IV, Diploma or Advanced Diploma) and low (Certificate I/II, Certificate not defined, Year 11 or lower).  </w:t>
      </w:r>
      <w:r>
        <w:rPr>
          <w:rStyle w:val="NoteLabel"/>
        </w:rPr>
        <w:t>b</w:t>
      </w:r>
      <w:r>
        <w:t> May include caring for others with illness/disability, retirement/voluntarily inactive, own illness/disability (rendering the individual temporarily or permanently unable to work), travel/holidays/leisure activities, working in an unpaid voluntary job, or other (unspecified) activities.</w:t>
      </w:r>
    </w:p>
    <w:p w:rsidR="00450928" w:rsidRDefault="00450928" w:rsidP="00450928">
      <w:pPr>
        <w:pStyle w:val="Source"/>
      </w:pPr>
      <w:r>
        <w:rPr>
          <w:i/>
        </w:rPr>
        <w:t>Source</w:t>
      </w:r>
      <w:r>
        <w:t xml:space="preserve">: </w:t>
      </w:r>
      <w:r w:rsidR="005C3704">
        <w:t>Authors’ estimates</w:t>
      </w:r>
      <w:r>
        <w:t xml:space="preserve"> based on HILDA waves 1–10.</w:t>
      </w:r>
    </w:p>
    <w:p w:rsidR="00450928" w:rsidRDefault="00450928" w:rsidP="00450928">
      <w:pPr>
        <w:pStyle w:val="TableTitle"/>
      </w:pPr>
      <w:r>
        <w:rPr>
          <w:b w:val="0"/>
        </w:rPr>
        <w:lastRenderedPageBreak/>
        <w:t xml:space="preserve">Table </w:t>
      </w:r>
      <w:bookmarkStart w:id="31" w:name="OLE_LINK26"/>
      <w:r w:rsidR="00121B7F">
        <w:rPr>
          <w:b w:val="0"/>
        </w:rPr>
        <w:t>3.</w:t>
      </w:r>
      <w:r w:rsidR="00C42746">
        <w:rPr>
          <w:b w:val="0"/>
          <w:noProof/>
        </w:rPr>
        <w:t>13</w:t>
      </w:r>
      <w:bookmarkEnd w:id="31"/>
      <w:r>
        <w:tab/>
        <w:t xml:space="preserve">Selected characteristics of activity patterns in the </w:t>
      </w:r>
      <w:r w:rsidR="00D44D55" w:rsidRPr="00DC17C0">
        <w:rPr>
          <w:i/>
        </w:rPr>
        <w:t>Work</w:t>
      </w:r>
      <w:r>
        <w:t xml:space="preserve"> pathway (seniors)</w:t>
      </w:r>
      <w:r w:rsidRPr="004106CD">
        <w:rPr>
          <w:rStyle w:val="NoteLabel"/>
          <w:b/>
        </w:rPr>
        <w:t>a</w:t>
      </w:r>
    </w:p>
    <w:tbl>
      <w:tblPr>
        <w:tblW w:w="0" w:type="auto"/>
        <w:tblLayout w:type="fixed"/>
        <w:tblCellMar>
          <w:left w:w="0" w:type="dxa"/>
          <w:right w:w="0" w:type="dxa"/>
        </w:tblCellMar>
        <w:tblLook w:val="0000" w:firstRow="0" w:lastRow="0" w:firstColumn="0" w:lastColumn="0" w:noHBand="0" w:noVBand="0"/>
      </w:tblPr>
      <w:tblGrid>
        <w:gridCol w:w="3544"/>
        <w:gridCol w:w="992"/>
        <w:gridCol w:w="993"/>
        <w:gridCol w:w="992"/>
        <w:gridCol w:w="850"/>
        <w:gridCol w:w="1418"/>
      </w:tblGrid>
      <w:tr w:rsidR="00450928" w:rsidTr="008E374A">
        <w:tc>
          <w:tcPr>
            <w:tcW w:w="3544" w:type="dxa"/>
            <w:tcBorders>
              <w:top w:val="single" w:sz="6" w:space="0" w:color="auto"/>
              <w:bottom w:val="single" w:sz="6" w:space="0" w:color="auto"/>
            </w:tcBorders>
            <w:shd w:val="clear" w:color="auto" w:fill="auto"/>
          </w:tcPr>
          <w:p w:rsidR="00450928" w:rsidRDefault="00450928" w:rsidP="00450928">
            <w:pPr>
              <w:pStyle w:val="TableColumnHeading"/>
              <w:jc w:val="left"/>
            </w:pPr>
            <w:r>
              <w:t> </w:t>
            </w:r>
          </w:p>
        </w:tc>
        <w:tc>
          <w:tcPr>
            <w:tcW w:w="992" w:type="dxa"/>
            <w:tcBorders>
              <w:top w:val="single" w:sz="6" w:space="0" w:color="auto"/>
              <w:bottom w:val="single" w:sz="6" w:space="0" w:color="auto"/>
            </w:tcBorders>
            <w:shd w:val="clear" w:color="auto" w:fill="auto"/>
          </w:tcPr>
          <w:p w:rsidR="00450928" w:rsidRDefault="00450928" w:rsidP="00450928">
            <w:pPr>
              <w:pStyle w:val="TableColumnHeading"/>
            </w:pPr>
            <w:r>
              <w:t>Work only</w:t>
            </w:r>
          </w:p>
        </w:tc>
        <w:tc>
          <w:tcPr>
            <w:tcW w:w="993" w:type="dxa"/>
            <w:tcBorders>
              <w:top w:val="single" w:sz="6" w:space="0" w:color="auto"/>
              <w:bottom w:val="single" w:sz="6" w:space="0" w:color="auto"/>
            </w:tcBorders>
            <w:shd w:val="clear" w:color="auto" w:fill="auto"/>
          </w:tcPr>
          <w:p w:rsidR="00450928" w:rsidRDefault="00450928" w:rsidP="00450928">
            <w:pPr>
              <w:pStyle w:val="TableColumnHeading"/>
            </w:pPr>
            <w:r>
              <w:t>Work and study</w:t>
            </w:r>
          </w:p>
        </w:tc>
        <w:tc>
          <w:tcPr>
            <w:tcW w:w="992" w:type="dxa"/>
            <w:tcBorders>
              <w:top w:val="single" w:sz="6" w:space="0" w:color="auto"/>
              <w:bottom w:val="single" w:sz="6" w:space="0" w:color="auto"/>
            </w:tcBorders>
            <w:shd w:val="clear" w:color="auto" w:fill="auto"/>
          </w:tcPr>
          <w:p w:rsidR="00450928" w:rsidRDefault="00450928" w:rsidP="00450928">
            <w:pPr>
              <w:pStyle w:val="TableColumnHeading"/>
            </w:pPr>
            <w:r>
              <w:t>Study only</w:t>
            </w:r>
          </w:p>
        </w:tc>
        <w:tc>
          <w:tcPr>
            <w:tcW w:w="850" w:type="dxa"/>
            <w:tcBorders>
              <w:top w:val="single" w:sz="6" w:space="0" w:color="auto"/>
              <w:bottom w:val="single" w:sz="6" w:space="0" w:color="auto"/>
            </w:tcBorders>
            <w:shd w:val="clear" w:color="auto" w:fill="auto"/>
            <w:vAlign w:val="bottom"/>
          </w:tcPr>
          <w:p w:rsidR="00450928" w:rsidRDefault="00450928" w:rsidP="008E374A">
            <w:pPr>
              <w:pStyle w:val="TableColumnHeading"/>
            </w:pPr>
            <w:r>
              <w:t>NILF</w:t>
            </w:r>
          </w:p>
        </w:tc>
        <w:tc>
          <w:tcPr>
            <w:tcW w:w="1418" w:type="dxa"/>
            <w:tcBorders>
              <w:top w:val="single" w:sz="6" w:space="0" w:color="auto"/>
              <w:bottom w:val="single" w:sz="6" w:space="0" w:color="auto"/>
            </w:tcBorders>
            <w:shd w:val="clear" w:color="auto" w:fill="auto"/>
            <w:vAlign w:val="bottom"/>
          </w:tcPr>
          <w:p w:rsidR="00450928" w:rsidRDefault="00450928" w:rsidP="008E374A">
            <w:pPr>
              <w:pStyle w:val="TableColumnHeading"/>
              <w:ind w:right="6"/>
            </w:pPr>
            <w:r>
              <w:t>Unemployment</w:t>
            </w:r>
          </w:p>
        </w:tc>
      </w:tr>
      <w:tr w:rsidR="00450928" w:rsidTr="00450928">
        <w:tc>
          <w:tcPr>
            <w:tcW w:w="3544" w:type="dxa"/>
          </w:tcPr>
          <w:p w:rsidR="00450928" w:rsidRDefault="00450928" w:rsidP="00450928">
            <w:pPr>
              <w:pStyle w:val="TableBodyText"/>
              <w:jc w:val="left"/>
            </w:pPr>
            <w:r>
              <w:t>Average time in the activity (per cent)</w:t>
            </w:r>
          </w:p>
        </w:tc>
        <w:tc>
          <w:tcPr>
            <w:tcW w:w="992" w:type="dxa"/>
          </w:tcPr>
          <w:p w:rsidR="00450928" w:rsidRDefault="00450928" w:rsidP="00450928">
            <w:pPr>
              <w:pStyle w:val="TableBodyText"/>
            </w:pPr>
            <w:r>
              <w:t>91.07</w:t>
            </w:r>
          </w:p>
        </w:tc>
        <w:tc>
          <w:tcPr>
            <w:tcW w:w="993" w:type="dxa"/>
          </w:tcPr>
          <w:p w:rsidR="00450928" w:rsidRDefault="00450928" w:rsidP="00450928">
            <w:pPr>
              <w:pStyle w:val="TableBodyText"/>
            </w:pPr>
            <w:r>
              <w:t>3.29</w:t>
            </w:r>
          </w:p>
        </w:tc>
        <w:tc>
          <w:tcPr>
            <w:tcW w:w="992" w:type="dxa"/>
          </w:tcPr>
          <w:p w:rsidR="00450928" w:rsidRDefault="00450928" w:rsidP="00450928">
            <w:pPr>
              <w:pStyle w:val="TableBodyText"/>
            </w:pPr>
            <w:r>
              <w:t>0.16</w:t>
            </w:r>
          </w:p>
        </w:tc>
        <w:tc>
          <w:tcPr>
            <w:tcW w:w="850" w:type="dxa"/>
          </w:tcPr>
          <w:p w:rsidR="00450928" w:rsidRDefault="00450928" w:rsidP="00450928">
            <w:pPr>
              <w:pStyle w:val="TableBodyText"/>
            </w:pPr>
            <w:r>
              <w:t>4.03</w:t>
            </w:r>
          </w:p>
        </w:tc>
        <w:tc>
          <w:tcPr>
            <w:tcW w:w="1418" w:type="dxa"/>
          </w:tcPr>
          <w:p w:rsidR="00450928" w:rsidRDefault="00450928" w:rsidP="00450928">
            <w:pPr>
              <w:pStyle w:val="TableBodyText"/>
              <w:ind w:right="0"/>
            </w:pPr>
            <w:r>
              <w:t>1.45</w:t>
            </w:r>
          </w:p>
        </w:tc>
      </w:tr>
      <w:tr w:rsidR="00450928" w:rsidTr="00450928">
        <w:tc>
          <w:tcPr>
            <w:tcW w:w="3544" w:type="dxa"/>
          </w:tcPr>
          <w:p w:rsidR="00450928" w:rsidRDefault="00450928" w:rsidP="00450928">
            <w:pPr>
              <w:pStyle w:val="TableBodyText"/>
              <w:jc w:val="left"/>
            </w:pPr>
            <w:r>
              <w:t xml:space="preserve">Share of path with at least one spell of the activity </w:t>
            </w:r>
          </w:p>
        </w:tc>
        <w:tc>
          <w:tcPr>
            <w:tcW w:w="992" w:type="dxa"/>
          </w:tcPr>
          <w:p w:rsidR="00450928" w:rsidRDefault="00450928" w:rsidP="00450928">
            <w:pPr>
              <w:pStyle w:val="TableBodyText"/>
            </w:pPr>
            <w:r>
              <w:t>100.00</w:t>
            </w:r>
          </w:p>
        </w:tc>
        <w:tc>
          <w:tcPr>
            <w:tcW w:w="993" w:type="dxa"/>
          </w:tcPr>
          <w:p w:rsidR="00450928" w:rsidRDefault="00450928" w:rsidP="00450928">
            <w:pPr>
              <w:pStyle w:val="TableBodyText"/>
            </w:pPr>
            <w:r>
              <w:t>24.44</w:t>
            </w:r>
          </w:p>
        </w:tc>
        <w:tc>
          <w:tcPr>
            <w:tcW w:w="992" w:type="dxa"/>
          </w:tcPr>
          <w:p w:rsidR="00450928" w:rsidRDefault="00450928" w:rsidP="00450928">
            <w:pPr>
              <w:pStyle w:val="TableBodyText"/>
            </w:pPr>
            <w:r>
              <w:t>3.56</w:t>
            </w:r>
          </w:p>
        </w:tc>
        <w:tc>
          <w:tcPr>
            <w:tcW w:w="850" w:type="dxa"/>
          </w:tcPr>
          <w:p w:rsidR="00450928" w:rsidRDefault="00450928" w:rsidP="00450928">
            <w:pPr>
              <w:pStyle w:val="TableBodyText"/>
            </w:pPr>
            <w:r>
              <w:t>36.89</w:t>
            </w:r>
          </w:p>
        </w:tc>
        <w:tc>
          <w:tcPr>
            <w:tcW w:w="1418" w:type="dxa"/>
          </w:tcPr>
          <w:p w:rsidR="00450928" w:rsidRDefault="00450928" w:rsidP="00450928">
            <w:pPr>
              <w:pStyle w:val="TableBodyText"/>
              <w:ind w:right="0"/>
            </w:pPr>
            <w:r>
              <w:t>12.89</w:t>
            </w:r>
          </w:p>
        </w:tc>
      </w:tr>
      <w:tr w:rsidR="00450928" w:rsidTr="00450928">
        <w:tc>
          <w:tcPr>
            <w:tcW w:w="8789" w:type="dxa"/>
            <w:gridSpan w:val="6"/>
          </w:tcPr>
          <w:p w:rsidR="00450928" w:rsidRDefault="00450928" w:rsidP="00450928">
            <w:pPr>
              <w:pStyle w:val="TableBodyText"/>
              <w:ind w:right="0"/>
              <w:jc w:val="left"/>
            </w:pPr>
            <w:r>
              <w:t>Conditional on at least one spell of the activity:</w:t>
            </w:r>
          </w:p>
        </w:tc>
      </w:tr>
      <w:tr w:rsidR="00450928" w:rsidTr="00450928">
        <w:tc>
          <w:tcPr>
            <w:tcW w:w="3544" w:type="dxa"/>
          </w:tcPr>
          <w:p w:rsidR="00450928" w:rsidRDefault="00450928" w:rsidP="00450928">
            <w:pPr>
              <w:pStyle w:val="TableBodyText"/>
              <w:ind w:left="142"/>
              <w:jc w:val="left"/>
            </w:pPr>
            <w:r>
              <w:t>average number of spells</w:t>
            </w:r>
          </w:p>
        </w:tc>
        <w:tc>
          <w:tcPr>
            <w:tcW w:w="992" w:type="dxa"/>
          </w:tcPr>
          <w:p w:rsidR="00450928" w:rsidRDefault="00450928" w:rsidP="00450928">
            <w:pPr>
              <w:pStyle w:val="TableBodyText"/>
            </w:pPr>
            <w:r>
              <w:t>1.88</w:t>
            </w:r>
          </w:p>
        </w:tc>
        <w:tc>
          <w:tcPr>
            <w:tcW w:w="993" w:type="dxa"/>
          </w:tcPr>
          <w:p w:rsidR="00450928" w:rsidRDefault="00450928" w:rsidP="00450928">
            <w:pPr>
              <w:pStyle w:val="TableBodyText"/>
            </w:pPr>
            <w:r>
              <w:t>1.55</w:t>
            </w:r>
          </w:p>
        </w:tc>
        <w:tc>
          <w:tcPr>
            <w:tcW w:w="992" w:type="dxa"/>
          </w:tcPr>
          <w:p w:rsidR="00450928" w:rsidRDefault="00450928" w:rsidP="00450928">
            <w:pPr>
              <w:pStyle w:val="TableBodyText"/>
            </w:pPr>
            <w:r>
              <w:t>1.00</w:t>
            </w:r>
          </w:p>
        </w:tc>
        <w:tc>
          <w:tcPr>
            <w:tcW w:w="850" w:type="dxa"/>
          </w:tcPr>
          <w:p w:rsidR="00450928" w:rsidRDefault="00450928" w:rsidP="00450928">
            <w:pPr>
              <w:pStyle w:val="TableBodyText"/>
            </w:pPr>
            <w:r>
              <w:t>1.75</w:t>
            </w:r>
          </w:p>
        </w:tc>
        <w:tc>
          <w:tcPr>
            <w:tcW w:w="1418" w:type="dxa"/>
          </w:tcPr>
          <w:p w:rsidR="00450928" w:rsidRDefault="00450928" w:rsidP="00450928">
            <w:pPr>
              <w:pStyle w:val="TableBodyText"/>
              <w:ind w:right="0"/>
            </w:pPr>
            <w:r>
              <w:t>1.55</w:t>
            </w:r>
          </w:p>
        </w:tc>
      </w:tr>
      <w:tr w:rsidR="00450928" w:rsidTr="00450928">
        <w:tc>
          <w:tcPr>
            <w:tcW w:w="3544" w:type="dxa"/>
            <w:tcBorders>
              <w:bottom w:val="single" w:sz="6" w:space="0" w:color="auto"/>
            </w:tcBorders>
          </w:tcPr>
          <w:p w:rsidR="00450928" w:rsidRDefault="00450928" w:rsidP="00450928">
            <w:pPr>
              <w:pStyle w:val="TableBodyText"/>
              <w:ind w:left="142"/>
              <w:jc w:val="left"/>
            </w:pPr>
            <w:r>
              <w:t>average length of spell (months)</w:t>
            </w:r>
          </w:p>
        </w:tc>
        <w:tc>
          <w:tcPr>
            <w:tcW w:w="992" w:type="dxa"/>
            <w:tcBorders>
              <w:bottom w:val="single" w:sz="6" w:space="0" w:color="auto"/>
            </w:tcBorders>
            <w:shd w:val="clear" w:color="auto" w:fill="auto"/>
          </w:tcPr>
          <w:p w:rsidR="00450928" w:rsidRDefault="00450928" w:rsidP="00450928">
            <w:pPr>
              <w:pStyle w:val="TableBodyText"/>
            </w:pPr>
            <w:r>
              <w:t>58.00</w:t>
            </w:r>
          </w:p>
        </w:tc>
        <w:tc>
          <w:tcPr>
            <w:tcW w:w="993" w:type="dxa"/>
            <w:tcBorders>
              <w:bottom w:val="single" w:sz="6" w:space="0" w:color="auto"/>
            </w:tcBorders>
            <w:shd w:val="clear" w:color="auto" w:fill="auto"/>
          </w:tcPr>
          <w:p w:rsidR="00450928" w:rsidRDefault="00450928" w:rsidP="00450928">
            <w:pPr>
              <w:pStyle w:val="TableBodyText"/>
            </w:pPr>
            <w:r>
              <w:t>10.44</w:t>
            </w:r>
          </w:p>
        </w:tc>
        <w:tc>
          <w:tcPr>
            <w:tcW w:w="992" w:type="dxa"/>
            <w:tcBorders>
              <w:bottom w:val="single" w:sz="6" w:space="0" w:color="auto"/>
            </w:tcBorders>
            <w:shd w:val="clear" w:color="auto" w:fill="auto"/>
          </w:tcPr>
          <w:p w:rsidR="00450928" w:rsidRDefault="00450928" w:rsidP="00450928">
            <w:pPr>
              <w:pStyle w:val="TableBodyText"/>
            </w:pPr>
            <w:r>
              <w:t>5.50</w:t>
            </w:r>
          </w:p>
        </w:tc>
        <w:tc>
          <w:tcPr>
            <w:tcW w:w="850" w:type="dxa"/>
            <w:tcBorders>
              <w:bottom w:val="single" w:sz="6" w:space="0" w:color="auto"/>
            </w:tcBorders>
            <w:shd w:val="clear" w:color="auto" w:fill="auto"/>
          </w:tcPr>
          <w:p w:rsidR="00450928" w:rsidRDefault="00450928" w:rsidP="00450928">
            <w:pPr>
              <w:pStyle w:val="TableBodyText"/>
            </w:pPr>
            <w:r>
              <w:t>7.50</w:t>
            </w:r>
          </w:p>
        </w:tc>
        <w:tc>
          <w:tcPr>
            <w:tcW w:w="1418" w:type="dxa"/>
            <w:tcBorders>
              <w:bottom w:val="single" w:sz="6" w:space="0" w:color="auto"/>
            </w:tcBorders>
            <w:shd w:val="clear" w:color="auto" w:fill="auto"/>
          </w:tcPr>
          <w:p w:rsidR="00450928" w:rsidRDefault="00450928" w:rsidP="00450928">
            <w:pPr>
              <w:pStyle w:val="TableBodyText"/>
              <w:ind w:right="0"/>
            </w:pPr>
            <w:r>
              <w:t>8.71</w:t>
            </w:r>
          </w:p>
        </w:tc>
      </w:tr>
    </w:tbl>
    <w:p w:rsidR="00450928" w:rsidRDefault="00A310CE" w:rsidP="00450928">
      <w:pPr>
        <w:pStyle w:val="Note"/>
      </w:pPr>
      <w:r>
        <w:rPr>
          <w:rStyle w:val="NoteLabel"/>
        </w:rPr>
        <w:t>a</w:t>
      </w:r>
      <w:r>
        <w:t> </w:t>
      </w:r>
      <w:r w:rsidR="00450928">
        <w:t>Pathway size 225 (21.5 per cent of seniors); average number of activities 1.78.</w:t>
      </w:r>
    </w:p>
    <w:p w:rsidR="00450928" w:rsidRPr="00F257C3" w:rsidRDefault="00450928" w:rsidP="00450928">
      <w:pPr>
        <w:pStyle w:val="Source"/>
      </w:pPr>
      <w:r>
        <w:rPr>
          <w:i/>
        </w:rPr>
        <w:t>Source</w:t>
      </w:r>
      <w:r>
        <w:t xml:space="preserve">: </w:t>
      </w:r>
      <w:r w:rsidR="005C3704">
        <w:t>Authors’ estimates</w:t>
      </w:r>
      <w:r>
        <w:t xml:space="preserve"> based on HILDA waves 1–10.</w:t>
      </w:r>
    </w:p>
    <w:p w:rsidR="00C974A2" w:rsidRDefault="00C974A2" w:rsidP="00120072">
      <w:pPr>
        <w:pStyle w:val="BodyText"/>
      </w:pPr>
    </w:p>
    <w:sectPr w:rsidR="00C974A2" w:rsidSect="00394F6F">
      <w:headerReference w:type="even" r:id="rId22"/>
      <w:headerReference w:type="default" r:id="rId23"/>
      <w:footerReference w:type="even" r:id="rId24"/>
      <w:footerReference w:type="default" r:id="rId25"/>
      <w:pgSz w:w="11907" w:h="16840" w:code="9"/>
      <w:pgMar w:top="1985" w:right="1304" w:bottom="1418" w:left="1814" w:header="1701" w:footer="567" w:gutter="0"/>
      <w:pgNumType w:start="15"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872" w:rsidRDefault="00457872">
      <w:r>
        <w:separator/>
      </w:r>
    </w:p>
  </w:endnote>
  <w:endnote w:type="continuationSeparator" w:id="0">
    <w:p w:rsidR="00457872" w:rsidRDefault="0045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457872">
      <w:trPr>
        <w:trHeight w:hRule="exact" w:val="740"/>
      </w:trPr>
      <w:tc>
        <w:tcPr>
          <w:tcW w:w="510" w:type="dxa"/>
          <w:tcBorders>
            <w:top w:val="single" w:sz="6" w:space="0" w:color="auto"/>
          </w:tcBorders>
        </w:tcPr>
        <w:p w:rsidR="00457872" w:rsidRDefault="00457872"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3678D4">
            <w:rPr>
              <w:rStyle w:val="PageNumber"/>
              <w:noProof/>
            </w:rPr>
            <w:t>16</w:t>
          </w:r>
          <w:r>
            <w:rPr>
              <w:rStyle w:val="PageNumber"/>
            </w:rPr>
            <w:fldChar w:fldCharType="end"/>
          </w:r>
        </w:p>
      </w:tc>
      <w:tc>
        <w:tcPr>
          <w:tcW w:w="1644" w:type="dxa"/>
          <w:tcBorders>
            <w:top w:val="single" w:sz="6" w:space="0" w:color="auto"/>
          </w:tcBorders>
        </w:tcPr>
        <w:p w:rsidR="00457872" w:rsidRDefault="00F43D24" w:rsidP="0019293B">
          <w:pPr>
            <w:pStyle w:val="Footer"/>
          </w:pPr>
          <w:fldSimple w:instr=" SUBJECT  \* MERGEFORMAT ">
            <w:r w:rsidR="00C42746">
              <w:t>Prevalence of transition pathways</w:t>
            </w:r>
          </w:fldSimple>
        </w:p>
      </w:tc>
      <w:tc>
        <w:tcPr>
          <w:tcW w:w="6634" w:type="dxa"/>
        </w:tcPr>
        <w:p w:rsidR="00457872" w:rsidRDefault="00457872" w:rsidP="0019293B">
          <w:pPr>
            <w:pStyle w:val="Footer"/>
          </w:pPr>
        </w:p>
      </w:tc>
    </w:tr>
  </w:tbl>
  <w:p w:rsidR="00457872" w:rsidRDefault="00457872"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457872">
      <w:trPr>
        <w:trHeight w:hRule="exact" w:val="740"/>
      </w:trPr>
      <w:tc>
        <w:tcPr>
          <w:tcW w:w="6634" w:type="dxa"/>
        </w:tcPr>
        <w:p w:rsidR="00457872" w:rsidRDefault="00457872">
          <w:pPr>
            <w:pStyle w:val="Footer"/>
            <w:ind w:right="360" w:firstLine="360"/>
          </w:pPr>
        </w:p>
      </w:tc>
      <w:tc>
        <w:tcPr>
          <w:tcW w:w="1644" w:type="dxa"/>
          <w:tcBorders>
            <w:top w:val="single" w:sz="6" w:space="0" w:color="auto"/>
          </w:tcBorders>
        </w:tcPr>
        <w:p w:rsidR="00457872" w:rsidRDefault="00F43D24">
          <w:pPr>
            <w:pStyle w:val="Footer"/>
          </w:pPr>
          <w:fldSimple w:instr=" TITLE  \* MERGEFORMAT ">
            <w:r w:rsidR="00C42746">
              <w:t>Pathways and estimates of prevalence</w:t>
            </w:r>
          </w:fldSimple>
          <w:bookmarkStart w:id="32" w:name="OLE_LINK2"/>
        </w:p>
      </w:tc>
      <w:tc>
        <w:tcPr>
          <w:tcW w:w="510" w:type="dxa"/>
          <w:tcBorders>
            <w:top w:val="single" w:sz="6" w:space="0" w:color="auto"/>
          </w:tcBorders>
        </w:tcPr>
        <w:p w:rsidR="00457872" w:rsidRDefault="00457872">
          <w:pPr>
            <w:pStyle w:val="Footer"/>
            <w:jc w:val="right"/>
          </w:pPr>
          <w:r>
            <w:rPr>
              <w:rStyle w:val="PageNumber"/>
            </w:rPr>
            <w:fldChar w:fldCharType="begin"/>
          </w:r>
          <w:r>
            <w:rPr>
              <w:rStyle w:val="PageNumber"/>
            </w:rPr>
            <w:instrText xml:space="preserve">PAGE  </w:instrText>
          </w:r>
          <w:r>
            <w:rPr>
              <w:rStyle w:val="PageNumber"/>
            </w:rPr>
            <w:fldChar w:fldCharType="separate"/>
          </w:r>
          <w:r w:rsidR="003678D4">
            <w:rPr>
              <w:rStyle w:val="PageNumber"/>
              <w:noProof/>
            </w:rPr>
            <w:t>15</w:t>
          </w:r>
          <w:r>
            <w:rPr>
              <w:rStyle w:val="PageNumber"/>
            </w:rPr>
            <w:fldChar w:fldCharType="end"/>
          </w:r>
        </w:p>
      </w:tc>
    </w:tr>
    <w:bookmarkEnd w:id="32"/>
  </w:tbl>
  <w:p w:rsidR="00457872" w:rsidRDefault="00457872">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872" w:rsidRDefault="00457872">
      <w:r>
        <w:separator/>
      </w:r>
    </w:p>
  </w:footnote>
  <w:footnote w:type="continuationSeparator" w:id="0">
    <w:p w:rsidR="00457872" w:rsidRDefault="00457872">
      <w:r>
        <w:continuationSeparator/>
      </w:r>
    </w:p>
  </w:footnote>
  <w:footnote w:id="1">
    <w:p w:rsidR="00457872" w:rsidRDefault="00457872" w:rsidP="003E12C9">
      <w:pPr>
        <w:pStyle w:val="FootnoteText"/>
      </w:pPr>
      <w:r>
        <w:rPr>
          <w:rStyle w:val="FootnoteReference"/>
        </w:rPr>
        <w:footnoteRef/>
      </w:r>
      <w:r>
        <w:t xml:space="preserve"> </w:t>
      </w:r>
      <w:r>
        <w:tab/>
        <w:t>This set of activities is limited by the data. For example, w</w:t>
      </w:r>
      <w:r w:rsidRPr="000B4471">
        <w:t>hile calendar information is collected on whether each job undertaken is full</w:t>
      </w:r>
      <w:r>
        <w:noBreakHyphen/>
      </w:r>
      <w:r w:rsidRPr="000B4471">
        <w:t>time or part</w:t>
      </w:r>
      <w:r>
        <w:noBreakHyphen/>
      </w:r>
      <w:r w:rsidRPr="000B4471">
        <w:t xml:space="preserve">time, reliably tracking this </w:t>
      </w:r>
      <w:r>
        <w:t>information</w:t>
      </w:r>
      <w:r w:rsidRPr="000B4471">
        <w:t xml:space="preserve"> when there are multiple jobs across waves is </w:t>
      </w:r>
      <w:r>
        <w:t>im</w:t>
      </w:r>
      <w:r w:rsidRPr="000B4471">
        <w:t>possible.</w:t>
      </w:r>
      <w:r>
        <w:t xml:space="preserve"> Retirement, illness or disability, and child</w:t>
      </w:r>
      <w:r>
        <w:noBreakHyphen/>
        <w:t xml:space="preserve">rearing activities could be separately identified from other activities that result in an individual leaving the labour force. However, in HILDA, such ‘reasons’ for any periods of NILF between interviews can only be imputed </w:t>
      </w:r>
      <w:r w:rsidRPr="000B4471">
        <w:t>using non</w:t>
      </w:r>
      <w:r>
        <w:noBreakHyphen/>
      </w:r>
      <w:r w:rsidRPr="000B4471">
        <w:t xml:space="preserve">calendar information pertaining to the </w:t>
      </w:r>
      <w:r>
        <w:t xml:space="preserve">activities at the </w:t>
      </w:r>
      <w:r w:rsidRPr="000B4471">
        <w:t xml:space="preserve">time of </w:t>
      </w:r>
      <w:r>
        <w:t xml:space="preserve">the </w:t>
      </w:r>
      <w:r w:rsidRPr="000B4471">
        <w:t>intervi</w:t>
      </w:r>
      <w:r>
        <w:t>ew.</w:t>
      </w:r>
    </w:p>
  </w:footnote>
  <w:footnote w:id="2">
    <w:p w:rsidR="00457872" w:rsidRDefault="00457872">
      <w:pPr>
        <w:pStyle w:val="FootnoteText"/>
      </w:pPr>
      <w:r>
        <w:rPr>
          <w:rStyle w:val="FootnoteReference"/>
        </w:rPr>
        <w:footnoteRef/>
      </w:r>
      <w:r>
        <w:t xml:space="preserve"> </w:t>
      </w:r>
      <w:r>
        <w:tab/>
        <w:t>For presentation purposes, each pathway has been given a descriptive label according to the general pattern that characterises the experiences of most individuals in that particular pathway. These labels are unrelated to the analytical techniques used to generate the pathways.</w:t>
      </w:r>
    </w:p>
  </w:footnote>
  <w:footnote w:id="3">
    <w:p w:rsidR="00457872" w:rsidRDefault="00457872">
      <w:pPr>
        <w:pStyle w:val="FootnoteText"/>
      </w:pPr>
      <w:r>
        <w:rPr>
          <w:rStyle w:val="FootnoteReference"/>
        </w:rPr>
        <w:footnoteRef/>
      </w:r>
      <w:r>
        <w:t xml:space="preserve"> </w:t>
      </w:r>
      <w:r>
        <w:tab/>
        <w:t xml:space="preserve">Figures from the ABS </w:t>
      </w:r>
      <w:r w:rsidRPr="00156D90">
        <w:rPr>
          <w:i/>
        </w:rPr>
        <w:t>Labour Force Survey</w:t>
      </w:r>
      <w:r>
        <w:t xml:space="preserve"> (Cat. No. </w:t>
      </w:r>
      <w:r w:rsidRPr="00156D90">
        <w:t>6291.0.55.001</w:t>
      </w:r>
      <w:r>
        <w:t>) showed the overall unemployment rate rose from 4.1 per cent in October 2008 to 6.0 per cent in February 2009 and remained between 5 and 6 per cent until July 2010. While it is difficult to calculate unemployment rates for that time period corresponding to the youth age group defined in this study (who would have been aged between about 22 and 31 years in 2008 and 2009), unemployment rates of 20–24 year olds and 25–34 year olds rose between October 2008 and February 2009 (from 5.2 per cent to 8.8 per cent and from 4.3 per cent to 5.9 per cent, respectively).</w:t>
      </w:r>
    </w:p>
  </w:footnote>
  <w:footnote w:id="4">
    <w:p w:rsidR="00457872" w:rsidRDefault="00457872">
      <w:pPr>
        <w:pStyle w:val="FootnoteText"/>
      </w:pPr>
      <w:r>
        <w:rPr>
          <w:rStyle w:val="FootnoteReference"/>
        </w:rPr>
        <w:footnoteRef/>
      </w:r>
      <w:r>
        <w:t xml:space="preserve"> Neither the number of spells no</w:t>
      </w:r>
      <w:r w:rsidR="00F31C0E">
        <w:t>r</w:t>
      </w:r>
      <w:r>
        <w:t xml:space="preserve"> the duration ha</w:t>
      </w:r>
      <w:r w:rsidR="00CE4813">
        <w:t>ve</w:t>
      </w:r>
      <w:r>
        <w:t xml:space="preserve"> been adjusted for censoring.</w:t>
      </w:r>
    </w:p>
  </w:footnote>
  <w:footnote w:id="5">
    <w:p w:rsidR="00457872" w:rsidRDefault="00457872" w:rsidP="003F0462">
      <w:pPr>
        <w:pStyle w:val="FootnoteText"/>
      </w:pPr>
      <w:r>
        <w:rPr>
          <w:rStyle w:val="FootnoteReference"/>
        </w:rPr>
        <w:footnoteRef/>
      </w:r>
      <w:r>
        <w:tab/>
        <w:t>That is, the likelihood of additional spells of study, at any level of education.</w:t>
      </w:r>
    </w:p>
  </w:footnote>
  <w:footnote w:id="6">
    <w:p w:rsidR="00457872" w:rsidRDefault="00457872" w:rsidP="005444B7">
      <w:pPr>
        <w:pStyle w:val="FootnoteText"/>
      </w:pPr>
      <w:r>
        <w:rPr>
          <w:rStyle w:val="FootnoteReference"/>
        </w:rPr>
        <w:footnoteRef/>
      </w:r>
      <w:r>
        <w:t xml:space="preserve"> </w:t>
      </w:r>
      <w:r>
        <w:tab/>
        <w:t>In this pathway, 42 per cent of individuals are aged 35 or over, compared to 34 per cent for the other young adult pathways in 2001 (not shown).</w:t>
      </w:r>
    </w:p>
  </w:footnote>
  <w:footnote w:id="7">
    <w:p w:rsidR="00457872" w:rsidRDefault="00457872" w:rsidP="00F625DE">
      <w:pPr>
        <w:pStyle w:val="FootnoteText"/>
      </w:pPr>
      <w:r>
        <w:rPr>
          <w:rStyle w:val="FootnoteReference"/>
        </w:rPr>
        <w:footnoteRef/>
      </w:r>
      <w:r>
        <w:t xml:space="preserve"> </w:t>
      </w:r>
      <w:r>
        <w:tab/>
        <w:t xml:space="preserve">Individuals in this pathway can be considered as having made the transition to work. From age 25, the only individuals who are yet to complete the transition from education to work are those who have not yet left the education system. In 2001, they are likely to be at the younger end of the age segment (25–27 years) and studying at graduate or postgraduate level, having already completed a Bachelor Degree. Only 1 per cent of young adults in the </w:t>
      </w:r>
      <w:r w:rsidRPr="00F625DE">
        <w:rPr>
          <w:i/>
        </w:rPr>
        <w:t>Work</w:t>
      </w:r>
      <w:r>
        <w:t xml:space="preserve"> pathway meet these criteria.</w:t>
      </w:r>
    </w:p>
  </w:footnote>
  <w:footnote w:id="8">
    <w:p w:rsidR="00457872" w:rsidRDefault="00457872">
      <w:pPr>
        <w:pStyle w:val="FootnoteText"/>
      </w:pPr>
      <w:r>
        <w:rPr>
          <w:rStyle w:val="FootnoteReference"/>
        </w:rPr>
        <w:footnoteRef/>
      </w:r>
      <w:r>
        <w:t xml:space="preserve"> </w:t>
      </w:r>
      <w:r>
        <w:tab/>
        <w:t xml:space="preserve">In contrast, in the early years in the </w:t>
      </w:r>
      <w:r w:rsidRPr="00DB1C24">
        <w:rPr>
          <w:i/>
        </w:rPr>
        <w:t>NILF to Work</w:t>
      </w:r>
      <w:r>
        <w:t xml:space="preserve"> pathway, up to 14 per cent of young adults are unemployed and more than 50 per cent are NILF (figure 3.5 below). In the </w:t>
      </w:r>
      <w:r w:rsidRPr="00DB1C24">
        <w:rPr>
          <w:i/>
        </w:rPr>
        <w:t>Prolonged NILF</w:t>
      </w:r>
      <w:r>
        <w:t xml:space="preserve"> pathway, 4–8 per cent of young adults are unemployed and 60–90 per cent are NILF (figure C.5).</w:t>
      </w:r>
    </w:p>
  </w:footnote>
  <w:footnote w:id="9">
    <w:p w:rsidR="00457872" w:rsidRDefault="00457872" w:rsidP="00C047A8">
      <w:pPr>
        <w:pStyle w:val="FootnoteText"/>
      </w:pPr>
      <w:r>
        <w:rPr>
          <w:rStyle w:val="FootnoteReference"/>
        </w:rPr>
        <w:footnoteRef/>
      </w:r>
      <w:r>
        <w:tab/>
        <w:t xml:space="preserve">About 27 per cent </w:t>
      </w:r>
      <w:r w:rsidR="007F2CB8">
        <w:t xml:space="preserve">of young adults in this pathway </w:t>
      </w:r>
      <w:r>
        <w:t>study with and without work.</w:t>
      </w:r>
    </w:p>
  </w:footnote>
  <w:footnote w:id="10">
    <w:p w:rsidR="00457872" w:rsidRDefault="00457872" w:rsidP="00713E38">
      <w:pPr>
        <w:pStyle w:val="FootnoteText"/>
      </w:pPr>
      <w:r>
        <w:rPr>
          <w:rStyle w:val="FootnoteReference"/>
        </w:rPr>
        <w:footnoteRef/>
      </w:r>
      <w:r>
        <w:t xml:space="preserve"> </w:t>
      </w:r>
      <w:r>
        <w:tab/>
        <w:t>Individual sequences only cover a ten</w:t>
      </w:r>
      <w:r>
        <w:noBreakHyphen/>
        <w:t xml:space="preserve">year period. As a result, the first spell has an unknown start date (left censored) and the last spell has an unknown end date (right censored). Since the analysis does not </w:t>
      </w:r>
      <w:r w:rsidRPr="00791F31">
        <w:t xml:space="preserve">adjust for </w:t>
      </w:r>
      <w:r>
        <w:t>censoring,</w:t>
      </w:r>
      <w:r w:rsidRPr="00791F31">
        <w:t xml:space="preserve"> </w:t>
      </w:r>
      <w:r>
        <w:t>the length of these spells will be underestimated (appendix A).</w:t>
      </w:r>
    </w:p>
  </w:footnote>
  <w:footnote w:id="11">
    <w:p w:rsidR="00457872" w:rsidRDefault="00457872" w:rsidP="00713E38">
      <w:pPr>
        <w:pStyle w:val="FootnoteText"/>
      </w:pPr>
      <w:r>
        <w:rPr>
          <w:rStyle w:val="FootnoteReference"/>
        </w:rPr>
        <w:footnoteRef/>
      </w:r>
      <w:r>
        <w:tab/>
        <w:t>However, of the 65 individuals in this pathway who studied, 6 spent two to four years continuously in study (with or without work) and acquired higher qualifications.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457872">
      <w:tc>
        <w:tcPr>
          <w:tcW w:w="2155" w:type="dxa"/>
          <w:tcBorders>
            <w:top w:val="single" w:sz="24" w:space="0" w:color="auto"/>
          </w:tcBorders>
        </w:tcPr>
        <w:p w:rsidR="00457872" w:rsidRDefault="00457872" w:rsidP="0019293B">
          <w:pPr>
            <w:pStyle w:val="HeaderEven"/>
          </w:pPr>
        </w:p>
      </w:tc>
      <w:tc>
        <w:tcPr>
          <w:tcW w:w="6634" w:type="dxa"/>
          <w:tcBorders>
            <w:top w:val="single" w:sz="6" w:space="0" w:color="auto"/>
          </w:tcBorders>
        </w:tcPr>
        <w:p w:rsidR="00457872" w:rsidRDefault="00457872" w:rsidP="0019293B">
          <w:pPr>
            <w:pStyle w:val="HeaderEven"/>
          </w:pPr>
        </w:p>
      </w:tc>
    </w:tr>
  </w:tbl>
  <w:p w:rsidR="00457872" w:rsidRDefault="00457872"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457872">
      <w:tc>
        <w:tcPr>
          <w:tcW w:w="6634" w:type="dxa"/>
          <w:tcBorders>
            <w:top w:val="single" w:sz="6" w:space="0" w:color="auto"/>
          </w:tcBorders>
        </w:tcPr>
        <w:p w:rsidR="00457872" w:rsidRDefault="00457872" w:rsidP="00E669E2">
          <w:pPr>
            <w:pStyle w:val="HeaderOdd"/>
          </w:pPr>
        </w:p>
      </w:tc>
      <w:tc>
        <w:tcPr>
          <w:tcW w:w="2155" w:type="dxa"/>
          <w:tcBorders>
            <w:top w:val="single" w:sz="24" w:space="0" w:color="auto"/>
          </w:tcBorders>
        </w:tcPr>
        <w:p w:rsidR="00457872" w:rsidRDefault="00457872" w:rsidP="00E669E2">
          <w:pPr>
            <w:pStyle w:val="HeaderOdd"/>
          </w:pPr>
        </w:p>
      </w:tc>
    </w:tr>
  </w:tbl>
  <w:p w:rsidR="00457872" w:rsidRDefault="00457872"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1849700B"/>
    <w:multiLevelType w:val="hybridMultilevel"/>
    <w:tmpl w:val="43E8745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9">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2">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3">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5">
    <w:nsid w:val="51F74561"/>
    <w:multiLevelType w:val="singleLevel"/>
    <w:tmpl w:val="ED98921A"/>
    <w:lvl w:ilvl="0">
      <w:start w:val="1"/>
      <w:numFmt w:val="decimal"/>
      <w:lvlText w:val="%1."/>
      <w:legacy w:legacy="1" w:legacySpace="0" w:legacyIndent="340"/>
      <w:lvlJc w:val="left"/>
      <w:pPr>
        <w:ind w:left="340" w:hanging="340"/>
      </w:pPr>
    </w:lvl>
  </w:abstractNum>
  <w:abstractNum w:abstractNumId="26">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7">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8">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9">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30">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2">
    <w:nsid w:val="5A096576"/>
    <w:multiLevelType w:val="singleLevel"/>
    <w:tmpl w:val="ED98921A"/>
    <w:lvl w:ilvl="0">
      <w:start w:val="1"/>
      <w:numFmt w:val="decimal"/>
      <w:lvlText w:val="%1."/>
      <w:legacy w:legacy="1" w:legacySpace="0" w:legacyIndent="340"/>
      <w:lvlJc w:val="left"/>
      <w:pPr>
        <w:ind w:left="340" w:hanging="340"/>
      </w:pPr>
    </w:lvl>
  </w:abstractNum>
  <w:abstractNum w:abstractNumId="33">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60055F7F"/>
    <w:multiLevelType w:val="singleLevel"/>
    <w:tmpl w:val="ED98921A"/>
    <w:lvl w:ilvl="0">
      <w:start w:val="1"/>
      <w:numFmt w:val="decimal"/>
      <w:lvlText w:val="%1."/>
      <w:legacy w:legacy="1" w:legacySpace="0" w:legacyIndent="340"/>
      <w:lvlJc w:val="left"/>
      <w:pPr>
        <w:ind w:left="340" w:hanging="340"/>
      </w:pPr>
    </w:lvl>
  </w:abstractNum>
  <w:abstractNum w:abstractNumId="35">
    <w:nsid w:val="608E741E"/>
    <w:multiLevelType w:val="singleLevel"/>
    <w:tmpl w:val="ED98921A"/>
    <w:lvl w:ilvl="0">
      <w:start w:val="1"/>
      <w:numFmt w:val="decimal"/>
      <w:lvlText w:val="%1."/>
      <w:legacy w:legacy="1" w:legacySpace="0" w:legacyIndent="340"/>
      <w:lvlJc w:val="left"/>
      <w:pPr>
        <w:ind w:left="340" w:hanging="340"/>
      </w:pPr>
    </w:lvl>
  </w:abstractNum>
  <w:abstractNum w:abstractNumId="36">
    <w:nsid w:val="61320C1E"/>
    <w:multiLevelType w:val="singleLevel"/>
    <w:tmpl w:val="C444122C"/>
    <w:lvl w:ilvl="0">
      <w:start w:val="1"/>
      <w:numFmt w:val="decimal"/>
      <w:lvlText w:val="%1."/>
      <w:legacy w:legacy="1" w:legacySpace="0" w:legacyIndent="284"/>
      <w:lvlJc w:val="left"/>
      <w:pPr>
        <w:ind w:left="284" w:hanging="284"/>
      </w:pPr>
    </w:lvl>
  </w:abstractNum>
  <w:abstractNum w:abstractNumId="37">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9">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0">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1">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3">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4">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5">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1"/>
  </w:num>
  <w:num w:numId="2">
    <w:abstractNumId w:val="10"/>
  </w:num>
  <w:num w:numId="3">
    <w:abstractNumId w:val="43"/>
  </w:num>
  <w:num w:numId="4">
    <w:abstractNumId w:val="7"/>
  </w:num>
  <w:num w:numId="5">
    <w:abstractNumId w:val="5"/>
  </w:num>
  <w:num w:numId="6">
    <w:abstractNumId w:val="26"/>
  </w:num>
  <w:num w:numId="7">
    <w:abstractNumId w:val="3"/>
  </w:num>
  <w:num w:numId="8">
    <w:abstractNumId w:val="9"/>
  </w:num>
  <w:num w:numId="9">
    <w:abstractNumId w:val="2"/>
  </w:num>
  <w:num w:numId="10">
    <w:abstractNumId w:val="38"/>
  </w:num>
  <w:num w:numId="11">
    <w:abstractNumId w:val="4"/>
  </w:num>
  <w:num w:numId="12">
    <w:abstractNumId w:val="1"/>
  </w:num>
  <w:num w:numId="13">
    <w:abstractNumId w:val="0"/>
  </w:num>
  <w:num w:numId="14">
    <w:abstractNumId w:val="29"/>
  </w:num>
  <w:num w:numId="15">
    <w:abstractNumId w:val="44"/>
  </w:num>
  <w:num w:numId="16">
    <w:abstractNumId w:val="18"/>
  </w:num>
  <w:num w:numId="17">
    <w:abstractNumId w:val="16"/>
  </w:num>
  <w:num w:numId="18">
    <w:abstractNumId w:val="27"/>
  </w:num>
  <w:num w:numId="19">
    <w:abstractNumId w:val="12"/>
  </w:num>
  <w:num w:numId="20">
    <w:abstractNumId w:val="35"/>
  </w:num>
  <w:num w:numId="21">
    <w:abstractNumId w:val="37"/>
  </w:num>
  <w:num w:numId="22">
    <w:abstractNumId w:val="25"/>
  </w:num>
  <w:num w:numId="23">
    <w:abstractNumId w:val="28"/>
  </w:num>
  <w:num w:numId="24">
    <w:abstractNumId w:val="30"/>
  </w:num>
  <w:num w:numId="25">
    <w:abstractNumId w:val="42"/>
  </w:num>
  <w:num w:numId="26">
    <w:abstractNumId w:val="34"/>
  </w:num>
  <w:num w:numId="27">
    <w:abstractNumId w:val="39"/>
  </w:num>
  <w:num w:numId="28">
    <w:abstractNumId w:val="40"/>
  </w:num>
  <w:num w:numId="29">
    <w:abstractNumId w:val="32"/>
  </w:num>
  <w:num w:numId="30">
    <w:abstractNumId w:val="22"/>
  </w:num>
  <w:num w:numId="31">
    <w:abstractNumId w:val="45"/>
  </w:num>
  <w:num w:numId="32">
    <w:abstractNumId w:val="15"/>
  </w:num>
  <w:num w:numId="33">
    <w:abstractNumId w:val="8"/>
  </w:num>
  <w:num w:numId="34">
    <w:abstractNumId w:val="19"/>
  </w:num>
  <w:num w:numId="35">
    <w:abstractNumId w:val="41"/>
  </w:num>
  <w:num w:numId="36">
    <w:abstractNumId w:val="33"/>
  </w:num>
  <w:num w:numId="37">
    <w:abstractNumId w:val="13"/>
  </w:num>
  <w:num w:numId="38">
    <w:abstractNumId w:val="36"/>
  </w:num>
  <w:num w:numId="39">
    <w:abstractNumId w:val="14"/>
  </w:num>
  <w:num w:numId="40">
    <w:abstractNumId w:val="18"/>
  </w:num>
  <w:num w:numId="41">
    <w:abstractNumId w:val="9"/>
  </w:num>
  <w:num w:numId="42">
    <w:abstractNumId w:val="24"/>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20"/>
  </w:num>
  <w:num w:numId="46">
    <w:abstractNumId w:val="23"/>
  </w:num>
  <w:num w:numId="47">
    <w:abstractNumId w:val="10"/>
  </w:num>
  <w:num w:numId="48">
    <w:abstractNumId w:val="31"/>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2"/>
  </w:compat>
  <w:docVars>
    <w:docVar w:name="FindingOptions" w:val="1"/>
    <w:docVar w:name="RecOptions" w:val="111"/>
    <w:docVar w:name="ShortChapterTitle" w:val="Pathways and estimates of prevalence"/>
    <w:docVar w:name="ShortReportTitle" w:val="Prevalence of transition pathways"/>
  </w:docVars>
  <w:rsids>
    <w:rsidRoot w:val="007852B8"/>
    <w:rsid w:val="000017D9"/>
    <w:rsid w:val="00003AE7"/>
    <w:rsid w:val="0001298E"/>
    <w:rsid w:val="000227D5"/>
    <w:rsid w:val="0002368C"/>
    <w:rsid w:val="00023FAB"/>
    <w:rsid w:val="000245AA"/>
    <w:rsid w:val="0002752F"/>
    <w:rsid w:val="00030C3E"/>
    <w:rsid w:val="0003664B"/>
    <w:rsid w:val="0004111F"/>
    <w:rsid w:val="0004560E"/>
    <w:rsid w:val="00051834"/>
    <w:rsid w:val="000565B3"/>
    <w:rsid w:val="000566E0"/>
    <w:rsid w:val="00061566"/>
    <w:rsid w:val="00071178"/>
    <w:rsid w:val="0007150B"/>
    <w:rsid w:val="00071B04"/>
    <w:rsid w:val="00072FE8"/>
    <w:rsid w:val="000827CA"/>
    <w:rsid w:val="00084092"/>
    <w:rsid w:val="000875E3"/>
    <w:rsid w:val="0009064E"/>
    <w:rsid w:val="000938F5"/>
    <w:rsid w:val="00096E55"/>
    <w:rsid w:val="000A308F"/>
    <w:rsid w:val="000A3B3A"/>
    <w:rsid w:val="000A4080"/>
    <w:rsid w:val="000B0AB7"/>
    <w:rsid w:val="000B1A27"/>
    <w:rsid w:val="000B2072"/>
    <w:rsid w:val="000B601B"/>
    <w:rsid w:val="000C207E"/>
    <w:rsid w:val="000C62CB"/>
    <w:rsid w:val="000C7310"/>
    <w:rsid w:val="000D286A"/>
    <w:rsid w:val="000E571A"/>
    <w:rsid w:val="000E7AFC"/>
    <w:rsid w:val="000F0035"/>
    <w:rsid w:val="000F420B"/>
    <w:rsid w:val="000F58A3"/>
    <w:rsid w:val="000F677B"/>
    <w:rsid w:val="000F75DB"/>
    <w:rsid w:val="0010237B"/>
    <w:rsid w:val="00102656"/>
    <w:rsid w:val="001052F4"/>
    <w:rsid w:val="00106E42"/>
    <w:rsid w:val="00110116"/>
    <w:rsid w:val="00114572"/>
    <w:rsid w:val="001176E3"/>
    <w:rsid w:val="00120072"/>
    <w:rsid w:val="001214B8"/>
    <w:rsid w:val="00121B7F"/>
    <w:rsid w:val="00126565"/>
    <w:rsid w:val="00126EB8"/>
    <w:rsid w:val="001274D4"/>
    <w:rsid w:val="00132AB2"/>
    <w:rsid w:val="001363AA"/>
    <w:rsid w:val="00137EFA"/>
    <w:rsid w:val="00150203"/>
    <w:rsid w:val="001521F3"/>
    <w:rsid w:val="001541AD"/>
    <w:rsid w:val="0015613F"/>
    <w:rsid w:val="00156D90"/>
    <w:rsid w:val="00157E02"/>
    <w:rsid w:val="00162376"/>
    <w:rsid w:val="0016264C"/>
    <w:rsid w:val="0016482E"/>
    <w:rsid w:val="001678FB"/>
    <w:rsid w:val="0018138F"/>
    <w:rsid w:val="00183E82"/>
    <w:rsid w:val="001878BB"/>
    <w:rsid w:val="00191AE0"/>
    <w:rsid w:val="0019293B"/>
    <w:rsid w:val="001A4013"/>
    <w:rsid w:val="001A511D"/>
    <w:rsid w:val="001B418A"/>
    <w:rsid w:val="001B6DB7"/>
    <w:rsid w:val="001C0865"/>
    <w:rsid w:val="001C3ABA"/>
    <w:rsid w:val="001C56AD"/>
    <w:rsid w:val="001C6C5B"/>
    <w:rsid w:val="001D0C25"/>
    <w:rsid w:val="001D5883"/>
    <w:rsid w:val="001E373C"/>
    <w:rsid w:val="001E7BE8"/>
    <w:rsid w:val="001F0248"/>
    <w:rsid w:val="001F3EB3"/>
    <w:rsid w:val="001F4F86"/>
    <w:rsid w:val="00202C2C"/>
    <w:rsid w:val="00203D0F"/>
    <w:rsid w:val="00204950"/>
    <w:rsid w:val="00210C04"/>
    <w:rsid w:val="002135AB"/>
    <w:rsid w:val="002144BE"/>
    <w:rsid w:val="002177C1"/>
    <w:rsid w:val="00222E22"/>
    <w:rsid w:val="002270B7"/>
    <w:rsid w:val="00234DA5"/>
    <w:rsid w:val="00236C5F"/>
    <w:rsid w:val="00242279"/>
    <w:rsid w:val="00243075"/>
    <w:rsid w:val="0024420F"/>
    <w:rsid w:val="00244B71"/>
    <w:rsid w:val="00245192"/>
    <w:rsid w:val="00245C82"/>
    <w:rsid w:val="0025507C"/>
    <w:rsid w:val="0026326E"/>
    <w:rsid w:val="00264B04"/>
    <w:rsid w:val="00266C58"/>
    <w:rsid w:val="002817BD"/>
    <w:rsid w:val="00291B40"/>
    <w:rsid w:val="002B099A"/>
    <w:rsid w:val="002B1D7F"/>
    <w:rsid w:val="002B4008"/>
    <w:rsid w:val="002B66E0"/>
    <w:rsid w:val="002C5FFE"/>
    <w:rsid w:val="002D0E8E"/>
    <w:rsid w:val="002E2902"/>
    <w:rsid w:val="002F11B3"/>
    <w:rsid w:val="00301189"/>
    <w:rsid w:val="00301919"/>
    <w:rsid w:val="00302A2C"/>
    <w:rsid w:val="00307EA1"/>
    <w:rsid w:val="00313F70"/>
    <w:rsid w:val="00314C76"/>
    <w:rsid w:val="00323E09"/>
    <w:rsid w:val="00324073"/>
    <w:rsid w:val="00327397"/>
    <w:rsid w:val="00330B91"/>
    <w:rsid w:val="00333932"/>
    <w:rsid w:val="00345BE4"/>
    <w:rsid w:val="0034760C"/>
    <w:rsid w:val="003518AA"/>
    <w:rsid w:val="00352165"/>
    <w:rsid w:val="00353182"/>
    <w:rsid w:val="003533DE"/>
    <w:rsid w:val="00354742"/>
    <w:rsid w:val="003565D9"/>
    <w:rsid w:val="003602E1"/>
    <w:rsid w:val="003641C4"/>
    <w:rsid w:val="003678D4"/>
    <w:rsid w:val="0037026F"/>
    <w:rsid w:val="00371240"/>
    <w:rsid w:val="0037222A"/>
    <w:rsid w:val="00374731"/>
    <w:rsid w:val="00376E59"/>
    <w:rsid w:val="00384596"/>
    <w:rsid w:val="00384A66"/>
    <w:rsid w:val="0038518A"/>
    <w:rsid w:val="003919F9"/>
    <w:rsid w:val="00393E20"/>
    <w:rsid w:val="00394F6F"/>
    <w:rsid w:val="00395944"/>
    <w:rsid w:val="00397D03"/>
    <w:rsid w:val="003A099D"/>
    <w:rsid w:val="003B1994"/>
    <w:rsid w:val="003B21DA"/>
    <w:rsid w:val="003B60FE"/>
    <w:rsid w:val="003C2423"/>
    <w:rsid w:val="003C38B5"/>
    <w:rsid w:val="003C5D99"/>
    <w:rsid w:val="003D4691"/>
    <w:rsid w:val="003D472A"/>
    <w:rsid w:val="003E12C9"/>
    <w:rsid w:val="003E2F59"/>
    <w:rsid w:val="003E7032"/>
    <w:rsid w:val="003F0462"/>
    <w:rsid w:val="003F0789"/>
    <w:rsid w:val="003F143A"/>
    <w:rsid w:val="003F3382"/>
    <w:rsid w:val="003F49C0"/>
    <w:rsid w:val="003F6024"/>
    <w:rsid w:val="003F7956"/>
    <w:rsid w:val="00400825"/>
    <w:rsid w:val="00401882"/>
    <w:rsid w:val="00406870"/>
    <w:rsid w:val="004100C8"/>
    <w:rsid w:val="00410C5E"/>
    <w:rsid w:val="00411DBD"/>
    <w:rsid w:val="00412ACE"/>
    <w:rsid w:val="0042044F"/>
    <w:rsid w:val="00431249"/>
    <w:rsid w:val="00434C19"/>
    <w:rsid w:val="0043632D"/>
    <w:rsid w:val="00436C53"/>
    <w:rsid w:val="00443004"/>
    <w:rsid w:val="004449ED"/>
    <w:rsid w:val="00450810"/>
    <w:rsid w:val="00450928"/>
    <w:rsid w:val="004547AF"/>
    <w:rsid w:val="0045674A"/>
    <w:rsid w:val="00457872"/>
    <w:rsid w:val="0046055A"/>
    <w:rsid w:val="00464552"/>
    <w:rsid w:val="004764F0"/>
    <w:rsid w:val="00477144"/>
    <w:rsid w:val="0048074A"/>
    <w:rsid w:val="004813BE"/>
    <w:rsid w:val="00486851"/>
    <w:rsid w:val="00491380"/>
    <w:rsid w:val="0049459F"/>
    <w:rsid w:val="0049750E"/>
    <w:rsid w:val="004A38DD"/>
    <w:rsid w:val="004A4D90"/>
    <w:rsid w:val="004B43AE"/>
    <w:rsid w:val="004C2CAF"/>
    <w:rsid w:val="004C30ED"/>
    <w:rsid w:val="004D5675"/>
    <w:rsid w:val="004F6090"/>
    <w:rsid w:val="00500036"/>
    <w:rsid w:val="00501AED"/>
    <w:rsid w:val="005062F0"/>
    <w:rsid w:val="00506304"/>
    <w:rsid w:val="0051580E"/>
    <w:rsid w:val="00523639"/>
    <w:rsid w:val="0052401C"/>
    <w:rsid w:val="00531FE5"/>
    <w:rsid w:val="00532F68"/>
    <w:rsid w:val="005332EA"/>
    <w:rsid w:val="00533E78"/>
    <w:rsid w:val="005402FA"/>
    <w:rsid w:val="005444B7"/>
    <w:rsid w:val="00551A6E"/>
    <w:rsid w:val="00551C78"/>
    <w:rsid w:val="00554EC6"/>
    <w:rsid w:val="00564DEE"/>
    <w:rsid w:val="00567607"/>
    <w:rsid w:val="00567991"/>
    <w:rsid w:val="005719B7"/>
    <w:rsid w:val="00572839"/>
    <w:rsid w:val="00573895"/>
    <w:rsid w:val="00580EE6"/>
    <w:rsid w:val="0058292C"/>
    <w:rsid w:val="00583C39"/>
    <w:rsid w:val="00587F28"/>
    <w:rsid w:val="005909CF"/>
    <w:rsid w:val="00591E71"/>
    <w:rsid w:val="005A0D41"/>
    <w:rsid w:val="005A717F"/>
    <w:rsid w:val="005B45EC"/>
    <w:rsid w:val="005B4E4B"/>
    <w:rsid w:val="005C3704"/>
    <w:rsid w:val="005D5A6E"/>
    <w:rsid w:val="005E6B0E"/>
    <w:rsid w:val="005F004F"/>
    <w:rsid w:val="005F4EB0"/>
    <w:rsid w:val="005F7E02"/>
    <w:rsid w:val="00607BF1"/>
    <w:rsid w:val="006122F3"/>
    <w:rsid w:val="006169CF"/>
    <w:rsid w:val="00630D4D"/>
    <w:rsid w:val="00632A74"/>
    <w:rsid w:val="00641FB9"/>
    <w:rsid w:val="006456C9"/>
    <w:rsid w:val="00665516"/>
    <w:rsid w:val="00673113"/>
    <w:rsid w:val="00677C26"/>
    <w:rsid w:val="006846EB"/>
    <w:rsid w:val="006847B1"/>
    <w:rsid w:val="006865A5"/>
    <w:rsid w:val="006871FC"/>
    <w:rsid w:val="006A4655"/>
    <w:rsid w:val="006A600A"/>
    <w:rsid w:val="006A75BA"/>
    <w:rsid w:val="006A78C5"/>
    <w:rsid w:val="006B113B"/>
    <w:rsid w:val="006B1E8A"/>
    <w:rsid w:val="006B2B3C"/>
    <w:rsid w:val="006B45A5"/>
    <w:rsid w:val="006B7683"/>
    <w:rsid w:val="006C1D81"/>
    <w:rsid w:val="006C4202"/>
    <w:rsid w:val="006C7038"/>
    <w:rsid w:val="006D1D11"/>
    <w:rsid w:val="006D5B0A"/>
    <w:rsid w:val="006E160C"/>
    <w:rsid w:val="006E73EF"/>
    <w:rsid w:val="006E78CB"/>
    <w:rsid w:val="006F3452"/>
    <w:rsid w:val="00701C32"/>
    <w:rsid w:val="00703143"/>
    <w:rsid w:val="0070788F"/>
    <w:rsid w:val="00707F41"/>
    <w:rsid w:val="00713E38"/>
    <w:rsid w:val="00714D4D"/>
    <w:rsid w:val="00720EE2"/>
    <w:rsid w:val="00722111"/>
    <w:rsid w:val="00725C9D"/>
    <w:rsid w:val="007265C2"/>
    <w:rsid w:val="00726AD6"/>
    <w:rsid w:val="00731A89"/>
    <w:rsid w:val="00746D87"/>
    <w:rsid w:val="00750371"/>
    <w:rsid w:val="007604BB"/>
    <w:rsid w:val="007673E2"/>
    <w:rsid w:val="0077002F"/>
    <w:rsid w:val="00773623"/>
    <w:rsid w:val="00774848"/>
    <w:rsid w:val="00782CD9"/>
    <w:rsid w:val="00785232"/>
    <w:rsid w:val="007852B8"/>
    <w:rsid w:val="007903D2"/>
    <w:rsid w:val="00791F31"/>
    <w:rsid w:val="007974EC"/>
    <w:rsid w:val="007A21EB"/>
    <w:rsid w:val="007B112B"/>
    <w:rsid w:val="007B1A93"/>
    <w:rsid w:val="007B2A1E"/>
    <w:rsid w:val="007B4C32"/>
    <w:rsid w:val="007B50C7"/>
    <w:rsid w:val="007B5420"/>
    <w:rsid w:val="007B6479"/>
    <w:rsid w:val="007C136C"/>
    <w:rsid w:val="007C193D"/>
    <w:rsid w:val="007C2FE8"/>
    <w:rsid w:val="007C36C9"/>
    <w:rsid w:val="007C3BA7"/>
    <w:rsid w:val="007C7143"/>
    <w:rsid w:val="007D0021"/>
    <w:rsid w:val="007D1AE9"/>
    <w:rsid w:val="007D571C"/>
    <w:rsid w:val="007D6401"/>
    <w:rsid w:val="007D6D11"/>
    <w:rsid w:val="007E01E4"/>
    <w:rsid w:val="007E4CFD"/>
    <w:rsid w:val="007E66C2"/>
    <w:rsid w:val="007E72BD"/>
    <w:rsid w:val="007F0562"/>
    <w:rsid w:val="007F2CB8"/>
    <w:rsid w:val="007F7107"/>
    <w:rsid w:val="008006D7"/>
    <w:rsid w:val="00800D4C"/>
    <w:rsid w:val="0081030F"/>
    <w:rsid w:val="00812837"/>
    <w:rsid w:val="0082003B"/>
    <w:rsid w:val="0082087D"/>
    <w:rsid w:val="008258F7"/>
    <w:rsid w:val="00827668"/>
    <w:rsid w:val="00835771"/>
    <w:rsid w:val="00836A13"/>
    <w:rsid w:val="00842933"/>
    <w:rsid w:val="008442F5"/>
    <w:rsid w:val="00846982"/>
    <w:rsid w:val="0086082C"/>
    <w:rsid w:val="0086434A"/>
    <w:rsid w:val="00864ADC"/>
    <w:rsid w:val="008707D7"/>
    <w:rsid w:val="00870DBE"/>
    <w:rsid w:val="008731FB"/>
    <w:rsid w:val="00876C9C"/>
    <w:rsid w:val="00880153"/>
    <w:rsid w:val="00880F97"/>
    <w:rsid w:val="00881043"/>
    <w:rsid w:val="0088133A"/>
    <w:rsid w:val="00886E70"/>
    <w:rsid w:val="00887730"/>
    <w:rsid w:val="00890851"/>
    <w:rsid w:val="0089285E"/>
    <w:rsid w:val="0089436C"/>
    <w:rsid w:val="008976ED"/>
    <w:rsid w:val="008A155F"/>
    <w:rsid w:val="008A35F1"/>
    <w:rsid w:val="008A6DC3"/>
    <w:rsid w:val="008B4735"/>
    <w:rsid w:val="008B6DA4"/>
    <w:rsid w:val="008C2302"/>
    <w:rsid w:val="008C6773"/>
    <w:rsid w:val="008C6B99"/>
    <w:rsid w:val="008D365C"/>
    <w:rsid w:val="008D3738"/>
    <w:rsid w:val="008E1628"/>
    <w:rsid w:val="008E374A"/>
    <w:rsid w:val="008E7308"/>
    <w:rsid w:val="008E77AD"/>
    <w:rsid w:val="008F013F"/>
    <w:rsid w:val="008F1678"/>
    <w:rsid w:val="008F3B1B"/>
    <w:rsid w:val="008F4C26"/>
    <w:rsid w:val="00900594"/>
    <w:rsid w:val="00901582"/>
    <w:rsid w:val="0090174B"/>
    <w:rsid w:val="00902D97"/>
    <w:rsid w:val="009030BF"/>
    <w:rsid w:val="00903D20"/>
    <w:rsid w:val="00907FA7"/>
    <w:rsid w:val="0091032F"/>
    <w:rsid w:val="0091052B"/>
    <w:rsid w:val="00912716"/>
    <w:rsid w:val="00914368"/>
    <w:rsid w:val="00914827"/>
    <w:rsid w:val="009151B7"/>
    <w:rsid w:val="00917A4F"/>
    <w:rsid w:val="00924A71"/>
    <w:rsid w:val="00927900"/>
    <w:rsid w:val="009300B2"/>
    <w:rsid w:val="00931076"/>
    <w:rsid w:val="009345D9"/>
    <w:rsid w:val="00934B15"/>
    <w:rsid w:val="00934E6E"/>
    <w:rsid w:val="00940C87"/>
    <w:rsid w:val="00942482"/>
    <w:rsid w:val="00942B62"/>
    <w:rsid w:val="009518AB"/>
    <w:rsid w:val="0095323B"/>
    <w:rsid w:val="00955234"/>
    <w:rsid w:val="00956A0C"/>
    <w:rsid w:val="00956BD9"/>
    <w:rsid w:val="009602EF"/>
    <w:rsid w:val="00961D67"/>
    <w:rsid w:val="00962489"/>
    <w:rsid w:val="00970781"/>
    <w:rsid w:val="00971861"/>
    <w:rsid w:val="0097229A"/>
    <w:rsid w:val="00973A97"/>
    <w:rsid w:val="00990C2C"/>
    <w:rsid w:val="00993CAC"/>
    <w:rsid w:val="009A118C"/>
    <w:rsid w:val="009A2572"/>
    <w:rsid w:val="009B4168"/>
    <w:rsid w:val="009B4EA0"/>
    <w:rsid w:val="009C6477"/>
    <w:rsid w:val="009D2317"/>
    <w:rsid w:val="009D5204"/>
    <w:rsid w:val="009D5407"/>
    <w:rsid w:val="009E1844"/>
    <w:rsid w:val="009F0D1B"/>
    <w:rsid w:val="009F1726"/>
    <w:rsid w:val="009F54C1"/>
    <w:rsid w:val="009F696D"/>
    <w:rsid w:val="009F6BC6"/>
    <w:rsid w:val="00A01107"/>
    <w:rsid w:val="00A018E8"/>
    <w:rsid w:val="00A019A2"/>
    <w:rsid w:val="00A04AAF"/>
    <w:rsid w:val="00A07A56"/>
    <w:rsid w:val="00A11700"/>
    <w:rsid w:val="00A11AB8"/>
    <w:rsid w:val="00A130DF"/>
    <w:rsid w:val="00A17328"/>
    <w:rsid w:val="00A17A73"/>
    <w:rsid w:val="00A23A20"/>
    <w:rsid w:val="00A243A0"/>
    <w:rsid w:val="00A268B9"/>
    <w:rsid w:val="00A2703A"/>
    <w:rsid w:val="00A30CE2"/>
    <w:rsid w:val="00A310CE"/>
    <w:rsid w:val="00A3243A"/>
    <w:rsid w:val="00A33DFF"/>
    <w:rsid w:val="00A35115"/>
    <w:rsid w:val="00A364A5"/>
    <w:rsid w:val="00A36D9A"/>
    <w:rsid w:val="00A413CD"/>
    <w:rsid w:val="00A554AB"/>
    <w:rsid w:val="00A57062"/>
    <w:rsid w:val="00A67709"/>
    <w:rsid w:val="00A775BA"/>
    <w:rsid w:val="00A81DBA"/>
    <w:rsid w:val="00A874C0"/>
    <w:rsid w:val="00A92B53"/>
    <w:rsid w:val="00A93410"/>
    <w:rsid w:val="00A94FA6"/>
    <w:rsid w:val="00A962D9"/>
    <w:rsid w:val="00AA1E02"/>
    <w:rsid w:val="00AA3E9E"/>
    <w:rsid w:val="00AA49A0"/>
    <w:rsid w:val="00AA6710"/>
    <w:rsid w:val="00AB0681"/>
    <w:rsid w:val="00AC2AF1"/>
    <w:rsid w:val="00AC4A2A"/>
    <w:rsid w:val="00AC5BCC"/>
    <w:rsid w:val="00AD520B"/>
    <w:rsid w:val="00AD640C"/>
    <w:rsid w:val="00AE13C9"/>
    <w:rsid w:val="00AE39E9"/>
    <w:rsid w:val="00AE79D0"/>
    <w:rsid w:val="00AF1E2E"/>
    <w:rsid w:val="00AF4FFC"/>
    <w:rsid w:val="00B00107"/>
    <w:rsid w:val="00B0056C"/>
    <w:rsid w:val="00B00E44"/>
    <w:rsid w:val="00B07E7A"/>
    <w:rsid w:val="00B12F0B"/>
    <w:rsid w:val="00B151E1"/>
    <w:rsid w:val="00B15484"/>
    <w:rsid w:val="00B16D81"/>
    <w:rsid w:val="00B22802"/>
    <w:rsid w:val="00B241E7"/>
    <w:rsid w:val="00B369B6"/>
    <w:rsid w:val="00B425C3"/>
    <w:rsid w:val="00B440AD"/>
    <w:rsid w:val="00B4547F"/>
    <w:rsid w:val="00B46B87"/>
    <w:rsid w:val="00B479BB"/>
    <w:rsid w:val="00B523FB"/>
    <w:rsid w:val="00B53055"/>
    <w:rsid w:val="00B531F3"/>
    <w:rsid w:val="00B53E7E"/>
    <w:rsid w:val="00B5500D"/>
    <w:rsid w:val="00B60AC9"/>
    <w:rsid w:val="00B6342E"/>
    <w:rsid w:val="00B70817"/>
    <w:rsid w:val="00B7113F"/>
    <w:rsid w:val="00B722E6"/>
    <w:rsid w:val="00B73A5C"/>
    <w:rsid w:val="00B7489E"/>
    <w:rsid w:val="00B754DD"/>
    <w:rsid w:val="00B92306"/>
    <w:rsid w:val="00B94DF1"/>
    <w:rsid w:val="00BA1158"/>
    <w:rsid w:val="00BA4B40"/>
    <w:rsid w:val="00BA5BC0"/>
    <w:rsid w:val="00BA73B6"/>
    <w:rsid w:val="00BA7E27"/>
    <w:rsid w:val="00BB0004"/>
    <w:rsid w:val="00BB11D7"/>
    <w:rsid w:val="00BB2603"/>
    <w:rsid w:val="00BB4FCD"/>
    <w:rsid w:val="00BB6F96"/>
    <w:rsid w:val="00BC04E9"/>
    <w:rsid w:val="00BC1645"/>
    <w:rsid w:val="00BC6790"/>
    <w:rsid w:val="00BD107C"/>
    <w:rsid w:val="00BD13EA"/>
    <w:rsid w:val="00BE099C"/>
    <w:rsid w:val="00BE2459"/>
    <w:rsid w:val="00BE3808"/>
    <w:rsid w:val="00BE5002"/>
    <w:rsid w:val="00BF29A7"/>
    <w:rsid w:val="00BF39A1"/>
    <w:rsid w:val="00BF46DA"/>
    <w:rsid w:val="00BF5C43"/>
    <w:rsid w:val="00BF7496"/>
    <w:rsid w:val="00C047A8"/>
    <w:rsid w:val="00C062E9"/>
    <w:rsid w:val="00C07B64"/>
    <w:rsid w:val="00C12CC8"/>
    <w:rsid w:val="00C13721"/>
    <w:rsid w:val="00C1412F"/>
    <w:rsid w:val="00C14FE4"/>
    <w:rsid w:val="00C17CC2"/>
    <w:rsid w:val="00C20187"/>
    <w:rsid w:val="00C2077A"/>
    <w:rsid w:val="00C231D7"/>
    <w:rsid w:val="00C2507F"/>
    <w:rsid w:val="00C3066D"/>
    <w:rsid w:val="00C30F41"/>
    <w:rsid w:val="00C33ADE"/>
    <w:rsid w:val="00C40B86"/>
    <w:rsid w:val="00C413F9"/>
    <w:rsid w:val="00C42608"/>
    <w:rsid w:val="00C42746"/>
    <w:rsid w:val="00C46379"/>
    <w:rsid w:val="00C52416"/>
    <w:rsid w:val="00C543F4"/>
    <w:rsid w:val="00C56121"/>
    <w:rsid w:val="00C6291C"/>
    <w:rsid w:val="00C633CB"/>
    <w:rsid w:val="00C646A2"/>
    <w:rsid w:val="00C6491B"/>
    <w:rsid w:val="00C64E98"/>
    <w:rsid w:val="00C701CB"/>
    <w:rsid w:val="00C71FEF"/>
    <w:rsid w:val="00C736B7"/>
    <w:rsid w:val="00C75333"/>
    <w:rsid w:val="00C75E98"/>
    <w:rsid w:val="00C8186B"/>
    <w:rsid w:val="00C81D4A"/>
    <w:rsid w:val="00C8200C"/>
    <w:rsid w:val="00C848D6"/>
    <w:rsid w:val="00C8762C"/>
    <w:rsid w:val="00C90EAF"/>
    <w:rsid w:val="00C974A2"/>
    <w:rsid w:val="00CA00F9"/>
    <w:rsid w:val="00CA058D"/>
    <w:rsid w:val="00CA20BB"/>
    <w:rsid w:val="00CA2961"/>
    <w:rsid w:val="00CB10FB"/>
    <w:rsid w:val="00CB4704"/>
    <w:rsid w:val="00CB50D7"/>
    <w:rsid w:val="00CB7177"/>
    <w:rsid w:val="00CB734C"/>
    <w:rsid w:val="00CC028A"/>
    <w:rsid w:val="00CC1998"/>
    <w:rsid w:val="00CC4946"/>
    <w:rsid w:val="00CD0417"/>
    <w:rsid w:val="00CD1EFF"/>
    <w:rsid w:val="00CD3301"/>
    <w:rsid w:val="00CE4813"/>
    <w:rsid w:val="00CE554B"/>
    <w:rsid w:val="00CF03CD"/>
    <w:rsid w:val="00CF0844"/>
    <w:rsid w:val="00CF370D"/>
    <w:rsid w:val="00CF5E09"/>
    <w:rsid w:val="00D14EC0"/>
    <w:rsid w:val="00D169F0"/>
    <w:rsid w:val="00D26C1D"/>
    <w:rsid w:val="00D270A4"/>
    <w:rsid w:val="00D31FE9"/>
    <w:rsid w:val="00D34E1B"/>
    <w:rsid w:val="00D376BA"/>
    <w:rsid w:val="00D4159C"/>
    <w:rsid w:val="00D43F64"/>
    <w:rsid w:val="00D44D55"/>
    <w:rsid w:val="00D45634"/>
    <w:rsid w:val="00D5568A"/>
    <w:rsid w:val="00D570C9"/>
    <w:rsid w:val="00D63D73"/>
    <w:rsid w:val="00D64452"/>
    <w:rsid w:val="00D66E1E"/>
    <w:rsid w:val="00D75722"/>
    <w:rsid w:val="00D76CD9"/>
    <w:rsid w:val="00D80CF5"/>
    <w:rsid w:val="00D81DE3"/>
    <w:rsid w:val="00D83A2D"/>
    <w:rsid w:val="00D85469"/>
    <w:rsid w:val="00D90AED"/>
    <w:rsid w:val="00D922BD"/>
    <w:rsid w:val="00D968A1"/>
    <w:rsid w:val="00DA0FC7"/>
    <w:rsid w:val="00DA5BBA"/>
    <w:rsid w:val="00DB0AE1"/>
    <w:rsid w:val="00DB1C24"/>
    <w:rsid w:val="00DB26D2"/>
    <w:rsid w:val="00DB67C9"/>
    <w:rsid w:val="00DC0C95"/>
    <w:rsid w:val="00DC17C0"/>
    <w:rsid w:val="00DC2597"/>
    <w:rsid w:val="00DD5816"/>
    <w:rsid w:val="00DD590B"/>
    <w:rsid w:val="00DD6580"/>
    <w:rsid w:val="00DE224D"/>
    <w:rsid w:val="00DE2DEF"/>
    <w:rsid w:val="00DE3075"/>
    <w:rsid w:val="00DE3D51"/>
    <w:rsid w:val="00DE4EEF"/>
    <w:rsid w:val="00DE5B40"/>
    <w:rsid w:val="00DE64E7"/>
    <w:rsid w:val="00E05952"/>
    <w:rsid w:val="00E11B3E"/>
    <w:rsid w:val="00E17C72"/>
    <w:rsid w:val="00E21FC6"/>
    <w:rsid w:val="00E226CA"/>
    <w:rsid w:val="00E265AF"/>
    <w:rsid w:val="00E266AE"/>
    <w:rsid w:val="00E346E2"/>
    <w:rsid w:val="00E3593F"/>
    <w:rsid w:val="00E3683F"/>
    <w:rsid w:val="00E37D2C"/>
    <w:rsid w:val="00E431A9"/>
    <w:rsid w:val="00E4427A"/>
    <w:rsid w:val="00E474FE"/>
    <w:rsid w:val="00E510D5"/>
    <w:rsid w:val="00E520D4"/>
    <w:rsid w:val="00E521EC"/>
    <w:rsid w:val="00E52838"/>
    <w:rsid w:val="00E540AC"/>
    <w:rsid w:val="00E56627"/>
    <w:rsid w:val="00E61517"/>
    <w:rsid w:val="00E669E2"/>
    <w:rsid w:val="00E67B47"/>
    <w:rsid w:val="00E76135"/>
    <w:rsid w:val="00E76595"/>
    <w:rsid w:val="00E77538"/>
    <w:rsid w:val="00E8018E"/>
    <w:rsid w:val="00E82F4F"/>
    <w:rsid w:val="00E9161D"/>
    <w:rsid w:val="00E9795B"/>
    <w:rsid w:val="00EA57D3"/>
    <w:rsid w:val="00EA5FDE"/>
    <w:rsid w:val="00EA6B16"/>
    <w:rsid w:val="00EC1515"/>
    <w:rsid w:val="00EC211F"/>
    <w:rsid w:val="00EC2844"/>
    <w:rsid w:val="00EC4F47"/>
    <w:rsid w:val="00EC5500"/>
    <w:rsid w:val="00ED18F8"/>
    <w:rsid w:val="00ED60DA"/>
    <w:rsid w:val="00ED63CE"/>
    <w:rsid w:val="00EE58B5"/>
    <w:rsid w:val="00EF4516"/>
    <w:rsid w:val="00EF54D7"/>
    <w:rsid w:val="00EF5610"/>
    <w:rsid w:val="00EF5EBB"/>
    <w:rsid w:val="00EF6C6C"/>
    <w:rsid w:val="00F00460"/>
    <w:rsid w:val="00F056FC"/>
    <w:rsid w:val="00F10476"/>
    <w:rsid w:val="00F11ADE"/>
    <w:rsid w:val="00F12F23"/>
    <w:rsid w:val="00F135D8"/>
    <w:rsid w:val="00F31299"/>
    <w:rsid w:val="00F31C0E"/>
    <w:rsid w:val="00F34DA7"/>
    <w:rsid w:val="00F3534A"/>
    <w:rsid w:val="00F35AA0"/>
    <w:rsid w:val="00F43D24"/>
    <w:rsid w:val="00F47002"/>
    <w:rsid w:val="00F50C05"/>
    <w:rsid w:val="00F51609"/>
    <w:rsid w:val="00F53631"/>
    <w:rsid w:val="00F625DE"/>
    <w:rsid w:val="00F71BC4"/>
    <w:rsid w:val="00F725D5"/>
    <w:rsid w:val="00F77B16"/>
    <w:rsid w:val="00F81006"/>
    <w:rsid w:val="00F831B1"/>
    <w:rsid w:val="00F832FF"/>
    <w:rsid w:val="00F83732"/>
    <w:rsid w:val="00F85325"/>
    <w:rsid w:val="00F86B1E"/>
    <w:rsid w:val="00F92302"/>
    <w:rsid w:val="00F97021"/>
    <w:rsid w:val="00F975F8"/>
    <w:rsid w:val="00F97FA5"/>
    <w:rsid w:val="00FA4556"/>
    <w:rsid w:val="00FA5C96"/>
    <w:rsid w:val="00FA7CC0"/>
    <w:rsid w:val="00FB1964"/>
    <w:rsid w:val="00FD1BB2"/>
    <w:rsid w:val="00FD1C34"/>
    <w:rsid w:val="00FD22B1"/>
    <w:rsid w:val="00FD38DB"/>
    <w:rsid w:val="00FD57F4"/>
    <w:rsid w:val="00FD581E"/>
    <w:rsid w:val="00FE0F23"/>
    <w:rsid w:val="00FE36F5"/>
    <w:rsid w:val="00FE5397"/>
    <w:rsid w:val="00FE5FF0"/>
    <w:rsid w:val="00FF05EB"/>
    <w:rsid w:val="00FF428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B523FB"/>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AA3E9E"/>
    <w:rPr>
      <w:sz w:val="26"/>
    </w:rPr>
  </w:style>
  <w:style w:type="character" w:customStyle="1" w:styleId="Heading3Char">
    <w:name w:val="Heading 3 Char"/>
    <w:basedOn w:val="DefaultParagraphFont"/>
    <w:link w:val="Heading3"/>
    <w:rsid w:val="00DE5B40"/>
    <w:rPr>
      <w:rFonts w:ascii="Arial" w:hAnsi="Arial"/>
      <w:b/>
      <w:sz w:val="26"/>
    </w:rPr>
  </w:style>
  <w:style w:type="character" w:customStyle="1" w:styleId="CommentTextChar">
    <w:name w:val="Comment Text Char"/>
    <w:basedOn w:val="DefaultParagraphFont"/>
    <w:link w:val="CommentText"/>
    <w:semiHidden/>
    <w:rsid w:val="00907FA7"/>
    <w:rPr>
      <w:szCs w:val="24"/>
    </w:rPr>
  </w:style>
  <w:style w:type="paragraph" w:styleId="CommentSubject">
    <w:name w:val="annotation subject"/>
    <w:basedOn w:val="CommentText"/>
    <w:next w:val="CommentText"/>
    <w:link w:val="CommentSubjectChar"/>
    <w:rsid w:val="005F004F"/>
    <w:pPr>
      <w:spacing w:before="0" w:line="240" w:lineRule="auto"/>
      <w:ind w:left="0" w:firstLine="0"/>
    </w:pPr>
    <w:rPr>
      <w:b/>
      <w:bCs/>
      <w:szCs w:val="20"/>
    </w:rPr>
  </w:style>
  <w:style w:type="character" w:customStyle="1" w:styleId="CommentSubjectChar">
    <w:name w:val="Comment Subject Char"/>
    <w:basedOn w:val="CommentTextChar"/>
    <w:link w:val="CommentSubject"/>
    <w:rsid w:val="005F004F"/>
    <w:rPr>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07FA7"/>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AA3E9E"/>
    <w:rPr>
      <w:sz w:val="26"/>
    </w:rPr>
  </w:style>
  <w:style w:type="character" w:customStyle="1" w:styleId="Heading3Char">
    <w:name w:val="Heading 3 Char"/>
    <w:basedOn w:val="DefaultParagraphFont"/>
    <w:link w:val="Heading3"/>
    <w:rsid w:val="00DE5B40"/>
    <w:rPr>
      <w:rFonts w:ascii="Arial" w:hAnsi="Arial"/>
      <w:b/>
      <w:sz w:val="26"/>
    </w:rPr>
  </w:style>
  <w:style w:type="character" w:customStyle="1" w:styleId="CommentTextChar">
    <w:name w:val="Comment Text Char"/>
    <w:basedOn w:val="DefaultParagraphFont"/>
    <w:link w:val="CommentText"/>
    <w:semiHidden/>
    <w:rsid w:val="00907FA7"/>
    <w:rPr>
      <w:szCs w:val="24"/>
    </w:rPr>
  </w:style>
  <w:style w:type="paragraph" w:styleId="CommentSubject">
    <w:name w:val="annotation subject"/>
    <w:basedOn w:val="CommentText"/>
    <w:next w:val="CommentText"/>
    <w:link w:val="CommentSubjectChar"/>
    <w:rsid w:val="005F004F"/>
    <w:pPr>
      <w:spacing w:before="0" w:line="240" w:lineRule="auto"/>
      <w:ind w:left="0" w:firstLine="0"/>
    </w:pPr>
    <w:rPr>
      <w:b/>
      <w:bCs/>
      <w:szCs w:val="20"/>
    </w:rPr>
  </w:style>
  <w:style w:type="character" w:customStyle="1" w:styleId="CommentSubjectChar">
    <w:name w:val="Comment Subject Char"/>
    <w:basedOn w:val="CommentTextChar"/>
    <w:link w:val="CommentSubject"/>
    <w:rsid w:val="005F004F"/>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01816">
      <w:bodyDiv w:val="1"/>
      <w:marLeft w:val="0"/>
      <w:marRight w:val="0"/>
      <w:marTop w:val="0"/>
      <w:marBottom w:val="0"/>
      <w:divBdr>
        <w:top w:val="none" w:sz="0" w:space="0" w:color="auto"/>
        <w:left w:val="none" w:sz="0" w:space="0" w:color="auto"/>
        <w:bottom w:val="none" w:sz="0" w:space="0" w:color="auto"/>
        <w:right w:val="none" w:sz="0" w:space="0" w:color="auto"/>
      </w:divBdr>
    </w:div>
    <w:div w:id="743532122">
      <w:bodyDiv w:val="1"/>
      <w:marLeft w:val="0"/>
      <w:marRight w:val="0"/>
      <w:marTop w:val="0"/>
      <w:marBottom w:val="0"/>
      <w:divBdr>
        <w:top w:val="none" w:sz="0" w:space="0" w:color="auto"/>
        <w:left w:val="none" w:sz="0" w:space="0" w:color="auto"/>
        <w:bottom w:val="none" w:sz="0" w:space="0" w:color="auto"/>
        <w:right w:val="none" w:sz="0" w:space="0" w:color="auto"/>
      </w:divBdr>
    </w:div>
    <w:div w:id="1244027193">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C9190-C5B2-48A2-8207-8C46BC702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2395</TotalTime>
  <Pages>35</Pages>
  <Words>9258</Words>
  <Characters>47764</Characters>
  <Application>Microsoft Office Word</Application>
  <DocSecurity>0</DocSecurity>
  <Lines>1769</Lines>
  <Paragraphs>1187</Paragraphs>
  <ScaleCrop>false</ScaleCrop>
  <HeadingPairs>
    <vt:vector size="2" baseType="variant">
      <vt:variant>
        <vt:lpstr>Title</vt:lpstr>
      </vt:variant>
      <vt:variant>
        <vt:i4>1</vt:i4>
      </vt:variant>
    </vt:vector>
  </HeadingPairs>
  <TitlesOfParts>
    <vt:vector size="1" baseType="lpstr">
      <vt:lpstr>Pathways and estimates of prevalence</vt:lpstr>
    </vt:vector>
  </TitlesOfParts>
  <Company>Productivity Commission</Company>
  <LinksUpToDate>false</LinksUpToDate>
  <CharactersWithSpaces>55835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Pathways and estimates of prevalence</dc:title>
  <dc:subject>Prevalence of transition pathways</dc:subject>
  <dc:creator>Productivity Commission</dc:creator>
  <dc:description>3.</dc:description>
  <cp:lastModifiedBy>Productivity Commission</cp:lastModifiedBy>
  <cp:revision>209</cp:revision>
  <cp:lastPrinted>2013-08-23T02:55:00Z</cp:lastPrinted>
  <dcterms:created xsi:type="dcterms:W3CDTF">2013-06-26T23:12:00Z</dcterms:created>
  <dcterms:modified xsi:type="dcterms:W3CDTF">2013-08-27T01:35:00Z</dcterms:modified>
</cp:coreProperties>
</file>