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3DFF" w:rsidRPr="00805798" w:rsidRDefault="00805798" w:rsidP="00805798">
      <w:pPr>
        <w:pStyle w:val="Chapter"/>
        <w:ind w:left="907" w:hanging="907"/>
        <w:rPr>
          <w:rFonts w:ascii="Times New Roman" w:hAnsi="Times New Roman"/>
        </w:rPr>
      </w:pPr>
      <w:bookmarkStart w:id="0" w:name="_AppendixNotByChapter"/>
      <w:bookmarkStart w:id="1" w:name="ChapterNumber"/>
      <w:bookmarkStart w:id="2" w:name="_GoBack"/>
      <w:bookmarkEnd w:id="0"/>
      <w:bookmarkEnd w:id="2"/>
      <w:r w:rsidRPr="00805798">
        <w:rPr>
          <w:rFonts w:ascii="Times New Roman" w:hAnsi="Times New Roman"/>
        </w:rPr>
        <w:t>A</w:t>
      </w:r>
      <w:bookmarkEnd w:id="1"/>
      <w:r w:rsidRPr="00805798">
        <w:rPr>
          <w:rFonts w:ascii="Times New Roman" w:hAnsi="Times New Roman"/>
        </w:rPr>
        <w:tab/>
      </w:r>
      <w:bookmarkStart w:id="3" w:name="ChapterTitle"/>
      <w:r w:rsidRPr="00805798">
        <w:rPr>
          <w:rFonts w:ascii="Times New Roman" w:hAnsi="Times New Roman"/>
        </w:rPr>
        <w:t>HILDA and the calendar data</w:t>
      </w:r>
      <w:bookmarkEnd w:id="3"/>
    </w:p>
    <w:p w:rsidR="00CC6C62" w:rsidRPr="00E36076" w:rsidRDefault="00CC6C62" w:rsidP="00E36076">
      <w:pPr>
        <w:pStyle w:val="BodyText"/>
      </w:pPr>
      <w:bookmarkStart w:id="4" w:name="begin"/>
      <w:bookmarkEnd w:id="4"/>
      <w:r w:rsidRPr="00E36076">
        <w:t xml:space="preserve">The aim of this study is to gain a better understanding of the dynamic processes of transitions </w:t>
      </w:r>
      <w:r w:rsidR="0044507A">
        <w:t>between labour market</w:t>
      </w:r>
      <w:r w:rsidRPr="00E36076">
        <w:t xml:space="preserve"> </w:t>
      </w:r>
      <w:r w:rsidR="0044507A">
        <w:t>activities</w:t>
      </w:r>
      <w:r w:rsidR="0044507A" w:rsidRPr="00E36076">
        <w:t xml:space="preserve"> </w:t>
      </w:r>
      <w:r w:rsidRPr="00E36076">
        <w:t>and education. This paper considers the transitions of youth</w:t>
      </w:r>
      <w:r w:rsidR="005F53A7" w:rsidRPr="00E36076">
        <w:t>s</w:t>
      </w:r>
      <w:r w:rsidRPr="00E36076">
        <w:t xml:space="preserve"> as well as adults and seniors. </w:t>
      </w:r>
      <w:r w:rsidR="00124B55" w:rsidRPr="00E36076">
        <w:t>T</w:t>
      </w:r>
      <w:r w:rsidR="00F478A4" w:rsidRPr="00E36076">
        <w:t xml:space="preserve">he </w:t>
      </w:r>
      <w:r w:rsidRPr="00E36076">
        <w:t>adult</w:t>
      </w:r>
      <w:r w:rsidR="00F478A4" w:rsidRPr="00E36076">
        <w:t xml:space="preserve"> category</w:t>
      </w:r>
      <w:r w:rsidRPr="00E36076">
        <w:t xml:space="preserve"> </w:t>
      </w:r>
      <w:r w:rsidR="00124B55" w:rsidRPr="00E36076">
        <w:t>is split between</w:t>
      </w:r>
      <w:r w:rsidRPr="00E36076">
        <w:t xml:space="preserve"> young adults (25–39 years old) and mature adults (40–54 years old), as it is expected that these two groups behave differently. Seniors (aged 55–64 years old) are included to analyse </w:t>
      </w:r>
      <w:r w:rsidR="00F478A4" w:rsidRPr="00E36076">
        <w:t xml:space="preserve">the </w:t>
      </w:r>
      <w:r w:rsidRPr="00E36076">
        <w:t xml:space="preserve">pathways towards retirement. </w:t>
      </w:r>
    </w:p>
    <w:p w:rsidR="00CC6C62" w:rsidRPr="00E36076" w:rsidRDefault="00EF47CE" w:rsidP="00E36076">
      <w:pPr>
        <w:pStyle w:val="BodyText"/>
      </w:pPr>
      <w:r w:rsidRPr="00E36076">
        <w:rPr>
          <w:i/>
        </w:rPr>
        <w:t xml:space="preserve">Household, Income and Labour Dynamics in Australia </w:t>
      </w:r>
      <w:r w:rsidRPr="00E36076">
        <w:t>(</w:t>
      </w:r>
      <w:r w:rsidR="00CC6C62" w:rsidRPr="00E36076">
        <w:t>HILDA</w:t>
      </w:r>
      <w:r w:rsidRPr="00E36076">
        <w:t>)</w:t>
      </w:r>
      <w:r w:rsidR="00CC6C62" w:rsidRPr="00E36076">
        <w:t xml:space="preserve"> is the only comprehensive longitudinal survey of Australians that covers all age groups of interest in this study. Ten years of data are used (from </w:t>
      </w:r>
      <w:r w:rsidR="004542DD">
        <w:t>mid-</w:t>
      </w:r>
      <w:r w:rsidR="00CC6C62" w:rsidRPr="00E36076">
        <w:t>2000</w:t>
      </w:r>
      <w:r w:rsidR="00124B55" w:rsidRPr="00E36076">
        <w:t xml:space="preserve"> to </w:t>
      </w:r>
      <w:r w:rsidR="004542DD">
        <w:t>mid-</w:t>
      </w:r>
      <w:r w:rsidR="00CC6C62" w:rsidRPr="00E36076">
        <w:t>2010).</w:t>
      </w:r>
      <w:r w:rsidR="0044507A">
        <w:rPr>
          <w:rStyle w:val="FootnoteReference"/>
        </w:rPr>
        <w:footnoteReference w:id="1"/>
      </w:r>
      <w:r w:rsidR="00CC6C62" w:rsidRPr="00E36076">
        <w:t xml:space="preserve"> </w:t>
      </w:r>
      <w:r w:rsidR="00F478A4" w:rsidRPr="00E36076">
        <w:t>Using</w:t>
      </w:r>
      <w:r w:rsidR="00CC6C62" w:rsidRPr="00E36076">
        <w:t xml:space="preserve"> </w:t>
      </w:r>
      <w:proofErr w:type="spellStart"/>
      <w:r w:rsidR="00CC6C62" w:rsidRPr="00E36076">
        <w:t>HILDA’s</w:t>
      </w:r>
      <w:proofErr w:type="spellEnd"/>
      <w:r w:rsidR="00CC6C62" w:rsidRPr="00E36076">
        <w:t xml:space="preserve"> calendar data it is possible to determine activity patterns within a year. Data collected at the time of </w:t>
      </w:r>
      <w:r w:rsidR="0044507A">
        <w:t xml:space="preserve">the </w:t>
      </w:r>
      <w:r w:rsidR="00CC6C62" w:rsidRPr="00E36076">
        <w:t xml:space="preserve">survey </w:t>
      </w:r>
      <w:r w:rsidR="00FF50CD" w:rsidRPr="00E36076">
        <w:t xml:space="preserve">(for example, </w:t>
      </w:r>
      <w:r w:rsidR="0044507A">
        <w:t xml:space="preserve">data on </w:t>
      </w:r>
      <w:r w:rsidR="00FF50CD" w:rsidRPr="00E36076">
        <w:t xml:space="preserve">individuals’ characteristics) </w:t>
      </w:r>
      <w:r w:rsidR="00CC6C62" w:rsidRPr="00E36076">
        <w:t xml:space="preserve">can be matched to </w:t>
      </w:r>
      <w:r w:rsidR="00FF50CD" w:rsidRPr="00E36076">
        <w:t>the calendar data</w:t>
      </w:r>
      <w:r w:rsidR="00CC6C62" w:rsidRPr="00E36076">
        <w:t xml:space="preserve"> to </w:t>
      </w:r>
      <w:r w:rsidR="00FF50CD" w:rsidRPr="00E36076">
        <w:t xml:space="preserve">find </w:t>
      </w:r>
      <w:r w:rsidR="00CC6C62" w:rsidRPr="00E36076">
        <w:t xml:space="preserve">possible </w:t>
      </w:r>
      <w:r w:rsidR="00124B55" w:rsidRPr="00E36076">
        <w:t>explanations for</w:t>
      </w:r>
      <w:r w:rsidR="00FF50CD" w:rsidRPr="00E36076">
        <w:t xml:space="preserve"> the patterns</w:t>
      </w:r>
      <w:r w:rsidR="00124B55" w:rsidRPr="00E36076">
        <w:t>.</w:t>
      </w:r>
    </w:p>
    <w:p w:rsidR="00CC6C62" w:rsidRPr="001E4720" w:rsidRDefault="00CC6C62" w:rsidP="00E36076">
      <w:pPr>
        <w:pStyle w:val="BodyText"/>
        <w:rPr>
          <w:rStyle w:val="DraftingNote"/>
          <w:b w:val="0"/>
          <w:color w:val="auto"/>
          <w:sz w:val="26"/>
          <w:u w:val="none"/>
        </w:rPr>
      </w:pPr>
      <w:r w:rsidRPr="00E36076">
        <w:t xml:space="preserve">This appendix describes the HILDA data used </w:t>
      </w:r>
      <w:r w:rsidR="00F478A4" w:rsidRPr="00E36076">
        <w:t>for</w:t>
      </w:r>
      <w:r w:rsidRPr="00E36076">
        <w:t xml:space="preserve"> the analysis. Section</w:t>
      </w:r>
      <w:r w:rsidR="00EF47CE" w:rsidRPr="00E36076">
        <w:t> </w:t>
      </w:r>
      <w:proofErr w:type="spellStart"/>
      <w:r w:rsidR="00805798" w:rsidRPr="00E36076">
        <w:t>A.1</w:t>
      </w:r>
      <w:proofErr w:type="spellEnd"/>
      <w:r w:rsidR="0025750F">
        <w:rPr>
          <w:lang w:eastAsia="en-US"/>
        </w:rPr>
        <w:t xml:space="preserve"> </w:t>
      </w:r>
      <w:r w:rsidRPr="00E36076">
        <w:rPr>
          <w:lang w:eastAsia="en-US"/>
        </w:rPr>
        <w:t>describes the calendar data</w:t>
      </w:r>
      <w:r w:rsidR="0044507A">
        <w:rPr>
          <w:lang w:eastAsia="en-US"/>
        </w:rPr>
        <w:t>,</w:t>
      </w:r>
      <w:r w:rsidRPr="00E36076">
        <w:rPr>
          <w:lang w:eastAsia="en-US"/>
        </w:rPr>
        <w:t xml:space="preserve"> section </w:t>
      </w:r>
      <w:proofErr w:type="spellStart"/>
      <w:r w:rsidR="00805798" w:rsidRPr="00E36076">
        <w:rPr>
          <w:lang w:eastAsia="en-US"/>
        </w:rPr>
        <w:t>A.2</w:t>
      </w:r>
      <w:proofErr w:type="spellEnd"/>
      <w:r w:rsidRPr="00E36076">
        <w:t xml:space="preserve"> describes related time of survey data, and section </w:t>
      </w:r>
      <w:proofErr w:type="spellStart"/>
      <w:r w:rsidR="00805798" w:rsidRPr="00E36076">
        <w:t>A.3</w:t>
      </w:r>
      <w:proofErr w:type="spellEnd"/>
      <w:r w:rsidRPr="00E36076">
        <w:t xml:space="preserve"> presents some caveats </w:t>
      </w:r>
      <w:r w:rsidR="00124B55" w:rsidRPr="00E36076">
        <w:t>on</w:t>
      </w:r>
      <w:r w:rsidRPr="00E36076">
        <w:t xml:space="preserve"> the results. </w:t>
      </w:r>
    </w:p>
    <w:p w:rsidR="00CC6C62" w:rsidRPr="00CF3CA1" w:rsidRDefault="00805798" w:rsidP="00E36076">
      <w:pPr>
        <w:pStyle w:val="Heading2"/>
      </w:pPr>
      <w:bookmarkStart w:id="5" w:name="OLE_LINK3"/>
      <w:proofErr w:type="spellStart"/>
      <w:r>
        <w:rPr>
          <w:rStyle w:val="DraftingNote"/>
          <w:b/>
          <w:color w:val="auto"/>
          <w:sz w:val="32"/>
          <w:u w:val="none"/>
        </w:rPr>
        <w:t>A.</w:t>
      </w:r>
      <w:r w:rsidR="00476C58">
        <w:rPr>
          <w:rStyle w:val="DraftingNote"/>
          <w:b/>
          <w:noProof/>
          <w:color w:val="auto"/>
          <w:sz w:val="32"/>
          <w:u w:val="none"/>
        </w:rPr>
        <w:t>1</w:t>
      </w:r>
      <w:bookmarkEnd w:id="5"/>
      <w:proofErr w:type="spellEnd"/>
      <w:r w:rsidR="00CC6C62" w:rsidRPr="00CF3CA1">
        <w:rPr>
          <w:rStyle w:val="DraftingNote"/>
          <w:b/>
          <w:color w:val="auto"/>
          <w:sz w:val="32"/>
          <w:u w:val="none"/>
        </w:rPr>
        <w:tab/>
      </w:r>
      <w:r w:rsidR="00CC6C62" w:rsidRPr="00CF3CA1">
        <w:t>Calendar data</w:t>
      </w:r>
    </w:p>
    <w:p w:rsidR="00CC6C62" w:rsidRPr="005520A5" w:rsidRDefault="00CC6C62" w:rsidP="00CC6C62">
      <w:pPr>
        <w:pStyle w:val="BodyText"/>
      </w:pPr>
      <w:r>
        <w:t xml:space="preserve">The HILDA calendar is a rich source of information about labour market and education activities. </w:t>
      </w:r>
      <w:r w:rsidR="00B96A6F">
        <w:t>T</w:t>
      </w:r>
      <w:r>
        <w:t>he calendar</w:t>
      </w:r>
      <w:r w:rsidR="00B96A6F">
        <w:t xml:space="preserve"> has more</w:t>
      </w:r>
      <w:r>
        <w:t xml:space="preserve"> detailed information about what has happened between annual interviews</w:t>
      </w:r>
      <w:r w:rsidR="00E379A3">
        <w:t xml:space="preserve"> compared to the annual survey data</w:t>
      </w:r>
      <w:r>
        <w:t xml:space="preserve">. </w:t>
      </w:r>
      <w:r w:rsidR="00E379A3">
        <w:t xml:space="preserve">For example, </w:t>
      </w:r>
      <w:r>
        <w:t>questions are asked about any period of unemployment</w:t>
      </w:r>
      <w:r w:rsidR="00E379A3">
        <w:t xml:space="preserve"> as part of the annual survey, but spells of unemployment between interviews are only captured in the calendar</w:t>
      </w:r>
      <w:r>
        <w:t xml:space="preserve">. </w:t>
      </w:r>
      <w:r w:rsidR="00E379A3">
        <w:t xml:space="preserve">Both sources of </w:t>
      </w:r>
      <w:r>
        <w:t xml:space="preserve">information </w:t>
      </w:r>
      <w:r w:rsidR="00E379A3">
        <w:t xml:space="preserve">are </w:t>
      </w:r>
      <w:r>
        <w:t xml:space="preserve">subject to recall error. </w:t>
      </w:r>
    </w:p>
    <w:p w:rsidR="00CC6C62" w:rsidRPr="00416271" w:rsidRDefault="00CC6C62" w:rsidP="00F65B49">
      <w:pPr>
        <w:pStyle w:val="FigureTitle"/>
      </w:pPr>
      <w:r>
        <w:rPr>
          <w:b w:val="0"/>
        </w:rPr>
        <w:lastRenderedPageBreak/>
        <w:t xml:space="preserve">Figure </w:t>
      </w:r>
      <w:bookmarkStart w:id="6" w:name="OLE_LINK8"/>
      <w:proofErr w:type="spellStart"/>
      <w:r w:rsidR="00805798">
        <w:rPr>
          <w:b w:val="0"/>
        </w:rPr>
        <w:t>A.</w:t>
      </w:r>
      <w:r w:rsidR="00476C58">
        <w:rPr>
          <w:b w:val="0"/>
          <w:noProof/>
        </w:rPr>
        <w:t>1</w:t>
      </w:r>
      <w:bookmarkEnd w:id="6"/>
      <w:proofErr w:type="spellEnd"/>
      <w:r>
        <w:tab/>
        <w:t>HILDA education and labour market calendar</w:t>
      </w:r>
      <w:r w:rsidR="00F65B49">
        <w:t>, wave 1</w:t>
      </w:r>
      <w:r w:rsidR="00416271" w:rsidRPr="00416271">
        <w:rPr>
          <w:rStyle w:val="NoteLabel"/>
          <w:b/>
        </w:rPr>
        <w:t>a</w:t>
      </w:r>
    </w:p>
    <w:tbl>
      <w:tblPr>
        <w:tblW w:w="0" w:type="auto"/>
        <w:tblInd w:w="11" w:type="dxa"/>
        <w:tblBorders>
          <w:top w:val="single" w:sz="6" w:space="0" w:color="auto"/>
          <w:bottom w:val="single" w:sz="6" w:space="0" w:color="auto"/>
        </w:tblBorders>
        <w:tblLayout w:type="fixed"/>
        <w:tblCellMar>
          <w:left w:w="0" w:type="dxa"/>
          <w:right w:w="0" w:type="dxa"/>
        </w:tblCellMar>
        <w:tblLook w:val="0000" w:firstRow="0" w:lastRow="0" w:firstColumn="0" w:lastColumn="0" w:noHBand="0" w:noVBand="0"/>
      </w:tblPr>
      <w:tblGrid>
        <w:gridCol w:w="8777"/>
      </w:tblGrid>
      <w:tr w:rsidR="00CC6C62" w:rsidTr="00CC6C62">
        <w:tc>
          <w:tcPr>
            <w:tcW w:w="8777" w:type="dxa"/>
          </w:tcPr>
          <w:p w:rsidR="00CC6C62" w:rsidRDefault="007C0E21" w:rsidP="00CC6C62">
            <w:pPr>
              <w:pStyle w:val="Figure"/>
            </w:pPr>
            <w:r>
              <w:rPr>
                <w:noProof/>
              </w:rPr>
              <w:drawing>
                <wp:inline distT="0" distB="0" distL="0" distR="0" wp14:anchorId="2A211EA7" wp14:editId="53A1B57F">
                  <wp:extent cx="5219700" cy="6807311"/>
                  <wp:effectExtent l="0" t="0" r="0" b="0"/>
                  <wp:docPr id="1" name="Picture 1" descr="HILDA education and labour market calendar, wav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l="8671" t="3901" r="8778" b="9971"/>
                          <a:stretch/>
                        </pic:blipFill>
                        <pic:spPr bwMode="auto">
                          <a:xfrm>
                            <a:off x="0" y="0"/>
                            <a:ext cx="5220958" cy="6808951"/>
                          </a:xfrm>
                          <a:prstGeom prst="rect">
                            <a:avLst/>
                          </a:prstGeom>
                          <a:ln>
                            <a:noFill/>
                          </a:ln>
                          <a:extLst>
                            <a:ext uri="{53640926-AAD7-44D8-BBD7-CCE9431645EC}">
                              <a14:shadowObscured xmlns:a14="http://schemas.microsoft.com/office/drawing/2010/main"/>
                            </a:ext>
                          </a:extLst>
                        </pic:spPr>
                      </pic:pic>
                    </a:graphicData>
                  </a:graphic>
                </wp:inline>
              </w:drawing>
            </w:r>
          </w:p>
        </w:tc>
      </w:tr>
    </w:tbl>
    <w:p w:rsidR="00CC6C62" w:rsidRDefault="00A77770" w:rsidP="004542DD">
      <w:pPr>
        <w:pStyle w:val="Note"/>
        <w:keepNext/>
      </w:pPr>
      <w:proofErr w:type="spellStart"/>
      <w:r>
        <w:rPr>
          <w:rStyle w:val="NoteLabel"/>
        </w:rPr>
        <w:t>a</w:t>
      </w:r>
      <w:proofErr w:type="spellEnd"/>
      <w:r>
        <w:t> </w:t>
      </w:r>
      <w:r w:rsidR="00CC6C62">
        <w:t>The design of the calendar was modified between wave</w:t>
      </w:r>
      <w:r w:rsidR="00F478A4">
        <w:t>s</w:t>
      </w:r>
      <w:r w:rsidR="00CC6C62">
        <w:t xml:space="preserve"> 1 and 2. In wave 1</w:t>
      </w:r>
      <w:r w:rsidR="00F478A4">
        <w:t>,</w:t>
      </w:r>
      <w:r w:rsidR="00CC6C62">
        <w:t xml:space="preserve"> the calendar distinguishe</w:t>
      </w:r>
      <w:r w:rsidR="00F478A4">
        <w:t>s</w:t>
      </w:r>
      <w:r w:rsidR="00CC6C62">
        <w:t xml:space="preserve"> between part</w:t>
      </w:r>
      <w:r w:rsidR="007C0E21">
        <w:t>-</w:t>
      </w:r>
      <w:r w:rsidR="00CC6C62">
        <w:t xml:space="preserve"> and full</w:t>
      </w:r>
      <w:r w:rsidR="007C0E21">
        <w:t>-</w:t>
      </w:r>
      <w:r w:rsidR="00CC6C62">
        <w:t>time jobs but not in subsequent waves (Summerfield et al. 201</w:t>
      </w:r>
      <w:r w:rsidR="00416271">
        <w:t>1</w:t>
      </w:r>
      <w:r w:rsidR="00CC6C62">
        <w:t xml:space="preserve">). In all waves except wave 1, the calendar asks respondents with more than one job to record the month </w:t>
      </w:r>
      <w:r w:rsidR="00416271">
        <w:t>and year they started each job.</w:t>
      </w:r>
    </w:p>
    <w:p w:rsidR="00CC6C62" w:rsidRDefault="00376DE3" w:rsidP="00DD7A4B">
      <w:pPr>
        <w:pStyle w:val="Source"/>
      </w:pPr>
      <w:r>
        <w:rPr>
          <w:i/>
        </w:rPr>
        <w:t>Source</w:t>
      </w:r>
      <w:r w:rsidRPr="00167F06">
        <w:t xml:space="preserve">: </w:t>
      </w:r>
      <w:r w:rsidRPr="00641ECC">
        <w:t>Reproduced, with permission of the Melbourne Institute of Applied Economic and Social Research</w:t>
      </w:r>
      <w:r>
        <w:t xml:space="preserve"> and the </w:t>
      </w:r>
      <w:r w:rsidRPr="00F73EC8">
        <w:t>Department of Families, Housing, Community Services and Indigenous Affairs</w:t>
      </w:r>
      <w:r w:rsidRPr="00641ECC">
        <w:t xml:space="preserve">, from </w:t>
      </w:r>
      <w:r>
        <w:t xml:space="preserve">the </w:t>
      </w:r>
      <w:r w:rsidRPr="00641ECC">
        <w:t>HILDA Survey Person Questionnaire, Wave</w:t>
      </w:r>
      <w:r>
        <w:t xml:space="preserve"> </w:t>
      </w:r>
      <w:r w:rsidRPr="00641ECC">
        <w:t>1 (http://www.melbourneinstitute.com/downloads/hilda/Questionnaires/</w:t>
      </w:r>
      <w:r>
        <w:br/>
      </w:r>
      <w:proofErr w:type="spellStart"/>
      <w:r>
        <w:t>PersonQuestionaireW1</w:t>
      </w:r>
      <w:r w:rsidRPr="00641ECC">
        <w:t>.pdf</w:t>
      </w:r>
      <w:proofErr w:type="spellEnd"/>
      <w:r w:rsidRPr="00641ECC">
        <w:t>).</w:t>
      </w:r>
    </w:p>
    <w:p w:rsidR="004542DD" w:rsidRPr="000A30EC" w:rsidRDefault="004542DD" w:rsidP="004542DD">
      <w:pPr>
        <w:pStyle w:val="BodyText"/>
      </w:pPr>
      <w:r>
        <w:lastRenderedPageBreak/>
        <w:t xml:space="preserve">At the time of the annual interview, </w:t>
      </w:r>
      <w:r w:rsidRPr="005520A5">
        <w:t xml:space="preserve">respondents </w:t>
      </w:r>
      <w:r>
        <w:t xml:space="preserve">record their status for the early, middle and latter parts of each month in the HILDA calendar. They record whether they are in </w:t>
      </w:r>
      <w:r w:rsidRPr="005520A5">
        <w:t>full</w:t>
      </w:r>
      <w:r>
        <w:noBreakHyphen/>
      </w:r>
      <w:r w:rsidRPr="005520A5">
        <w:t>time</w:t>
      </w:r>
      <w:r>
        <w:t xml:space="preserve"> study, </w:t>
      </w:r>
      <w:r w:rsidRPr="005520A5">
        <w:t>part</w:t>
      </w:r>
      <w:r>
        <w:noBreakHyphen/>
      </w:r>
      <w:r w:rsidRPr="005520A5">
        <w:t>time study, employment (</w:t>
      </w:r>
      <w:r>
        <w:t xml:space="preserve">up to twelve </w:t>
      </w:r>
      <w:r w:rsidRPr="005520A5">
        <w:t>job</w:t>
      </w:r>
      <w:r>
        <w:t>s that may overlap</w:t>
      </w:r>
      <w:r w:rsidRPr="005520A5">
        <w:t>), not employed but looking for work (</w:t>
      </w:r>
      <w:r>
        <w:t xml:space="preserve">in this study, this information measures </w:t>
      </w:r>
      <w:r w:rsidRPr="005520A5">
        <w:t>unemployment) and neither employed nor looking for work (</w:t>
      </w:r>
      <w:r>
        <w:t>the measure of not in the labour force,</w:t>
      </w:r>
      <w:r w:rsidDel="00F478A4">
        <w:t xml:space="preserve"> </w:t>
      </w:r>
      <w:proofErr w:type="spellStart"/>
      <w:r w:rsidRPr="005520A5">
        <w:t>NILF</w:t>
      </w:r>
      <w:proofErr w:type="spellEnd"/>
      <w:r w:rsidRPr="005520A5">
        <w:t>) (figure</w:t>
      </w:r>
      <w:r>
        <w:t> </w:t>
      </w:r>
      <w:proofErr w:type="spellStart"/>
      <w:r>
        <w:t>A.1</w:t>
      </w:r>
      <w:proofErr w:type="spellEnd"/>
      <w:r w:rsidRPr="005520A5">
        <w:t xml:space="preserve">). </w:t>
      </w:r>
    </w:p>
    <w:p w:rsidR="007978A1" w:rsidRPr="000A30EC" w:rsidRDefault="002455FF" w:rsidP="007978A1">
      <w:pPr>
        <w:pStyle w:val="BodyText"/>
      </w:pPr>
      <w:r>
        <w:t>R</w:t>
      </w:r>
      <w:r w:rsidR="007978A1">
        <w:t xml:space="preserve">espondents </w:t>
      </w:r>
      <w:r>
        <w:t xml:space="preserve">are instructed </w:t>
      </w:r>
      <w:r w:rsidR="007978A1">
        <w:t>to place a</w:t>
      </w:r>
      <w:r w:rsidR="007978A1" w:rsidRPr="005520A5">
        <w:t xml:space="preserve"> mark against every </w:t>
      </w:r>
      <w:r w:rsidR="007978A1">
        <w:t>month</w:t>
      </w:r>
      <w:r w:rsidR="00BF7287">
        <w:t xml:space="preserve"> </w:t>
      </w:r>
      <w:r w:rsidR="007978A1">
        <w:t>third</w:t>
      </w:r>
      <w:r w:rsidR="007978A1" w:rsidRPr="005520A5">
        <w:t xml:space="preserve"> prior to the </w:t>
      </w:r>
      <w:r w:rsidR="007978A1">
        <w:t>annual</w:t>
      </w:r>
      <w:r w:rsidR="007978A1" w:rsidRPr="005520A5">
        <w:t xml:space="preserve"> interview. Item non</w:t>
      </w:r>
      <w:r w:rsidR="007978A1">
        <w:noBreakHyphen/>
      </w:r>
      <w:r w:rsidR="007978A1" w:rsidRPr="005520A5">
        <w:t>response in the calendar would therefore be apparent.</w:t>
      </w:r>
    </w:p>
    <w:p w:rsidR="00CC6C62" w:rsidRDefault="00CC6C62" w:rsidP="00CC6C62">
      <w:pPr>
        <w:pStyle w:val="Heading3"/>
      </w:pPr>
      <w:r>
        <w:t xml:space="preserve">Removing overlaps in </w:t>
      </w:r>
      <w:r w:rsidR="00FE6A0F">
        <w:t xml:space="preserve">the </w:t>
      </w:r>
      <w:r>
        <w:t>calendar data</w:t>
      </w:r>
    </w:p>
    <w:p w:rsidR="005B719A" w:rsidRDefault="00CC6C62" w:rsidP="00C4133E">
      <w:pPr>
        <w:pStyle w:val="BodyText"/>
      </w:pPr>
      <w:r>
        <w:t xml:space="preserve">For each wave, calendar data are collected back to the start of the previous financial year. This creates overlaps in the calendar data from one wave to the next. Without allowing for overlaps there would be gaps </w:t>
      </w:r>
      <w:r w:rsidR="00D1104E">
        <w:t>between the calendars</w:t>
      </w:r>
      <w:r>
        <w:t xml:space="preserve"> because an individual is not necessarily interviewed in the same month each year.</w:t>
      </w:r>
      <w:r>
        <w:rPr>
          <w:rStyle w:val="FootnoteReference"/>
        </w:rPr>
        <w:footnoteReference w:id="2"/>
      </w:r>
      <w:r>
        <w:t xml:space="preserve"> In any given wave, interviews are conducted across a number of months, beginning in August and finishing as late as April the following year for some waves.</w:t>
      </w:r>
      <w:r>
        <w:rPr>
          <w:rStyle w:val="FootnoteReference"/>
        </w:rPr>
        <w:footnoteReference w:id="3"/>
      </w:r>
      <w:r>
        <w:t xml:space="preserve"> </w:t>
      </w:r>
    </w:p>
    <w:p w:rsidR="00CC6C62" w:rsidRDefault="00CC6C62" w:rsidP="00C4133E">
      <w:pPr>
        <w:pStyle w:val="BodyText"/>
      </w:pPr>
      <w:r w:rsidRPr="00D1104E">
        <w:t>For example, in wave 1, interviews began 24</w:t>
      </w:r>
      <w:r w:rsidR="006C28C7">
        <w:t> </w:t>
      </w:r>
      <w:r w:rsidRPr="00D1104E">
        <w:t>August</w:t>
      </w:r>
      <w:r w:rsidR="00EF47CE">
        <w:t xml:space="preserve"> </w:t>
      </w:r>
      <w:r w:rsidRPr="00D1104E">
        <w:t>2001 and finished 23 January</w:t>
      </w:r>
      <w:r w:rsidR="006C28C7">
        <w:t xml:space="preserve"> </w:t>
      </w:r>
      <w:r w:rsidRPr="00D1104E">
        <w:t>2002. For individuals interviewed in August for this wave, there</w:t>
      </w:r>
      <w:r>
        <w:t xml:space="preserve"> are nearly 14</w:t>
      </w:r>
      <w:r w:rsidR="006C28C7">
        <w:t> </w:t>
      </w:r>
      <w:r>
        <w:t>months of calendar data (collected in month</w:t>
      </w:r>
      <w:r w:rsidR="00BF7287">
        <w:t xml:space="preserve"> </w:t>
      </w:r>
      <w:r>
        <w:t xml:space="preserve">thirds), but for individuals interviewed in January, there are nearly 19 months. </w:t>
      </w:r>
    </w:p>
    <w:p w:rsidR="00CC6C62" w:rsidRDefault="00CC6C62" w:rsidP="00CC6C62">
      <w:pPr>
        <w:pStyle w:val="BodyText"/>
      </w:pPr>
      <w:r>
        <w:t>It is important to remove the overlaps from the data before they ar</w:t>
      </w:r>
      <w:r w:rsidR="006E28AA">
        <w:t>e merged into a single dataset</w:t>
      </w:r>
      <w:r>
        <w:t>. The calendar data for the financial year ending in the year of the survey are used to produce the dataset without overlaps (section </w:t>
      </w:r>
      <w:proofErr w:type="spellStart"/>
      <w:r w:rsidR="00805798">
        <w:t>A.3</w:t>
      </w:r>
      <w:proofErr w:type="spellEnd"/>
      <w:r>
        <w:t>).</w:t>
      </w:r>
    </w:p>
    <w:p w:rsidR="00CC6C62" w:rsidRDefault="00CC6C62" w:rsidP="00CC6C62">
      <w:pPr>
        <w:pStyle w:val="BodyText"/>
      </w:pPr>
      <w:r>
        <w:t>Figure </w:t>
      </w:r>
      <w:proofErr w:type="spellStart"/>
      <w:r w:rsidR="00805798">
        <w:t>A.2</w:t>
      </w:r>
      <w:proofErr w:type="spellEnd"/>
      <w:r>
        <w:t xml:space="preserve"> illustrates how this is done for two hypothetical individuals in the first two periods of overlapping data. For the first individual, the wave 1 and wave 2 data overlap between July 2001 and September 2001; for the second individual the overlap extends for a further four months to January 2002. Irrespective of the length of overlap, the second wave is the source for the </w:t>
      </w:r>
      <w:r w:rsidR="00610C9F">
        <w:t xml:space="preserve">data for </w:t>
      </w:r>
      <w:r>
        <w:t xml:space="preserve">July 2001 to June 2002. </w:t>
      </w:r>
    </w:p>
    <w:p w:rsidR="004542DD" w:rsidRDefault="004542DD" w:rsidP="00CC6C62">
      <w:pPr>
        <w:pStyle w:val="BodyText"/>
      </w:pPr>
      <w:r>
        <w:t xml:space="preserve">Similarly, the first individual is interviewed for wave 2 earlier than the second individual, but the calendar data used for July 2002 to June 2003 are from wave </w:t>
      </w:r>
      <w:r w:rsidR="002455FF">
        <w:t>3</w:t>
      </w:r>
      <w:r w:rsidR="0025750F">
        <w:t> </w:t>
      </w:r>
      <w:r>
        <w:t>for both individuals.</w:t>
      </w:r>
    </w:p>
    <w:p w:rsidR="00CC6C62" w:rsidRPr="00416271" w:rsidRDefault="00CC6C62" w:rsidP="00CC6C62">
      <w:pPr>
        <w:pStyle w:val="FigureTitle"/>
      </w:pPr>
      <w:r>
        <w:rPr>
          <w:b w:val="0"/>
        </w:rPr>
        <w:lastRenderedPageBreak/>
        <w:t xml:space="preserve">Figure </w:t>
      </w:r>
      <w:bookmarkStart w:id="7" w:name="OLE_LINK6"/>
      <w:proofErr w:type="spellStart"/>
      <w:r w:rsidR="00805798">
        <w:rPr>
          <w:b w:val="0"/>
        </w:rPr>
        <w:t>A.</w:t>
      </w:r>
      <w:r w:rsidR="00476C58">
        <w:rPr>
          <w:b w:val="0"/>
          <w:noProof/>
        </w:rPr>
        <w:t>2</w:t>
      </w:r>
      <w:bookmarkEnd w:id="7"/>
      <w:proofErr w:type="spellEnd"/>
      <w:r>
        <w:tab/>
        <w:t>An illustration of overlaps in the HILDA calendar</w:t>
      </w:r>
      <w:r w:rsidRPr="00416271">
        <w:rPr>
          <w:rStyle w:val="NoteLabel"/>
          <w:b/>
        </w:rPr>
        <w:t>a</w:t>
      </w:r>
    </w:p>
    <w:p w:rsidR="00CC6C62" w:rsidRPr="00BB36F1" w:rsidRDefault="00CC6C62" w:rsidP="00CC6C62">
      <w:pPr>
        <w:pStyle w:val="Subtitle"/>
      </w:pPr>
      <w:r w:rsidRPr="000A30EC">
        <w:t>Waves 1 to 3</w:t>
      </w:r>
    </w:p>
    <w:tbl>
      <w:tblPr>
        <w:tblW w:w="0" w:type="auto"/>
        <w:tblInd w:w="11" w:type="dxa"/>
        <w:tblBorders>
          <w:top w:val="single" w:sz="6" w:space="0" w:color="auto"/>
          <w:bottom w:val="single" w:sz="6" w:space="0" w:color="auto"/>
        </w:tblBorders>
        <w:tblLayout w:type="fixed"/>
        <w:tblCellMar>
          <w:left w:w="0" w:type="dxa"/>
          <w:right w:w="0" w:type="dxa"/>
        </w:tblCellMar>
        <w:tblLook w:val="0000" w:firstRow="0" w:lastRow="0" w:firstColumn="0" w:lastColumn="0" w:noHBand="0" w:noVBand="0"/>
      </w:tblPr>
      <w:tblGrid>
        <w:gridCol w:w="8777"/>
      </w:tblGrid>
      <w:tr w:rsidR="00CC6C62" w:rsidTr="00CC6C62">
        <w:tc>
          <w:tcPr>
            <w:tcW w:w="8777" w:type="dxa"/>
          </w:tcPr>
          <w:p w:rsidR="00CC6C62" w:rsidRDefault="00521B0C" w:rsidP="00CC6C62">
            <w:pPr>
              <w:pStyle w:val="Figure"/>
            </w:pPr>
            <w:r>
              <w:rPr>
                <w:noProof/>
              </w:rPr>
              <w:drawing>
                <wp:inline distT="0" distB="0" distL="0" distR="0" wp14:anchorId="7DBCB840" wp14:editId="4BF57DC3">
                  <wp:extent cx="5572125" cy="7229475"/>
                  <wp:effectExtent l="0" t="0" r="0" b="0"/>
                  <wp:docPr id="2" name="Picture 2" descr="An illustration of overlaps in the HILDA calendar, waves 1 to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72125" cy="7229475"/>
                          </a:xfrm>
                          <a:prstGeom prst="rect">
                            <a:avLst/>
                          </a:prstGeom>
                          <a:noFill/>
                          <a:ln>
                            <a:noFill/>
                          </a:ln>
                        </pic:spPr>
                      </pic:pic>
                    </a:graphicData>
                  </a:graphic>
                </wp:inline>
              </w:drawing>
            </w:r>
          </w:p>
        </w:tc>
      </w:tr>
    </w:tbl>
    <w:p w:rsidR="00CC6C62" w:rsidRDefault="00A77770" w:rsidP="00CC6C62">
      <w:pPr>
        <w:pStyle w:val="Note"/>
      </w:pPr>
      <w:r>
        <w:rPr>
          <w:rStyle w:val="NoteLabel"/>
        </w:rPr>
        <w:t>a</w:t>
      </w:r>
      <w:r>
        <w:t> </w:t>
      </w:r>
      <w:r w:rsidR="00CC6C62">
        <w:t>X indicates a calendar entry corresponding to a particular month for a particular wave. Entries in red text indicate overlaps. Entries with green background</w:t>
      </w:r>
      <w:r w:rsidR="0025750F">
        <w:t>s</w:t>
      </w:r>
      <w:r w:rsidR="00CC6C62">
        <w:t xml:space="preserve"> indicate those selected for analysis.</w:t>
      </w:r>
    </w:p>
    <w:p w:rsidR="00CC6C62" w:rsidRDefault="00FE6A0F" w:rsidP="00CC6C62">
      <w:pPr>
        <w:pStyle w:val="Heading3"/>
      </w:pPr>
      <w:r>
        <w:lastRenderedPageBreak/>
        <w:t>The d</w:t>
      </w:r>
      <w:r w:rsidR="00CC6C62">
        <w:t>efini</w:t>
      </w:r>
      <w:r>
        <w:t>tion of</w:t>
      </w:r>
      <w:r w:rsidR="00CC6C62">
        <w:t xml:space="preserve"> education and labour market activities</w:t>
      </w:r>
    </w:p>
    <w:p w:rsidR="00CC6C62" w:rsidRDefault="00CC6C62" w:rsidP="00CC6C62">
      <w:pPr>
        <w:pStyle w:val="BodyText"/>
      </w:pPr>
      <w:r>
        <w:t>The calendar in HILDA is unlike the calendars in other longitudinal surveys.</w:t>
      </w:r>
      <w:r>
        <w:rPr>
          <w:rStyle w:val="FootnoteReference"/>
        </w:rPr>
        <w:footnoteReference w:id="4"/>
      </w:r>
      <w:r>
        <w:t xml:space="preserve"> </w:t>
      </w:r>
      <w:r w:rsidR="004542DD">
        <w:t>In t</w:t>
      </w:r>
      <w:r>
        <w:t xml:space="preserve">he </w:t>
      </w:r>
      <w:r w:rsidRPr="00786BD8">
        <w:rPr>
          <w:i/>
        </w:rPr>
        <w:t>British Household Panel Survey</w:t>
      </w:r>
      <w:r>
        <w:t xml:space="preserve"> (</w:t>
      </w:r>
      <w:proofErr w:type="spellStart"/>
      <w:r>
        <w:t>BHPS</w:t>
      </w:r>
      <w:proofErr w:type="spellEnd"/>
      <w:r>
        <w:t xml:space="preserve">) and the </w:t>
      </w:r>
      <w:r w:rsidRPr="00786BD8">
        <w:rPr>
          <w:i/>
        </w:rPr>
        <w:t>European Community Household Panel</w:t>
      </w:r>
      <w:r>
        <w:t xml:space="preserve"> (</w:t>
      </w:r>
      <w:proofErr w:type="spellStart"/>
      <w:r>
        <w:t>ECHP</w:t>
      </w:r>
      <w:proofErr w:type="spellEnd"/>
      <w:r>
        <w:t>)</w:t>
      </w:r>
      <w:r w:rsidR="004542DD">
        <w:t>,</w:t>
      </w:r>
      <w:r>
        <w:t xml:space="preserve"> respondents indicate their main activity, </w:t>
      </w:r>
      <w:r w:rsidR="004542DD">
        <w:t>but</w:t>
      </w:r>
      <w:r>
        <w:t xml:space="preserve"> </w:t>
      </w:r>
      <w:proofErr w:type="spellStart"/>
      <w:r>
        <w:t>HILDA</w:t>
      </w:r>
      <w:r w:rsidR="004542DD">
        <w:t>’s</w:t>
      </w:r>
      <w:proofErr w:type="spellEnd"/>
      <w:r>
        <w:t xml:space="preserve"> respondents indicate their labour market and education activities in separate parts of the</w:t>
      </w:r>
      <w:r w:rsidR="00533842">
        <w:t xml:space="preserve"> calendar. The advantage of the</w:t>
      </w:r>
      <w:r>
        <w:t xml:space="preserve"> </w:t>
      </w:r>
      <w:r w:rsidR="00610C9F">
        <w:t xml:space="preserve">approach </w:t>
      </w:r>
      <w:r w:rsidR="00533842">
        <w:t xml:space="preserve">used in HILDA </w:t>
      </w:r>
      <w:r>
        <w:t xml:space="preserve">is that individuals can record when multiple activities overlap (Watson 2009). Of particular interest </w:t>
      </w:r>
      <w:r w:rsidR="00586E77">
        <w:t>are</w:t>
      </w:r>
      <w:r w:rsidR="002B4CA6">
        <w:t xml:space="preserve"> </w:t>
      </w:r>
      <w:r>
        <w:t xml:space="preserve">concurrent work and study activities. </w:t>
      </w:r>
    </w:p>
    <w:p w:rsidR="00CC6C62" w:rsidRPr="00E36076" w:rsidRDefault="00CC6C62" w:rsidP="00E36076">
      <w:pPr>
        <w:pStyle w:val="BodyText"/>
      </w:pPr>
      <w:r>
        <w:t>Youth</w:t>
      </w:r>
      <w:r w:rsidR="00533842">
        <w:t>s</w:t>
      </w:r>
      <w:r>
        <w:t xml:space="preserve"> may combine work and study while at school or further education and during the transition to full</w:t>
      </w:r>
      <w:r w:rsidR="00EF47CE">
        <w:t> </w:t>
      </w:r>
      <w:r>
        <w:t>time employment. Many individuals</w:t>
      </w:r>
      <w:r w:rsidR="00D1104E">
        <w:t xml:space="preserve"> who are</w:t>
      </w:r>
      <w:r>
        <w:t xml:space="preserve"> </w:t>
      </w:r>
      <w:r w:rsidR="00D1104E">
        <w:t xml:space="preserve">older </w:t>
      </w:r>
      <w:r w:rsidR="00610C9F">
        <w:t>than</w:t>
      </w:r>
      <w:r>
        <w:t xml:space="preserve"> </w:t>
      </w:r>
      <w:r w:rsidR="00D1104E">
        <w:t>25</w:t>
      </w:r>
      <w:r w:rsidR="003B56C4">
        <w:t> </w:t>
      </w:r>
      <w:r w:rsidR="00D1104E">
        <w:t>years</w:t>
      </w:r>
      <w:r w:rsidR="003B56C4">
        <w:t xml:space="preserve"> of age</w:t>
      </w:r>
      <w:r>
        <w:t xml:space="preserve"> have completed their secondary and tertiary education, </w:t>
      </w:r>
      <w:r w:rsidR="00610C9F">
        <w:t>although</w:t>
      </w:r>
      <w:r>
        <w:t xml:space="preserve"> some return to education at some point. </w:t>
      </w:r>
    </w:p>
    <w:p w:rsidR="00CC6C62" w:rsidRDefault="00CC6C62" w:rsidP="00E36076">
      <w:pPr>
        <w:pStyle w:val="BodyText"/>
      </w:pPr>
      <w:r w:rsidRPr="00E36076">
        <w:t xml:space="preserve">Work, </w:t>
      </w:r>
      <w:r w:rsidR="00533842">
        <w:t>study</w:t>
      </w:r>
      <w:r w:rsidRPr="00E36076">
        <w:t xml:space="preserve">, and </w:t>
      </w:r>
      <w:r w:rsidR="00533842">
        <w:t>(concurrent) work and study</w:t>
      </w:r>
      <w:r w:rsidRPr="00E36076">
        <w:t xml:space="preserve"> categories are included in the activity variable to analyse the different ways individuals develop and use their human capital at different stages of life. The activity variable also includes</w:t>
      </w:r>
      <w:r w:rsidR="002B4CA6" w:rsidRPr="00E36076">
        <w:t xml:space="preserve"> values for</w:t>
      </w:r>
      <w:r w:rsidRPr="00E36076">
        <w:t xml:space="preserve"> </w:t>
      </w:r>
      <w:r w:rsidR="00D1104E" w:rsidRPr="00E36076">
        <w:t>‘</w:t>
      </w:r>
      <w:r w:rsidRPr="00E36076">
        <w:t>unemployment</w:t>
      </w:r>
      <w:r w:rsidR="00D1104E" w:rsidRPr="00E36076">
        <w:t>’</w:t>
      </w:r>
      <w:r w:rsidRPr="00E36076">
        <w:t xml:space="preserve"> and </w:t>
      </w:r>
      <w:r w:rsidR="00D1104E" w:rsidRPr="00E36076">
        <w:t>‘</w:t>
      </w:r>
      <w:proofErr w:type="spellStart"/>
      <w:r w:rsidR="008D3944" w:rsidRPr="00E36076">
        <w:t>NILF</w:t>
      </w:r>
      <w:proofErr w:type="spellEnd"/>
      <w:r w:rsidR="00D1104E" w:rsidRPr="00E36076">
        <w:t>’</w:t>
      </w:r>
      <w:r w:rsidRPr="00E36076">
        <w:t>. This results in a single activity variable with five mutually exclusive categories</w:t>
      </w:r>
      <w:r w:rsidR="00610C9F" w:rsidRPr="00E36076">
        <w:t xml:space="preserve">. </w:t>
      </w:r>
      <w:r w:rsidR="00863D5D" w:rsidRPr="00E36076">
        <w:t>This follows</w:t>
      </w:r>
      <w:r w:rsidRPr="00E36076">
        <w:t xml:space="preserve"> the approach taken by </w:t>
      </w:r>
      <w:r>
        <w:t xml:space="preserve">Albert </w:t>
      </w:r>
      <w:proofErr w:type="spellStart"/>
      <w:r>
        <w:t>Verdú</w:t>
      </w:r>
      <w:proofErr w:type="spellEnd"/>
      <w:r>
        <w:t xml:space="preserve"> and </w:t>
      </w:r>
      <w:proofErr w:type="spellStart"/>
      <w:r>
        <w:t>Davia</w:t>
      </w:r>
      <w:proofErr w:type="spellEnd"/>
      <w:r>
        <w:t xml:space="preserve"> </w:t>
      </w:r>
      <w:r w:rsidRPr="00650C30">
        <w:t>(2010)</w:t>
      </w:r>
      <w:r>
        <w:t>.</w:t>
      </w:r>
      <w:r>
        <w:rPr>
          <w:rStyle w:val="FootnoteReference"/>
        </w:rPr>
        <w:footnoteReference w:id="5"/>
      </w:r>
      <w:r w:rsidRPr="00082EF9">
        <w:t xml:space="preserve"> </w:t>
      </w:r>
    </w:p>
    <w:p w:rsidR="00CC6C62" w:rsidRPr="00E36076" w:rsidRDefault="00CC6C62" w:rsidP="00E36076">
      <w:pPr>
        <w:pStyle w:val="BodyText"/>
      </w:pPr>
      <w:r w:rsidRPr="00E36076">
        <w:t>While it is possible to disaggregate some of these categories further (for example, into full</w:t>
      </w:r>
      <w:r w:rsidRPr="00E36076">
        <w:noBreakHyphen/>
        <w:t>time and part</w:t>
      </w:r>
      <w:r w:rsidRPr="00E36076">
        <w:noBreakHyphen/>
        <w:t xml:space="preserve">time education), this would add significantly to the complexity of the data and the computational task </w:t>
      </w:r>
      <w:r w:rsidR="00610C9F" w:rsidRPr="00E36076">
        <w:t>for</w:t>
      </w:r>
      <w:r w:rsidRPr="00E36076">
        <w:t xml:space="preserve"> </w:t>
      </w:r>
      <w:r w:rsidR="0053062B" w:rsidRPr="00E36076">
        <w:t xml:space="preserve">the </w:t>
      </w:r>
      <w:r w:rsidRPr="00E36076">
        <w:t xml:space="preserve">subsequent analysis. </w:t>
      </w:r>
    </w:p>
    <w:p w:rsidR="00CC6C62" w:rsidRDefault="00CC6C62" w:rsidP="00CC6C62">
      <w:pPr>
        <w:pStyle w:val="Heading3"/>
      </w:pPr>
      <w:r>
        <w:t xml:space="preserve">Deriving a monthly activity variable </w:t>
      </w:r>
    </w:p>
    <w:p w:rsidR="00CC6C62" w:rsidRDefault="00CC6C62" w:rsidP="00CC6C62">
      <w:pPr>
        <w:pStyle w:val="BodyText"/>
      </w:pPr>
      <w:r>
        <w:t xml:space="preserve">For this analysis, </w:t>
      </w:r>
      <w:r w:rsidR="00BE1F64">
        <w:t xml:space="preserve">the original </w:t>
      </w:r>
      <w:r>
        <w:t xml:space="preserve">calendar data are aggregated to monthly data. Aggregating the data retains most of its richness, and reduces it to a level that is practical for implementing </w:t>
      </w:r>
      <w:r w:rsidR="00053740">
        <w:t>o</w:t>
      </w:r>
      <w:r w:rsidR="00D1104E">
        <w:t xml:space="preserve">ptimal </w:t>
      </w:r>
      <w:r w:rsidR="00BD1385">
        <w:t>m</w:t>
      </w:r>
      <w:r w:rsidR="00D1104E">
        <w:t>atching and cluster analysis techniques</w:t>
      </w:r>
      <w:r w:rsidR="00124B55">
        <w:t xml:space="preserve"> (appendix</w:t>
      </w:r>
      <w:r w:rsidR="00E36076">
        <w:t> </w:t>
      </w:r>
      <w:r w:rsidR="00124B55">
        <w:t>B)</w:t>
      </w:r>
      <w:r>
        <w:t xml:space="preserve">. </w:t>
      </w:r>
    </w:p>
    <w:p w:rsidR="00CC6C62" w:rsidRPr="00DF2879" w:rsidRDefault="00CC6C62" w:rsidP="00CC6C62">
      <w:pPr>
        <w:pStyle w:val="BodyText"/>
      </w:pPr>
      <w:r>
        <w:t xml:space="preserve">In producing </w:t>
      </w:r>
      <w:r w:rsidR="008460A7">
        <w:t>the</w:t>
      </w:r>
      <w:r>
        <w:t xml:space="preserve"> monthly activity variable, three rules are applied to months that involve more than </w:t>
      </w:r>
      <w:r w:rsidR="0053062B">
        <w:t xml:space="preserve">a single </w:t>
      </w:r>
      <w:r>
        <w:t>activit</w:t>
      </w:r>
      <w:r w:rsidR="0053062B">
        <w:t>y</w:t>
      </w:r>
      <w:r>
        <w:t xml:space="preserve"> for each of the thirds (figure </w:t>
      </w:r>
      <w:proofErr w:type="spellStart"/>
      <w:r w:rsidR="00805798">
        <w:t>A.3</w:t>
      </w:r>
      <w:proofErr w:type="spellEnd"/>
      <w:r>
        <w:t xml:space="preserve">). These rules define which activity is dominant in </w:t>
      </w:r>
      <w:r w:rsidR="008460A7">
        <w:t>any</w:t>
      </w:r>
      <w:r>
        <w:t xml:space="preserve"> month</w:t>
      </w:r>
      <w:r w:rsidR="008460A7">
        <w:t>. The</w:t>
      </w:r>
      <w:r w:rsidR="0053062B">
        <w:t>y</w:t>
      </w:r>
      <w:r w:rsidR="008460A7">
        <w:t xml:space="preserve"> are </w:t>
      </w:r>
      <w:r>
        <w:t xml:space="preserve">often required for research based on labour market data </w:t>
      </w:r>
      <w:r w:rsidRPr="00DF2879">
        <w:t>(</w:t>
      </w:r>
      <w:proofErr w:type="spellStart"/>
      <w:r w:rsidRPr="00DF2879">
        <w:t>Quintini</w:t>
      </w:r>
      <w:proofErr w:type="spellEnd"/>
      <w:r w:rsidRPr="00DF2879">
        <w:t xml:space="preserve"> and </w:t>
      </w:r>
      <w:proofErr w:type="spellStart"/>
      <w:r w:rsidRPr="00DF2879">
        <w:t>Manfredi</w:t>
      </w:r>
      <w:proofErr w:type="spellEnd"/>
      <w:r w:rsidRPr="00DF2879">
        <w:t xml:space="preserve"> 2009). </w:t>
      </w:r>
    </w:p>
    <w:p w:rsidR="00CC6C62" w:rsidRDefault="00CC6C62" w:rsidP="00CC6C62">
      <w:pPr>
        <w:pStyle w:val="Heading4"/>
      </w:pPr>
      <w:r>
        <w:lastRenderedPageBreak/>
        <w:t xml:space="preserve">Rule 1: Employment and study activities dominate unemployment and </w:t>
      </w:r>
      <w:proofErr w:type="spellStart"/>
      <w:r>
        <w:t>NILF</w:t>
      </w:r>
      <w:proofErr w:type="spellEnd"/>
    </w:p>
    <w:p w:rsidR="00CC6C62" w:rsidRDefault="00CC6C62" w:rsidP="00CC6C62">
      <w:pPr>
        <w:pStyle w:val="BodyText"/>
      </w:pPr>
      <w:r>
        <w:t>If any third of the month is spent in education only</w:t>
      </w:r>
      <w:r w:rsidR="00C015FA">
        <w:t>,</w:t>
      </w:r>
      <w:r>
        <w:t xml:space="preserve"> then the activity for that month is defined as ‘</w:t>
      </w:r>
      <w:r w:rsidR="00530663">
        <w:t>education only’</w:t>
      </w:r>
      <w:r>
        <w:t>. If another month third is spent in education and employment or in employment only, the activity for the month is defined as ‘</w:t>
      </w:r>
      <w:r w:rsidR="00530663">
        <w:t>employment and education</w:t>
      </w:r>
      <w:r>
        <w:t xml:space="preserve">’. </w:t>
      </w:r>
    </w:p>
    <w:p w:rsidR="00CC6C62" w:rsidRDefault="00CC6C62" w:rsidP="00CC6C62">
      <w:pPr>
        <w:pStyle w:val="BodyText"/>
      </w:pPr>
      <w:r>
        <w:t>Education activities are represented by the circle in the middle of figure </w:t>
      </w:r>
      <w:proofErr w:type="spellStart"/>
      <w:r w:rsidR="00805798">
        <w:t>A.3</w:t>
      </w:r>
      <w:proofErr w:type="spellEnd"/>
      <w:r>
        <w:t xml:space="preserve">. Education overlapping with </w:t>
      </w:r>
      <w:proofErr w:type="spellStart"/>
      <w:r>
        <w:t>NILF</w:t>
      </w:r>
      <w:proofErr w:type="spellEnd"/>
      <w:r>
        <w:t xml:space="preserve"> or unemployment indicates that part of the month’s activity was recorded as </w:t>
      </w:r>
      <w:proofErr w:type="spellStart"/>
      <w:r>
        <w:t>NILF</w:t>
      </w:r>
      <w:proofErr w:type="spellEnd"/>
      <w:r>
        <w:t xml:space="preserve"> or unemployment, but the activity for the whole month is categorised as ‘</w:t>
      </w:r>
      <w:r w:rsidR="00530663">
        <w:t xml:space="preserve">education only’ </w:t>
      </w:r>
      <w:r>
        <w:t>(purple). Whe</w:t>
      </w:r>
      <w:r w:rsidR="008460A7">
        <w:t>n</w:t>
      </w:r>
      <w:r>
        <w:t xml:space="preserve"> education overlaps with employment, this is categorised as ‘</w:t>
      </w:r>
      <w:r w:rsidR="00530663">
        <w:t>employment and education</w:t>
      </w:r>
      <w:r>
        <w:t xml:space="preserve">’ (brown), regardless of whether one month third is spent in </w:t>
      </w:r>
      <w:proofErr w:type="spellStart"/>
      <w:r>
        <w:t>NILF</w:t>
      </w:r>
      <w:proofErr w:type="spellEnd"/>
      <w:r>
        <w:t xml:space="preserve"> or unemployment.</w:t>
      </w:r>
    </w:p>
    <w:p w:rsidR="00CC6C62" w:rsidRPr="00A77770" w:rsidRDefault="00CC6C62" w:rsidP="00CC6C62">
      <w:pPr>
        <w:pStyle w:val="FigureTitle"/>
        <w:rPr>
          <w:rStyle w:val="NoteLabel"/>
        </w:rPr>
      </w:pPr>
      <w:r>
        <w:rPr>
          <w:b w:val="0"/>
        </w:rPr>
        <w:t xml:space="preserve">Figure </w:t>
      </w:r>
      <w:bookmarkStart w:id="8" w:name="OLE_LINK2"/>
      <w:proofErr w:type="spellStart"/>
      <w:r w:rsidR="00805798">
        <w:rPr>
          <w:b w:val="0"/>
        </w:rPr>
        <w:t>A.</w:t>
      </w:r>
      <w:r w:rsidR="00476C58">
        <w:rPr>
          <w:b w:val="0"/>
          <w:noProof/>
        </w:rPr>
        <w:t>3</w:t>
      </w:r>
      <w:bookmarkEnd w:id="8"/>
      <w:proofErr w:type="spellEnd"/>
      <w:r>
        <w:tab/>
        <w:t>Aggregating activities over time — d</w:t>
      </w:r>
      <w:r w:rsidRPr="00677630">
        <w:t xml:space="preserve">efining mutually exclusive and exhaustive activities </w:t>
      </w:r>
      <w:r>
        <w:t>for</w:t>
      </w:r>
      <w:r w:rsidRPr="00677630">
        <w:t xml:space="preserve"> HILDA</w:t>
      </w:r>
      <w:r w:rsidR="00A77770" w:rsidRPr="00A77770">
        <w:rPr>
          <w:rStyle w:val="NoteLabel"/>
          <w:b/>
        </w:rPr>
        <w:t>a</w:t>
      </w:r>
    </w:p>
    <w:tbl>
      <w:tblPr>
        <w:tblW w:w="0" w:type="auto"/>
        <w:tblInd w:w="11" w:type="dxa"/>
        <w:tblBorders>
          <w:top w:val="single" w:sz="6" w:space="0" w:color="auto"/>
          <w:bottom w:val="single" w:sz="6" w:space="0" w:color="auto"/>
        </w:tblBorders>
        <w:tblLayout w:type="fixed"/>
        <w:tblCellMar>
          <w:left w:w="0" w:type="dxa"/>
          <w:right w:w="0" w:type="dxa"/>
        </w:tblCellMar>
        <w:tblLook w:val="0000" w:firstRow="0" w:lastRow="0" w:firstColumn="0" w:lastColumn="0" w:noHBand="0" w:noVBand="0"/>
      </w:tblPr>
      <w:tblGrid>
        <w:gridCol w:w="8777"/>
      </w:tblGrid>
      <w:tr w:rsidR="00CC6C62" w:rsidTr="00CC6C62">
        <w:tc>
          <w:tcPr>
            <w:tcW w:w="8777" w:type="dxa"/>
          </w:tcPr>
          <w:p w:rsidR="00CC6C62" w:rsidRDefault="00CC6C62" w:rsidP="00CC6C62">
            <w:pPr>
              <w:pStyle w:val="Figure"/>
            </w:pPr>
            <w:r>
              <w:rPr>
                <w:noProof/>
              </w:rPr>
              <w:drawing>
                <wp:inline distT="0" distB="0" distL="0" distR="0" wp14:anchorId="23E68E1D" wp14:editId="5EE6B411">
                  <wp:extent cx="5000626" cy="4051788"/>
                  <wp:effectExtent l="0" t="0" r="0" b="6350"/>
                  <wp:docPr id="27" name="Picture 27" descr="Aggregating activites over time - defining mutually exclusive and exhaustive activities for HIL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00626" cy="4051788"/>
                          </a:xfrm>
                          <a:prstGeom prst="rect">
                            <a:avLst/>
                          </a:prstGeom>
                          <a:noFill/>
                          <a:ln>
                            <a:noFill/>
                          </a:ln>
                        </pic:spPr>
                      </pic:pic>
                    </a:graphicData>
                  </a:graphic>
                </wp:inline>
              </w:drawing>
            </w:r>
          </w:p>
        </w:tc>
      </w:tr>
    </w:tbl>
    <w:p w:rsidR="00CC6C62" w:rsidRPr="005F6498" w:rsidRDefault="00A77770" w:rsidP="00CC6C62">
      <w:pPr>
        <w:pStyle w:val="Note"/>
      </w:pPr>
      <w:r>
        <w:rPr>
          <w:rStyle w:val="NoteLabel"/>
        </w:rPr>
        <w:t>a</w:t>
      </w:r>
      <w:r>
        <w:t> </w:t>
      </w:r>
      <w:r w:rsidR="00CC6C62">
        <w:t>Based on the HILDA calendar, the labour market state of unemployment is defined as not being employed but looking for work.</w:t>
      </w:r>
    </w:p>
    <w:p w:rsidR="00CC6C62" w:rsidRDefault="00376DE3" w:rsidP="00CC6C62">
      <w:pPr>
        <w:pStyle w:val="Heading4"/>
      </w:pPr>
      <w:r>
        <w:lastRenderedPageBreak/>
        <w:t xml:space="preserve">Rule 2: Employment dominates unemployment or </w:t>
      </w:r>
      <w:proofErr w:type="spellStart"/>
      <w:r>
        <w:t>NILF</w:t>
      </w:r>
      <w:proofErr w:type="spellEnd"/>
    </w:p>
    <w:p w:rsidR="00CC6C62" w:rsidRDefault="00CC6C62" w:rsidP="00CC6C62">
      <w:pPr>
        <w:pStyle w:val="BodyText"/>
      </w:pPr>
      <w:r>
        <w:t xml:space="preserve">For months that do not involve any education, a month third spent in employment dominates any unemployment or </w:t>
      </w:r>
      <w:proofErr w:type="spellStart"/>
      <w:r>
        <w:t>NILF</w:t>
      </w:r>
      <w:proofErr w:type="spellEnd"/>
      <w:r>
        <w:t xml:space="preserve"> in the same month, and the value ‘</w:t>
      </w:r>
      <w:r w:rsidR="00530663">
        <w:t xml:space="preserve">employment only’ </w:t>
      </w:r>
      <w:r>
        <w:t xml:space="preserve">is allocated to the activity variable. </w:t>
      </w:r>
    </w:p>
    <w:p w:rsidR="00CC6C62" w:rsidRDefault="00CC6C62" w:rsidP="00CC6C62">
      <w:pPr>
        <w:pStyle w:val="Heading4"/>
      </w:pPr>
      <w:r>
        <w:t xml:space="preserve">Rule 3: Unemployment dominates </w:t>
      </w:r>
      <w:proofErr w:type="spellStart"/>
      <w:r>
        <w:t>NILF</w:t>
      </w:r>
      <w:proofErr w:type="spellEnd"/>
    </w:p>
    <w:p w:rsidR="00CC6C62" w:rsidRDefault="00CC6C62" w:rsidP="00CC6C62">
      <w:pPr>
        <w:pStyle w:val="BodyText"/>
      </w:pPr>
      <w:r>
        <w:t xml:space="preserve">If part of the month is spent in unemployment and another in </w:t>
      </w:r>
      <w:proofErr w:type="spellStart"/>
      <w:r>
        <w:t>NILF</w:t>
      </w:r>
      <w:proofErr w:type="spellEnd"/>
      <w:r>
        <w:t xml:space="preserve">, the month is allocated to unemployment. </w:t>
      </w:r>
      <w:proofErr w:type="spellStart"/>
      <w:r>
        <w:t>NILF</w:t>
      </w:r>
      <w:proofErr w:type="spellEnd"/>
      <w:r>
        <w:t xml:space="preserve"> is only recorded as the activity for a month if the whole month is spent </w:t>
      </w:r>
      <w:r w:rsidR="0053062B">
        <w:t>outside the labour force</w:t>
      </w:r>
      <w:r>
        <w:t xml:space="preserve">. </w:t>
      </w:r>
    </w:p>
    <w:p w:rsidR="00530663" w:rsidRDefault="00C4133E" w:rsidP="00530663">
      <w:pPr>
        <w:pStyle w:val="BodyText"/>
      </w:pPr>
      <w:r>
        <w:t xml:space="preserve">The </w:t>
      </w:r>
      <w:r w:rsidR="00FC3B99">
        <w:t>use</w:t>
      </w:r>
      <w:r>
        <w:t xml:space="preserve"> of these rules has implications for the data. The data may </w:t>
      </w:r>
      <w:r w:rsidR="00FC3B99">
        <w:t>indicate that</w:t>
      </w:r>
      <w:r>
        <w:t xml:space="preserve"> employment</w:t>
      </w:r>
      <w:r w:rsidR="00530663">
        <w:t xml:space="preserve"> </w:t>
      </w:r>
      <w:r w:rsidR="00FC3B99">
        <w:t>is</w:t>
      </w:r>
      <w:r w:rsidR="00530663">
        <w:t xml:space="preserve"> more stable than it actually is</w:t>
      </w:r>
      <w:r>
        <w:t xml:space="preserve"> because it dominates other labour market states in the aggregation process</w:t>
      </w:r>
      <w:r w:rsidR="00530663">
        <w:t xml:space="preserve">. </w:t>
      </w:r>
      <w:r w:rsidR="00533842">
        <w:t xml:space="preserve">If unemployment or </w:t>
      </w:r>
      <w:proofErr w:type="spellStart"/>
      <w:r w:rsidR="00533842">
        <w:t>NILF</w:t>
      </w:r>
      <w:proofErr w:type="spellEnd"/>
      <w:r w:rsidR="00533842">
        <w:t xml:space="preserve"> lasted less than a month, s</w:t>
      </w:r>
      <w:r w:rsidR="00530663">
        <w:t xml:space="preserve">pells of employment may appear longer than they </w:t>
      </w:r>
      <w:r w:rsidR="00533842">
        <w:t xml:space="preserve">actually </w:t>
      </w:r>
      <w:r w:rsidR="00530663">
        <w:t xml:space="preserve">are. </w:t>
      </w:r>
    </w:p>
    <w:p w:rsidR="00530663" w:rsidRDefault="00530663" w:rsidP="00530663">
      <w:pPr>
        <w:pStyle w:val="BodyText"/>
      </w:pPr>
      <w:r>
        <w:t xml:space="preserve">Similarly, the length of education spells could be overestimated. This could result in an underestimate of the occurrence of spells of unemployment and </w:t>
      </w:r>
      <w:proofErr w:type="spellStart"/>
      <w:r>
        <w:t>NILF</w:t>
      </w:r>
      <w:proofErr w:type="spellEnd"/>
      <w:r>
        <w:t xml:space="preserve"> lasting less than a month. It could also reduce the spell length of </w:t>
      </w:r>
      <w:proofErr w:type="spellStart"/>
      <w:r>
        <w:t>NILF</w:t>
      </w:r>
      <w:proofErr w:type="spellEnd"/>
      <w:r>
        <w:t xml:space="preserve"> and unemployment activities lasting more than a month. </w:t>
      </w:r>
    </w:p>
    <w:p w:rsidR="00530663" w:rsidRPr="00416271" w:rsidRDefault="00530663" w:rsidP="00530663">
      <w:pPr>
        <w:pStyle w:val="BodyText"/>
      </w:pPr>
      <w:r>
        <w:t xml:space="preserve">A consequence of employment dominating </w:t>
      </w:r>
      <w:r w:rsidR="00927C58">
        <w:t>unemployment</w:t>
      </w:r>
      <w:r>
        <w:t xml:space="preserve"> is that unemployment rates could be underestimated and employment rates could be overestimated. With employment and unemployment dominating </w:t>
      </w:r>
      <w:proofErr w:type="spellStart"/>
      <w:r>
        <w:t>NILF</w:t>
      </w:r>
      <w:proofErr w:type="spellEnd"/>
      <w:r>
        <w:t>, participation rates could be overestimated.</w:t>
      </w:r>
      <w:r w:rsidR="00AB69DF">
        <w:rPr>
          <w:rStyle w:val="FootnoteReference"/>
        </w:rPr>
        <w:footnoteReference w:id="6"/>
      </w:r>
    </w:p>
    <w:p w:rsidR="00CC6C62" w:rsidRDefault="00CC6C62" w:rsidP="00CC6C62">
      <w:pPr>
        <w:pStyle w:val="Heading3"/>
      </w:pPr>
      <w:r>
        <w:t xml:space="preserve">Forming an activity calendar of 120 months </w:t>
      </w:r>
    </w:p>
    <w:p w:rsidR="00CC6C62" w:rsidRDefault="00CC6C62" w:rsidP="00CC6C62">
      <w:pPr>
        <w:pStyle w:val="BodyText"/>
      </w:pPr>
      <w:r>
        <w:t xml:space="preserve">The dataset </w:t>
      </w:r>
      <w:r w:rsidR="008460A7">
        <w:t>comprises</w:t>
      </w:r>
      <w:r>
        <w:t xml:space="preserve"> individuals with full calendars only. </w:t>
      </w:r>
      <w:r w:rsidR="0053062B">
        <w:t>That is, individuals</w:t>
      </w:r>
      <w:r>
        <w:t xml:space="preserve"> must have participated in the survey each year, and be original HILDA sample members. The dataset therefore excludes those who did not respond to the survey in one or more years and individuals who were too young to be interviewed at the time of the first survey (including those who turned 15 years of age within the ten years). It also excludes new sample members (see Summerfield et al. (2011) for more information about the different sample member types in HILDA).</w:t>
      </w:r>
      <w:r w:rsidDel="00717775">
        <w:t xml:space="preserve"> </w:t>
      </w:r>
    </w:p>
    <w:p w:rsidR="00C4133E" w:rsidRPr="00E96586" w:rsidRDefault="00C4133E" w:rsidP="00CC6C62">
      <w:pPr>
        <w:pStyle w:val="BodyText"/>
      </w:pPr>
      <w:r>
        <w:lastRenderedPageBreak/>
        <w:t xml:space="preserve">As a result of these exclusions, </w:t>
      </w:r>
      <w:r w:rsidR="007A4791">
        <w:t xml:space="preserve">for this paper, </w:t>
      </w:r>
      <w:r>
        <w:t xml:space="preserve">the </w:t>
      </w:r>
      <w:r w:rsidR="007A4791">
        <w:t xml:space="preserve">original </w:t>
      </w:r>
      <w:r>
        <w:t xml:space="preserve">sample of </w:t>
      </w:r>
      <w:r w:rsidR="00945894">
        <w:t>19</w:t>
      </w:r>
      <w:r w:rsidR="00D06CAD">
        <w:t> </w:t>
      </w:r>
      <w:r w:rsidR="00945894">
        <w:t>914</w:t>
      </w:r>
      <w:r>
        <w:t xml:space="preserve"> individuals who </w:t>
      </w:r>
      <w:r w:rsidR="007A4791">
        <w:t>were enumerated</w:t>
      </w:r>
      <w:r>
        <w:t xml:space="preserve"> </w:t>
      </w:r>
      <w:r w:rsidR="007A4791">
        <w:t>in</w:t>
      </w:r>
      <w:r>
        <w:t xml:space="preserve"> the first survey is reduced to </w:t>
      </w:r>
      <w:r w:rsidR="00945894">
        <w:t>a sub</w:t>
      </w:r>
      <w:r w:rsidR="00945894">
        <w:noBreakHyphen/>
        <w:t xml:space="preserve">sample of 6566 </w:t>
      </w:r>
      <w:r w:rsidR="007A4791">
        <w:t xml:space="preserve">fully-responding </w:t>
      </w:r>
      <w:r w:rsidR="00945894">
        <w:t xml:space="preserve">individuals </w:t>
      </w:r>
      <w:r w:rsidR="007A4791">
        <w:t xml:space="preserve">of working age in 2001 </w:t>
      </w:r>
      <w:r>
        <w:t>(</w:t>
      </w:r>
      <w:r w:rsidR="00945894">
        <w:t xml:space="preserve">this is </w:t>
      </w:r>
      <w:r>
        <w:t>discussed further in section </w:t>
      </w:r>
      <w:proofErr w:type="spellStart"/>
      <w:r w:rsidR="00805798">
        <w:t>A.3</w:t>
      </w:r>
      <w:proofErr w:type="spellEnd"/>
      <w:r>
        <w:t>).</w:t>
      </w:r>
    </w:p>
    <w:p w:rsidR="00CC6C62" w:rsidRPr="00E36076" w:rsidRDefault="00805798" w:rsidP="00E36076">
      <w:pPr>
        <w:pStyle w:val="Heading2"/>
      </w:pPr>
      <w:bookmarkStart w:id="9" w:name="OLE_LINK5"/>
      <w:proofErr w:type="spellStart"/>
      <w:r w:rsidRPr="00E36076">
        <w:t>A.</w:t>
      </w:r>
      <w:r w:rsidR="00476C58">
        <w:rPr>
          <w:noProof/>
        </w:rPr>
        <w:t>2</w:t>
      </w:r>
      <w:bookmarkEnd w:id="9"/>
      <w:proofErr w:type="spellEnd"/>
      <w:r w:rsidR="00CC6C62" w:rsidRPr="00E36076">
        <w:tab/>
        <w:t>Time of survey data</w:t>
      </w:r>
    </w:p>
    <w:p w:rsidR="00CC6C62" w:rsidRPr="00E36076" w:rsidRDefault="00CC6C62" w:rsidP="00E36076">
      <w:pPr>
        <w:pStyle w:val="BodyText"/>
        <w:rPr>
          <w:rStyle w:val="DraftingNote"/>
          <w:b w:val="0"/>
          <w:color w:val="auto"/>
          <w:sz w:val="26"/>
          <w:u w:val="none"/>
        </w:rPr>
      </w:pPr>
      <w:r w:rsidRPr="00E36076">
        <w:rPr>
          <w:rStyle w:val="DraftingNote"/>
          <w:b w:val="0"/>
          <w:color w:val="auto"/>
          <w:sz w:val="26"/>
          <w:u w:val="none"/>
        </w:rPr>
        <w:t xml:space="preserve">The calendar data are used to identify activities over time and </w:t>
      </w:r>
      <w:r w:rsidR="001D327C">
        <w:rPr>
          <w:rStyle w:val="DraftingNote"/>
          <w:b w:val="0"/>
          <w:color w:val="auto"/>
          <w:sz w:val="26"/>
          <w:u w:val="none"/>
        </w:rPr>
        <w:t>in grouping</w:t>
      </w:r>
      <w:r w:rsidRPr="00E36076">
        <w:rPr>
          <w:rStyle w:val="DraftingNote"/>
          <w:b w:val="0"/>
          <w:color w:val="auto"/>
          <w:sz w:val="26"/>
          <w:u w:val="none"/>
        </w:rPr>
        <w:t xml:space="preserve"> individuals with similar patterns</w:t>
      </w:r>
      <w:r w:rsidR="001D327C">
        <w:rPr>
          <w:rStyle w:val="DraftingNote"/>
          <w:b w:val="0"/>
          <w:color w:val="auto"/>
          <w:sz w:val="26"/>
          <w:u w:val="none"/>
        </w:rPr>
        <w:t xml:space="preserve"> of activities</w:t>
      </w:r>
      <w:r w:rsidRPr="00E36076">
        <w:rPr>
          <w:rStyle w:val="DraftingNote"/>
          <w:b w:val="0"/>
          <w:color w:val="auto"/>
          <w:sz w:val="26"/>
          <w:u w:val="none"/>
        </w:rPr>
        <w:t xml:space="preserve">. </w:t>
      </w:r>
      <w:r w:rsidR="003427FE" w:rsidRPr="00E36076">
        <w:rPr>
          <w:rStyle w:val="DraftingNote"/>
          <w:b w:val="0"/>
          <w:color w:val="auto"/>
          <w:sz w:val="26"/>
          <w:u w:val="none"/>
        </w:rPr>
        <w:t>Other i</w:t>
      </w:r>
      <w:r w:rsidRPr="00E36076">
        <w:rPr>
          <w:rStyle w:val="DraftingNote"/>
          <w:b w:val="0"/>
          <w:color w:val="auto"/>
          <w:sz w:val="26"/>
          <w:u w:val="none"/>
        </w:rPr>
        <w:t>nformation about individual characteristics</w:t>
      </w:r>
      <w:r w:rsidR="001D327C">
        <w:rPr>
          <w:rStyle w:val="DraftingNote"/>
          <w:b w:val="0"/>
          <w:color w:val="auto"/>
          <w:sz w:val="26"/>
          <w:u w:val="none"/>
        </w:rPr>
        <w:t>, drawn from other parts of the annual survey,</w:t>
      </w:r>
      <w:r w:rsidRPr="00E36076">
        <w:rPr>
          <w:rStyle w:val="DraftingNote"/>
          <w:b w:val="0"/>
          <w:color w:val="auto"/>
          <w:sz w:val="26"/>
          <w:u w:val="none"/>
        </w:rPr>
        <w:t xml:space="preserve"> is labelled time of survey </w:t>
      </w:r>
      <w:r w:rsidR="007A4791">
        <w:rPr>
          <w:rStyle w:val="DraftingNote"/>
          <w:b w:val="0"/>
          <w:color w:val="auto"/>
          <w:sz w:val="26"/>
          <w:u w:val="none"/>
        </w:rPr>
        <w:t>(</w:t>
      </w:r>
      <w:proofErr w:type="spellStart"/>
      <w:r w:rsidR="007A4791">
        <w:rPr>
          <w:rStyle w:val="DraftingNote"/>
          <w:b w:val="0"/>
          <w:color w:val="auto"/>
          <w:sz w:val="26"/>
          <w:u w:val="none"/>
        </w:rPr>
        <w:t>TOS</w:t>
      </w:r>
      <w:proofErr w:type="spellEnd"/>
      <w:r w:rsidR="007A4791">
        <w:rPr>
          <w:rStyle w:val="DraftingNote"/>
          <w:b w:val="0"/>
          <w:color w:val="auto"/>
          <w:sz w:val="26"/>
          <w:u w:val="none"/>
        </w:rPr>
        <w:t xml:space="preserve">) </w:t>
      </w:r>
      <w:r w:rsidRPr="00E36076">
        <w:rPr>
          <w:rStyle w:val="DraftingNote"/>
          <w:b w:val="0"/>
          <w:color w:val="auto"/>
          <w:sz w:val="26"/>
          <w:u w:val="none"/>
        </w:rPr>
        <w:t>data</w:t>
      </w:r>
      <w:r w:rsidR="003427FE" w:rsidRPr="00E36076">
        <w:rPr>
          <w:rStyle w:val="DraftingNote"/>
          <w:b w:val="0"/>
          <w:color w:val="auto"/>
          <w:sz w:val="26"/>
          <w:u w:val="none"/>
        </w:rPr>
        <w:t xml:space="preserve">. </w:t>
      </w:r>
      <w:proofErr w:type="spellStart"/>
      <w:r w:rsidR="007A4791">
        <w:rPr>
          <w:rStyle w:val="DraftingNote"/>
          <w:b w:val="0"/>
          <w:color w:val="auto"/>
          <w:sz w:val="26"/>
          <w:u w:val="none"/>
        </w:rPr>
        <w:t>TOS</w:t>
      </w:r>
      <w:proofErr w:type="spellEnd"/>
      <w:r w:rsidRPr="00E36076">
        <w:rPr>
          <w:rStyle w:val="DraftingNote"/>
          <w:b w:val="0"/>
          <w:color w:val="auto"/>
          <w:sz w:val="26"/>
          <w:u w:val="none"/>
        </w:rPr>
        <w:t xml:space="preserve"> data serve several purposes in this paper:</w:t>
      </w:r>
    </w:p>
    <w:p w:rsidR="00CC6C62" w:rsidRPr="00E36076" w:rsidRDefault="00EA775B" w:rsidP="00E36076">
      <w:pPr>
        <w:pStyle w:val="ListBullet"/>
        <w:rPr>
          <w:rStyle w:val="DraftingNote"/>
          <w:b w:val="0"/>
          <w:color w:val="auto"/>
          <w:sz w:val="26"/>
          <w:u w:val="none"/>
        </w:rPr>
      </w:pPr>
      <w:r w:rsidRPr="00E36076">
        <w:rPr>
          <w:rStyle w:val="DraftingNote"/>
          <w:b w:val="0"/>
          <w:color w:val="auto"/>
          <w:sz w:val="26"/>
          <w:u w:val="none"/>
        </w:rPr>
        <w:t xml:space="preserve">as </w:t>
      </w:r>
      <w:r w:rsidR="00CC6C62" w:rsidRPr="00E36076">
        <w:rPr>
          <w:rStyle w:val="DraftingNote"/>
          <w:b w:val="0"/>
          <w:color w:val="auto"/>
          <w:sz w:val="26"/>
          <w:u w:val="none"/>
        </w:rPr>
        <w:t>add</w:t>
      </w:r>
      <w:r w:rsidRPr="00E36076">
        <w:rPr>
          <w:rStyle w:val="DraftingNote"/>
          <w:b w:val="0"/>
          <w:color w:val="auto"/>
          <w:sz w:val="26"/>
          <w:u w:val="none"/>
        </w:rPr>
        <w:t>itional</w:t>
      </w:r>
      <w:r w:rsidR="00CC6C62" w:rsidRPr="00E36076">
        <w:rPr>
          <w:rStyle w:val="DraftingNote"/>
          <w:b w:val="0"/>
          <w:color w:val="auto"/>
          <w:sz w:val="26"/>
          <w:u w:val="none"/>
        </w:rPr>
        <w:t xml:space="preserve"> information about the activities (for example, occupation, level of study, full</w:t>
      </w:r>
      <w:r w:rsidR="00C6017F">
        <w:rPr>
          <w:rStyle w:val="DraftingNote"/>
          <w:b w:val="0"/>
          <w:color w:val="auto"/>
          <w:sz w:val="26"/>
          <w:u w:val="none"/>
        </w:rPr>
        <w:noBreakHyphen/>
      </w:r>
      <w:r w:rsidR="00CC6C62" w:rsidRPr="00E36076">
        <w:rPr>
          <w:rStyle w:val="DraftingNote"/>
          <w:b w:val="0"/>
          <w:color w:val="auto"/>
          <w:sz w:val="26"/>
          <w:u w:val="none"/>
        </w:rPr>
        <w:t>time or part</w:t>
      </w:r>
      <w:r w:rsidR="00C6017F">
        <w:rPr>
          <w:rStyle w:val="DraftingNote"/>
          <w:b w:val="0"/>
          <w:color w:val="auto"/>
          <w:sz w:val="26"/>
          <w:u w:val="none"/>
        </w:rPr>
        <w:noBreakHyphen/>
      </w:r>
      <w:r w:rsidR="00CC6C62" w:rsidRPr="00E36076">
        <w:rPr>
          <w:rStyle w:val="DraftingNote"/>
          <w:b w:val="0"/>
          <w:color w:val="auto"/>
          <w:sz w:val="26"/>
          <w:u w:val="none"/>
        </w:rPr>
        <w:t>time status</w:t>
      </w:r>
      <w:r w:rsidR="007A4791">
        <w:rPr>
          <w:rStyle w:val="DraftingNote"/>
          <w:b w:val="0"/>
          <w:color w:val="auto"/>
          <w:sz w:val="26"/>
          <w:u w:val="none"/>
        </w:rPr>
        <w:t xml:space="preserve"> for work and </w:t>
      </w:r>
      <w:r w:rsidR="00F26230">
        <w:rPr>
          <w:rStyle w:val="DraftingNote"/>
          <w:b w:val="0"/>
          <w:color w:val="auto"/>
          <w:sz w:val="26"/>
          <w:u w:val="none"/>
        </w:rPr>
        <w:t xml:space="preserve">for </w:t>
      </w:r>
      <w:r w:rsidR="007A4791">
        <w:rPr>
          <w:rStyle w:val="DraftingNote"/>
          <w:b w:val="0"/>
          <w:color w:val="auto"/>
          <w:sz w:val="26"/>
          <w:u w:val="none"/>
        </w:rPr>
        <w:t>study</w:t>
      </w:r>
      <w:r w:rsidR="00CC6C62" w:rsidRPr="00E36076">
        <w:rPr>
          <w:rStyle w:val="DraftingNote"/>
          <w:b w:val="0"/>
          <w:color w:val="auto"/>
          <w:sz w:val="26"/>
          <w:u w:val="none"/>
        </w:rPr>
        <w:t>)</w:t>
      </w:r>
    </w:p>
    <w:p w:rsidR="00CC6C62" w:rsidRPr="00E36076" w:rsidRDefault="00CC6C62" w:rsidP="00E36076">
      <w:pPr>
        <w:pStyle w:val="ListBullet"/>
        <w:rPr>
          <w:rStyle w:val="DraftingNote"/>
          <w:b w:val="0"/>
          <w:color w:val="auto"/>
          <w:sz w:val="26"/>
          <w:u w:val="none"/>
        </w:rPr>
      </w:pPr>
      <w:r w:rsidRPr="00E36076">
        <w:rPr>
          <w:rStyle w:val="DraftingNote"/>
          <w:b w:val="0"/>
          <w:color w:val="auto"/>
          <w:sz w:val="26"/>
          <w:u w:val="none"/>
        </w:rPr>
        <w:t>to infer a reason for these activities (for example, illness/disability, caring responsibilities)</w:t>
      </w:r>
    </w:p>
    <w:p w:rsidR="00CC6C62" w:rsidRPr="00E36076" w:rsidRDefault="00CC6C62" w:rsidP="00E36076">
      <w:pPr>
        <w:pStyle w:val="ListBullet"/>
        <w:rPr>
          <w:rStyle w:val="DraftingNote"/>
          <w:b w:val="0"/>
          <w:color w:val="auto"/>
          <w:sz w:val="26"/>
          <w:u w:val="none"/>
        </w:rPr>
      </w:pPr>
      <w:r w:rsidRPr="00E36076">
        <w:rPr>
          <w:rStyle w:val="DraftingNote"/>
          <w:b w:val="0"/>
          <w:color w:val="auto"/>
          <w:sz w:val="26"/>
          <w:u w:val="none"/>
        </w:rPr>
        <w:t xml:space="preserve">to better understand the links between pathways and </w:t>
      </w:r>
      <w:r w:rsidR="00EA775B" w:rsidRPr="00E36076">
        <w:rPr>
          <w:rStyle w:val="DraftingNote"/>
          <w:b w:val="0"/>
          <w:color w:val="auto"/>
          <w:sz w:val="26"/>
          <w:u w:val="none"/>
        </w:rPr>
        <w:t>individual</w:t>
      </w:r>
      <w:r w:rsidR="00F26230">
        <w:rPr>
          <w:rStyle w:val="DraftingNote"/>
          <w:b w:val="0"/>
          <w:color w:val="auto"/>
          <w:sz w:val="26"/>
          <w:u w:val="none"/>
        </w:rPr>
        <w:t>s’</w:t>
      </w:r>
      <w:r w:rsidRPr="00E36076">
        <w:rPr>
          <w:rStyle w:val="DraftingNote"/>
          <w:b w:val="0"/>
          <w:color w:val="auto"/>
          <w:sz w:val="26"/>
          <w:u w:val="none"/>
        </w:rPr>
        <w:t xml:space="preserve"> characteristics (for example, gender, location, </w:t>
      </w:r>
      <w:r w:rsidR="00F26230">
        <w:rPr>
          <w:rStyle w:val="DraftingNote"/>
          <w:b w:val="0"/>
          <w:color w:val="auto"/>
          <w:sz w:val="26"/>
          <w:u w:val="none"/>
        </w:rPr>
        <w:t xml:space="preserve">and </w:t>
      </w:r>
      <w:r w:rsidRPr="00E36076">
        <w:rPr>
          <w:rStyle w:val="DraftingNote"/>
          <w:b w:val="0"/>
          <w:color w:val="auto"/>
          <w:sz w:val="26"/>
          <w:u w:val="none"/>
        </w:rPr>
        <w:t xml:space="preserve">family background). </w:t>
      </w:r>
    </w:p>
    <w:p w:rsidR="00CC6C62" w:rsidRDefault="00F26230" w:rsidP="002455FF">
      <w:pPr>
        <w:pStyle w:val="BodyText"/>
        <w:rPr>
          <w:rStyle w:val="DraftingNote"/>
          <w:b w:val="0"/>
          <w:color w:val="auto"/>
          <w:sz w:val="26"/>
          <w:u w:val="none"/>
        </w:rPr>
      </w:pPr>
      <w:r>
        <w:rPr>
          <w:rStyle w:val="DraftingNote"/>
          <w:b w:val="0"/>
          <w:color w:val="auto"/>
          <w:sz w:val="26"/>
          <w:u w:val="none"/>
        </w:rPr>
        <w:t xml:space="preserve">To illustrate the use of </w:t>
      </w:r>
      <w:proofErr w:type="spellStart"/>
      <w:r>
        <w:rPr>
          <w:rStyle w:val="DraftingNote"/>
          <w:b w:val="0"/>
          <w:color w:val="auto"/>
          <w:sz w:val="26"/>
          <w:u w:val="none"/>
        </w:rPr>
        <w:t>TOS</w:t>
      </w:r>
      <w:proofErr w:type="spellEnd"/>
      <w:r>
        <w:rPr>
          <w:rStyle w:val="DraftingNote"/>
          <w:b w:val="0"/>
          <w:color w:val="auto"/>
          <w:sz w:val="26"/>
          <w:u w:val="none"/>
        </w:rPr>
        <w:t xml:space="preserve"> data, consider the</w:t>
      </w:r>
      <w:r w:rsidR="00CC6C62" w:rsidRPr="00E36076">
        <w:rPr>
          <w:rStyle w:val="DraftingNote"/>
          <w:b w:val="0"/>
          <w:color w:val="auto"/>
          <w:sz w:val="26"/>
          <w:u w:val="none"/>
        </w:rPr>
        <w:t xml:space="preserve"> two </w:t>
      </w:r>
      <w:r w:rsidR="009F1287" w:rsidRPr="00E36076">
        <w:rPr>
          <w:rStyle w:val="DraftingNote"/>
          <w:b w:val="0"/>
          <w:color w:val="auto"/>
          <w:sz w:val="26"/>
          <w:u w:val="none"/>
        </w:rPr>
        <w:t xml:space="preserve">youth </w:t>
      </w:r>
      <w:r w:rsidR="00CC6C62" w:rsidRPr="00E36076">
        <w:rPr>
          <w:rStyle w:val="DraftingNote"/>
          <w:b w:val="0"/>
          <w:color w:val="auto"/>
          <w:sz w:val="26"/>
          <w:u w:val="none"/>
        </w:rPr>
        <w:t xml:space="preserve">pathways </w:t>
      </w:r>
      <w:r w:rsidR="00676575" w:rsidRPr="00E36076">
        <w:rPr>
          <w:rStyle w:val="DraftingNote"/>
          <w:b w:val="0"/>
          <w:color w:val="auto"/>
          <w:sz w:val="26"/>
          <w:u w:val="none"/>
        </w:rPr>
        <w:t>shown in figure</w:t>
      </w:r>
      <w:r w:rsidR="00E36076">
        <w:rPr>
          <w:rStyle w:val="DraftingNote"/>
          <w:b w:val="0"/>
          <w:color w:val="auto"/>
          <w:sz w:val="26"/>
          <w:u w:val="none"/>
        </w:rPr>
        <w:t> </w:t>
      </w:r>
      <w:proofErr w:type="spellStart"/>
      <w:r w:rsidR="00676575" w:rsidRPr="00E36076">
        <w:t>A.4</w:t>
      </w:r>
      <w:proofErr w:type="spellEnd"/>
      <w:r w:rsidR="00676575" w:rsidRPr="00E36076">
        <w:rPr>
          <w:rStyle w:val="DraftingNote"/>
          <w:b w:val="0"/>
          <w:color w:val="auto"/>
          <w:sz w:val="26"/>
          <w:u w:val="none"/>
        </w:rPr>
        <w:t xml:space="preserve"> </w:t>
      </w:r>
      <w:r w:rsidR="00547EF1" w:rsidRPr="00E36076">
        <w:rPr>
          <w:rStyle w:val="DraftingNote"/>
          <w:b w:val="0"/>
          <w:color w:val="auto"/>
          <w:sz w:val="26"/>
          <w:u w:val="none"/>
        </w:rPr>
        <w:t xml:space="preserve">— </w:t>
      </w:r>
      <w:r w:rsidR="00CC6C62" w:rsidRPr="00E36076">
        <w:rPr>
          <w:rStyle w:val="DraftingNote"/>
          <w:b w:val="0"/>
          <w:color w:val="auto"/>
          <w:sz w:val="26"/>
          <w:u w:val="none"/>
        </w:rPr>
        <w:t xml:space="preserve">the </w:t>
      </w:r>
      <w:r w:rsidR="00CC6C62" w:rsidRPr="00E36076">
        <w:rPr>
          <w:rStyle w:val="DraftingNote"/>
          <w:b w:val="0"/>
          <w:i/>
          <w:color w:val="auto"/>
          <w:sz w:val="26"/>
          <w:u w:val="none"/>
        </w:rPr>
        <w:t xml:space="preserve">Work and </w:t>
      </w:r>
      <w:r w:rsidR="00DE0B7F" w:rsidRPr="00E36076">
        <w:rPr>
          <w:rStyle w:val="DraftingNote"/>
          <w:b w:val="0"/>
          <w:i/>
          <w:color w:val="auto"/>
          <w:sz w:val="26"/>
          <w:u w:val="none"/>
        </w:rPr>
        <w:t>S</w:t>
      </w:r>
      <w:r w:rsidR="00CC6C62" w:rsidRPr="00E36076">
        <w:rPr>
          <w:rStyle w:val="DraftingNote"/>
          <w:b w:val="0"/>
          <w:i/>
          <w:color w:val="auto"/>
          <w:sz w:val="26"/>
          <w:u w:val="none"/>
        </w:rPr>
        <w:t xml:space="preserve">tudy to </w:t>
      </w:r>
      <w:r w:rsidR="00DE0B7F" w:rsidRPr="00E36076">
        <w:rPr>
          <w:rStyle w:val="DraftingNote"/>
          <w:b w:val="0"/>
          <w:i/>
          <w:color w:val="auto"/>
          <w:sz w:val="26"/>
          <w:u w:val="none"/>
        </w:rPr>
        <w:t>W</w:t>
      </w:r>
      <w:r w:rsidR="00CC6C62" w:rsidRPr="00E36076">
        <w:rPr>
          <w:rStyle w:val="DraftingNote"/>
          <w:b w:val="0"/>
          <w:i/>
          <w:color w:val="auto"/>
          <w:sz w:val="26"/>
          <w:u w:val="none"/>
        </w:rPr>
        <w:t>ork</w:t>
      </w:r>
      <w:r w:rsidR="00CC6C62" w:rsidRPr="00E36076">
        <w:rPr>
          <w:rStyle w:val="DraftingNote"/>
          <w:b w:val="0"/>
          <w:color w:val="auto"/>
          <w:sz w:val="26"/>
          <w:u w:val="none"/>
        </w:rPr>
        <w:t xml:space="preserve"> </w:t>
      </w:r>
      <w:r w:rsidR="00676575" w:rsidRPr="00E36076">
        <w:rPr>
          <w:rStyle w:val="DraftingNote"/>
          <w:b w:val="0"/>
          <w:color w:val="auto"/>
          <w:sz w:val="26"/>
          <w:u w:val="none"/>
        </w:rPr>
        <w:t xml:space="preserve">pathway </w:t>
      </w:r>
      <w:r w:rsidR="00CC6C62" w:rsidRPr="00E36076">
        <w:rPr>
          <w:rStyle w:val="DraftingNote"/>
          <w:b w:val="0"/>
          <w:color w:val="auto"/>
          <w:sz w:val="26"/>
          <w:u w:val="none"/>
        </w:rPr>
        <w:t xml:space="preserve">(left </w:t>
      </w:r>
      <w:r w:rsidR="00065FA5" w:rsidRPr="00E36076">
        <w:rPr>
          <w:rStyle w:val="DraftingNote"/>
          <w:b w:val="0"/>
          <w:color w:val="auto"/>
          <w:sz w:val="26"/>
          <w:u w:val="none"/>
        </w:rPr>
        <w:t>panel</w:t>
      </w:r>
      <w:r w:rsidR="00CC6C62" w:rsidRPr="00E36076">
        <w:rPr>
          <w:rStyle w:val="DraftingNote"/>
          <w:b w:val="0"/>
          <w:color w:val="auto"/>
          <w:sz w:val="26"/>
          <w:u w:val="none"/>
        </w:rPr>
        <w:t xml:space="preserve">) and the </w:t>
      </w:r>
      <w:r w:rsidR="00CC6C62" w:rsidRPr="00E36076">
        <w:rPr>
          <w:rStyle w:val="DraftingNote"/>
          <w:b w:val="0"/>
          <w:i/>
          <w:color w:val="auto"/>
          <w:sz w:val="26"/>
          <w:u w:val="none"/>
        </w:rPr>
        <w:t xml:space="preserve">Work, with or without </w:t>
      </w:r>
      <w:r w:rsidR="00DE0B7F" w:rsidRPr="00E36076">
        <w:rPr>
          <w:rStyle w:val="DraftingNote"/>
          <w:b w:val="0"/>
          <w:i/>
          <w:color w:val="auto"/>
          <w:sz w:val="26"/>
          <w:u w:val="none"/>
        </w:rPr>
        <w:t>S</w:t>
      </w:r>
      <w:r w:rsidR="00CC6C62" w:rsidRPr="00E36076">
        <w:rPr>
          <w:rStyle w:val="DraftingNote"/>
          <w:b w:val="0"/>
          <w:i/>
          <w:color w:val="auto"/>
          <w:sz w:val="26"/>
          <w:u w:val="none"/>
        </w:rPr>
        <w:t>tudy</w:t>
      </w:r>
      <w:r w:rsidR="00CC6C62" w:rsidRPr="00E36076">
        <w:rPr>
          <w:rStyle w:val="DraftingNote"/>
          <w:b w:val="0"/>
          <w:color w:val="auto"/>
          <w:sz w:val="26"/>
          <w:u w:val="none"/>
        </w:rPr>
        <w:t xml:space="preserve"> </w:t>
      </w:r>
      <w:r w:rsidR="00676575" w:rsidRPr="00E36076">
        <w:rPr>
          <w:rStyle w:val="DraftingNote"/>
          <w:b w:val="0"/>
          <w:color w:val="auto"/>
          <w:sz w:val="26"/>
          <w:u w:val="none"/>
        </w:rPr>
        <w:t xml:space="preserve">pathway </w:t>
      </w:r>
      <w:r w:rsidR="00CC6C62" w:rsidRPr="00E36076">
        <w:rPr>
          <w:rStyle w:val="DraftingNote"/>
          <w:b w:val="0"/>
          <w:color w:val="auto"/>
          <w:sz w:val="26"/>
          <w:u w:val="none"/>
        </w:rPr>
        <w:t xml:space="preserve">(right </w:t>
      </w:r>
      <w:r w:rsidR="00065FA5" w:rsidRPr="00E36076">
        <w:rPr>
          <w:rStyle w:val="DraftingNote"/>
          <w:b w:val="0"/>
          <w:color w:val="auto"/>
          <w:sz w:val="26"/>
          <w:u w:val="none"/>
        </w:rPr>
        <w:t>panel</w:t>
      </w:r>
      <w:r w:rsidR="00CC6C62" w:rsidRPr="00E36076">
        <w:rPr>
          <w:rStyle w:val="DraftingNote"/>
          <w:b w:val="0"/>
          <w:color w:val="auto"/>
          <w:sz w:val="26"/>
          <w:u w:val="none"/>
        </w:rPr>
        <w:t xml:space="preserve">). </w:t>
      </w:r>
      <w:r w:rsidR="00786BD8" w:rsidRPr="00E36076">
        <w:rPr>
          <w:rStyle w:val="DraftingNote"/>
          <w:b w:val="0"/>
          <w:color w:val="auto"/>
          <w:sz w:val="26"/>
          <w:u w:val="none"/>
        </w:rPr>
        <w:t>T</w:t>
      </w:r>
      <w:r w:rsidR="00CC6C62" w:rsidRPr="00E36076">
        <w:rPr>
          <w:rStyle w:val="DraftingNote"/>
          <w:b w:val="0"/>
          <w:color w:val="auto"/>
          <w:sz w:val="26"/>
          <w:u w:val="none"/>
        </w:rPr>
        <w:t>he for</w:t>
      </w:r>
      <w:r>
        <w:rPr>
          <w:rStyle w:val="DraftingNote"/>
          <w:b w:val="0"/>
          <w:color w:val="auto"/>
          <w:sz w:val="26"/>
          <w:u w:val="none"/>
        </w:rPr>
        <w:t>mer involves more time in work</w:t>
      </w:r>
      <w:r w:rsidR="007A4F69" w:rsidRPr="00E36076">
        <w:rPr>
          <w:rStyle w:val="DraftingNote"/>
          <w:b w:val="0"/>
          <w:color w:val="auto"/>
          <w:sz w:val="26"/>
          <w:u w:val="none"/>
        </w:rPr>
        <w:t xml:space="preserve"> </w:t>
      </w:r>
      <w:r>
        <w:rPr>
          <w:rStyle w:val="DraftingNote"/>
          <w:b w:val="0"/>
          <w:color w:val="auto"/>
          <w:sz w:val="26"/>
          <w:u w:val="none"/>
        </w:rPr>
        <w:t xml:space="preserve">only </w:t>
      </w:r>
      <w:r w:rsidR="00CC6C62" w:rsidRPr="00E36076">
        <w:rPr>
          <w:rStyle w:val="DraftingNote"/>
          <w:b w:val="0"/>
          <w:color w:val="auto"/>
          <w:sz w:val="26"/>
          <w:u w:val="none"/>
        </w:rPr>
        <w:t>(light blue)</w:t>
      </w:r>
      <w:r w:rsidR="00786BD8" w:rsidRPr="00E36076">
        <w:rPr>
          <w:rStyle w:val="DraftingNote"/>
          <w:b w:val="0"/>
          <w:color w:val="auto"/>
          <w:sz w:val="26"/>
          <w:u w:val="none"/>
        </w:rPr>
        <w:t>,</w:t>
      </w:r>
      <w:r w:rsidR="00CC6C62" w:rsidRPr="00E36076">
        <w:rPr>
          <w:rStyle w:val="DraftingNote"/>
          <w:b w:val="0"/>
          <w:color w:val="auto"/>
          <w:sz w:val="26"/>
          <w:u w:val="none"/>
        </w:rPr>
        <w:t xml:space="preserve"> and less time in </w:t>
      </w:r>
      <w:r>
        <w:rPr>
          <w:rStyle w:val="DraftingNote"/>
          <w:b w:val="0"/>
          <w:color w:val="auto"/>
          <w:sz w:val="26"/>
          <w:u w:val="none"/>
        </w:rPr>
        <w:t>work and study</w:t>
      </w:r>
      <w:r w:rsidR="00CC6C62" w:rsidRPr="00E36076">
        <w:rPr>
          <w:rStyle w:val="DraftingNote"/>
          <w:b w:val="0"/>
          <w:color w:val="auto"/>
          <w:sz w:val="26"/>
          <w:u w:val="none"/>
        </w:rPr>
        <w:t xml:space="preserve"> (brown) and </w:t>
      </w:r>
      <w:r>
        <w:rPr>
          <w:rStyle w:val="DraftingNote"/>
          <w:b w:val="0"/>
          <w:color w:val="auto"/>
          <w:sz w:val="26"/>
          <w:u w:val="none"/>
        </w:rPr>
        <w:t>study</w:t>
      </w:r>
      <w:r w:rsidR="00CC6C62" w:rsidRPr="00E36076">
        <w:rPr>
          <w:rStyle w:val="DraftingNote"/>
          <w:b w:val="0"/>
          <w:color w:val="auto"/>
          <w:sz w:val="26"/>
          <w:u w:val="none"/>
        </w:rPr>
        <w:t xml:space="preserve"> </w:t>
      </w:r>
      <w:r>
        <w:rPr>
          <w:rStyle w:val="DraftingNote"/>
          <w:b w:val="0"/>
          <w:color w:val="auto"/>
          <w:sz w:val="26"/>
          <w:u w:val="none"/>
        </w:rPr>
        <w:t xml:space="preserve">only </w:t>
      </w:r>
      <w:r w:rsidR="00CC6C62" w:rsidRPr="00E36076">
        <w:rPr>
          <w:rStyle w:val="DraftingNote"/>
          <w:b w:val="0"/>
          <w:color w:val="auto"/>
          <w:sz w:val="26"/>
          <w:u w:val="none"/>
        </w:rPr>
        <w:t>(purple) than the latter.</w:t>
      </w:r>
    </w:p>
    <w:p w:rsidR="002455FF" w:rsidRPr="00E36076" w:rsidRDefault="002455FF" w:rsidP="002455FF">
      <w:pPr>
        <w:pStyle w:val="BodyText"/>
        <w:rPr>
          <w:rStyle w:val="DraftingNote"/>
          <w:b w:val="0"/>
          <w:color w:val="auto"/>
          <w:sz w:val="26"/>
          <w:u w:val="none"/>
        </w:rPr>
      </w:pPr>
      <w:proofErr w:type="spellStart"/>
      <w:r>
        <w:rPr>
          <w:rStyle w:val="DraftingNote"/>
          <w:b w:val="0"/>
          <w:color w:val="auto"/>
          <w:sz w:val="26"/>
          <w:u w:val="none"/>
        </w:rPr>
        <w:t>TOS</w:t>
      </w:r>
      <w:proofErr w:type="spellEnd"/>
      <w:r w:rsidRPr="00E36076">
        <w:rPr>
          <w:rStyle w:val="DraftingNote"/>
          <w:b w:val="0"/>
          <w:color w:val="auto"/>
          <w:sz w:val="26"/>
          <w:u w:val="none"/>
        </w:rPr>
        <w:t xml:space="preserve"> data reveal that youths in the pathway involving more time in study (right panel) are (on average) about a year younger and in 2001 have lower levels of education than youths in the other pathway (left panel). This suggests that youths in the </w:t>
      </w:r>
      <w:r w:rsidRPr="00E36076">
        <w:rPr>
          <w:rStyle w:val="DraftingNote"/>
          <w:b w:val="0"/>
          <w:i/>
          <w:color w:val="auto"/>
          <w:sz w:val="26"/>
          <w:u w:val="none"/>
        </w:rPr>
        <w:t>Work and Study to Work</w:t>
      </w:r>
      <w:r w:rsidRPr="00E36076">
        <w:rPr>
          <w:rStyle w:val="DraftingNote"/>
          <w:b w:val="0"/>
          <w:color w:val="auto"/>
          <w:sz w:val="26"/>
          <w:u w:val="none"/>
        </w:rPr>
        <w:t xml:space="preserve"> pathway are not as advanced in their transitions to work as youths in the </w:t>
      </w:r>
      <w:r w:rsidRPr="00E36076">
        <w:rPr>
          <w:rStyle w:val="DraftingNote"/>
          <w:b w:val="0"/>
          <w:i/>
          <w:color w:val="auto"/>
          <w:sz w:val="26"/>
          <w:u w:val="none"/>
        </w:rPr>
        <w:t>Work, with or without Study</w:t>
      </w:r>
      <w:r w:rsidRPr="00E36076">
        <w:rPr>
          <w:rStyle w:val="DraftingNote"/>
          <w:b w:val="0"/>
          <w:color w:val="auto"/>
          <w:sz w:val="26"/>
          <w:u w:val="none"/>
        </w:rPr>
        <w:t xml:space="preserve"> pathway.</w:t>
      </w:r>
    </w:p>
    <w:p w:rsidR="002455FF" w:rsidRPr="00E36076" w:rsidRDefault="002455FF" w:rsidP="002455FF">
      <w:pPr>
        <w:pStyle w:val="BodyText"/>
        <w:rPr>
          <w:rStyle w:val="DraftingNote"/>
          <w:b w:val="0"/>
          <w:color w:val="auto"/>
          <w:sz w:val="26"/>
          <w:u w:val="none"/>
        </w:rPr>
      </w:pPr>
      <w:r w:rsidRPr="00E36076">
        <w:rPr>
          <w:rStyle w:val="DraftingNote"/>
          <w:b w:val="0"/>
          <w:color w:val="auto"/>
          <w:sz w:val="26"/>
          <w:u w:val="none"/>
        </w:rPr>
        <w:t>In 2001, nearly 69</w:t>
      </w:r>
      <w:r w:rsidR="00E46F07">
        <w:rPr>
          <w:rStyle w:val="DraftingNote"/>
          <w:b w:val="0"/>
          <w:color w:val="auto"/>
          <w:sz w:val="26"/>
          <w:u w:val="none"/>
        </w:rPr>
        <w:t xml:space="preserve"> </w:t>
      </w:r>
      <w:r w:rsidRPr="00E36076">
        <w:rPr>
          <w:rStyle w:val="DraftingNote"/>
          <w:b w:val="0"/>
          <w:color w:val="auto"/>
          <w:sz w:val="26"/>
          <w:u w:val="none"/>
        </w:rPr>
        <w:t xml:space="preserve">per cent of individuals in the </w:t>
      </w:r>
      <w:r w:rsidRPr="00E36076">
        <w:rPr>
          <w:rStyle w:val="DraftingNote"/>
          <w:b w:val="0"/>
          <w:i/>
          <w:color w:val="auto"/>
          <w:sz w:val="26"/>
          <w:u w:val="none"/>
        </w:rPr>
        <w:t>Work, with or without Study</w:t>
      </w:r>
      <w:r w:rsidRPr="00E36076">
        <w:rPr>
          <w:rStyle w:val="DraftingNote"/>
          <w:b w:val="0"/>
          <w:color w:val="auto"/>
          <w:sz w:val="26"/>
          <w:u w:val="none"/>
        </w:rPr>
        <w:t xml:space="preserve"> pathway had a low level of education, compared to a</w:t>
      </w:r>
      <w:r w:rsidR="00E46F07">
        <w:rPr>
          <w:rStyle w:val="DraftingNote"/>
          <w:b w:val="0"/>
          <w:color w:val="auto"/>
          <w:sz w:val="26"/>
          <w:u w:val="none"/>
        </w:rPr>
        <w:t>bout</w:t>
      </w:r>
      <w:r w:rsidRPr="00E36076">
        <w:rPr>
          <w:rStyle w:val="DraftingNote"/>
          <w:b w:val="0"/>
          <w:color w:val="auto"/>
          <w:sz w:val="26"/>
          <w:u w:val="none"/>
        </w:rPr>
        <w:t xml:space="preserve"> 39</w:t>
      </w:r>
      <w:r w:rsidR="00E46F07">
        <w:rPr>
          <w:rStyle w:val="DraftingNote"/>
          <w:b w:val="0"/>
          <w:color w:val="auto"/>
          <w:sz w:val="26"/>
          <w:u w:val="none"/>
        </w:rPr>
        <w:t xml:space="preserve"> </w:t>
      </w:r>
      <w:r w:rsidRPr="00E36076">
        <w:rPr>
          <w:rStyle w:val="DraftingNote"/>
          <w:b w:val="0"/>
          <w:color w:val="auto"/>
          <w:sz w:val="26"/>
          <w:u w:val="none"/>
        </w:rPr>
        <w:t xml:space="preserve">per cent of individuals in the </w:t>
      </w:r>
      <w:r w:rsidRPr="00E36076">
        <w:rPr>
          <w:rStyle w:val="DraftingNote"/>
          <w:b w:val="0"/>
          <w:i/>
          <w:color w:val="auto"/>
          <w:sz w:val="26"/>
          <w:u w:val="none"/>
        </w:rPr>
        <w:t>Work and Study to Work</w:t>
      </w:r>
      <w:r w:rsidRPr="00E36076">
        <w:rPr>
          <w:rStyle w:val="DraftingNote"/>
          <w:b w:val="0"/>
          <w:color w:val="auto"/>
          <w:sz w:val="26"/>
          <w:u w:val="none"/>
        </w:rPr>
        <w:t xml:space="preserve"> pathway. By 2010, the percentage of individuals in these pathways with a low level of education was negligible — a</w:t>
      </w:r>
      <w:r w:rsidR="00E46F07">
        <w:rPr>
          <w:rStyle w:val="DraftingNote"/>
          <w:b w:val="0"/>
          <w:color w:val="auto"/>
          <w:sz w:val="26"/>
          <w:u w:val="none"/>
        </w:rPr>
        <w:t>bout</w:t>
      </w:r>
      <w:r w:rsidRPr="00E36076">
        <w:rPr>
          <w:rStyle w:val="DraftingNote"/>
          <w:b w:val="0"/>
          <w:color w:val="auto"/>
          <w:sz w:val="26"/>
          <w:u w:val="none"/>
        </w:rPr>
        <w:t xml:space="preserve"> 1</w:t>
      </w:r>
      <w:r w:rsidR="00E46F07">
        <w:rPr>
          <w:rStyle w:val="DraftingNote"/>
          <w:b w:val="0"/>
          <w:color w:val="auto"/>
          <w:sz w:val="26"/>
          <w:u w:val="none"/>
        </w:rPr>
        <w:t xml:space="preserve"> </w:t>
      </w:r>
      <w:r w:rsidRPr="00E36076">
        <w:rPr>
          <w:rStyle w:val="DraftingNote"/>
          <w:b w:val="0"/>
          <w:color w:val="auto"/>
          <w:sz w:val="26"/>
          <w:u w:val="none"/>
        </w:rPr>
        <w:t xml:space="preserve">per cent in the </w:t>
      </w:r>
      <w:r w:rsidRPr="00E36076">
        <w:rPr>
          <w:rStyle w:val="DraftingNote"/>
          <w:b w:val="0"/>
          <w:i/>
          <w:color w:val="auto"/>
          <w:sz w:val="26"/>
          <w:u w:val="none"/>
        </w:rPr>
        <w:t>Work, with or without Study</w:t>
      </w:r>
      <w:r w:rsidRPr="00E36076">
        <w:rPr>
          <w:rStyle w:val="DraftingNote"/>
          <w:b w:val="0"/>
          <w:color w:val="auto"/>
          <w:sz w:val="26"/>
          <w:u w:val="none"/>
        </w:rPr>
        <w:t xml:space="preserve"> pathway, and 2</w:t>
      </w:r>
      <w:r w:rsidR="00E46F07">
        <w:rPr>
          <w:rStyle w:val="DraftingNote"/>
          <w:b w:val="0"/>
          <w:color w:val="auto"/>
          <w:sz w:val="26"/>
          <w:u w:val="none"/>
        </w:rPr>
        <w:t xml:space="preserve"> </w:t>
      </w:r>
      <w:r w:rsidRPr="00E36076">
        <w:rPr>
          <w:rStyle w:val="DraftingNote"/>
          <w:b w:val="0"/>
          <w:color w:val="auto"/>
          <w:sz w:val="26"/>
          <w:u w:val="none"/>
        </w:rPr>
        <w:t xml:space="preserve">per cent in the </w:t>
      </w:r>
      <w:r w:rsidRPr="00E36076">
        <w:rPr>
          <w:rStyle w:val="DraftingNote"/>
          <w:b w:val="0"/>
          <w:i/>
          <w:color w:val="auto"/>
          <w:sz w:val="26"/>
          <w:u w:val="none"/>
        </w:rPr>
        <w:t>Work and Study to Work</w:t>
      </w:r>
      <w:r w:rsidRPr="00E36076">
        <w:rPr>
          <w:rStyle w:val="DraftingNote"/>
          <w:b w:val="0"/>
          <w:color w:val="auto"/>
          <w:sz w:val="26"/>
          <w:u w:val="none"/>
        </w:rPr>
        <w:t xml:space="preserve"> pathway. Relative to other youths, high percentages of youths in these pathways had high levels of education in 2010 — a</w:t>
      </w:r>
      <w:r w:rsidR="00E46F07">
        <w:rPr>
          <w:rStyle w:val="DraftingNote"/>
          <w:b w:val="0"/>
          <w:color w:val="auto"/>
          <w:sz w:val="26"/>
          <w:u w:val="none"/>
        </w:rPr>
        <w:t>bout</w:t>
      </w:r>
      <w:r w:rsidRPr="00E36076">
        <w:rPr>
          <w:rStyle w:val="DraftingNote"/>
          <w:b w:val="0"/>
          <w:color w:val="auto"/>
          <w:sz w:val="26"/>
          <w:u w:val="none"/>
        </w:rPr>
        <w:t xml:space="preserve"> 58</w:t>
      </w:r>
      <w:r w:rsidR="00E46F07">
        <w:rPr>
          <w:rStyle w:val="DraftingNote"/>
          <w:b w:val="0"/>
          <w:color w:val="auto"/>
          <w:sz w:val="26"/>
          <w:u w:val="none"/>
        </w:rPr>
        <w:t xml:space="preserve"> </w:t>
      </w:r>
      <w:r w:rsidRPr="00E36076">
        <w:rPr>
          <w:rStyle w:val="DraftingNote"/>
          <w:b w:val="0"/>
          <w:color w:val="auto"/>
          <w:sz w:val="26"/>
          <w:u w:val="none"/>
        </w:rPr>
        <w:t xml:space="preserve">per cent in the </w:t>
      </w:r>
      <w:r w:rsidRPr="00E36076">
        <w:rPr>
          <w:rStyle w:val="DraftingNote"/>
          <w:b w:val="0"/>
          <w:i/>
          <w:color w:val="auto"/>
          <w:sz w:val="26"/>
          <w:u w:val="none"/>
        </w:rPr>
        <w:t>Work, with or without Study</w:t>
      </w:r>
      <w:r w:rsidRPr="00E36076">
        <w:rPr>
          <w:rStyle w:val="DraftingNote"/>
          <w:b w:val="0"/>
          <w:color w:val="auto"/>
          <w:sz w:val="26"/>
          <w:u w:val="none"/>
        </w:rPr>
        <w:t xml:space="preserve"> pathway, and 51</w:t>
      </w:r>
      <w:r w:rsidR="00E46F07">
        <w:rPr>
          <w:rStyle w:val="DraftingNote"/>
          <w:b w:val="0"/>
          <w:color w:val="auto"/>
          <w:sz w:val="26"/>
          <w:u w:val="none"/>
        </w:rPr>
        <w:t xml:space="preserve"> </w:t>
      </w:r>
      <w:r w:rsidRPr="00E36076">
        <w:rPr>
          <w:rStyle w:val="DraftingNote"/>
          <w:b w:val="0"/>
          <w:color w:val="auto"/>
          <w:sz w:val="26"/>
          <w:u w:val="none"/>
        </w:rPr>
        <w:t xml:space="preserve">per cent in the </w:t>
      </w:r>
      <w:r w:rsidRPr="00E36076">
        <w:rPr>
          <w:rStyle w:val="DraftingNote"/>
          <w:b w:val="0"/>
          <w:i/>
          <w:color w:val="auto"/>
          <w:sz w:val="26"/>
          <w:u w:val="none"/>
        </w:rPr>
        <w:t>Work and Study to Work</w:t>
      </w:r>
      <w:r>
        <w:rPr>
          <w:rStyle w:val="DraftingNote"/>
          <w:b w:val="0"/>
          <w:color w:val="auto"/>
          <w:sz w:val="26"/>
          <w:u w:val="none"/>
        </w:rPr>
        <w:t xml:space="preserve"> pathway.</w:t>
      </w:r>
    </w:p>
    <w:p w:rsidR="00CC6C62" w:rsidRDefault="00CC6C62" w:rsidP="00CC6C62">
      <w:pPr>
        <w:pStyle w:val="FigureTitle"/>
      </w:pPr>
      <w:r>
        <w:rPr>
          <w:b w:val="0"/>
        </w:rPr>
        <w:lastRenderedPageBreak/>
        <w:t xml:space="preserve">Figure </w:t>
      </w:r>
      <w:bookmarkStart w:id="10" w:name="OLE_LINK10"/>
      <w:proofErr w:type="spellStart"/>
      <w:r w:rsidR="00805798">
        <w:rPr>
          <w:b w:val="0"/>
        </w:rPr>
        <w:t>A.</w:t>
      </w:r>
      <w:r w:rsidR="00476C58">
        <w:rPr>
          <w:b w:val="0"/>
          <w:noProof/>
        </w:rPr>
        <w:t>4</w:t>
      </w:r>
      <w:bookmarkEnd w:id="10"/>
      <w:proofErr w:type="spellEnd"/>
      <w:r>
        <w:tab/>
        <w:t xml:space="preserve">A comparison of the </w:t>
      </w:r>
      <w:r>
        <w:rPr>
          <w:i/>
        </w:rPr>
        <w:t xml:space="preserve">Work and </w:t>
      </w:r>
      <w:r w:rsidR="00F719EE">
        <w:rPr>
          <w:i/>
        </w:rPr>
        <w:t>S</w:t>
      </w:r>
      <w:r>
        <w:rPr>
          <w:i/>
        </w:rPr>
        <w:t xml:space="preserve">tudy to </w:t>
      </w:r>
      <w:r w:rsidR="00F719EE">
        <w:rPr>
          <w:i/>
        </w:rPr>
        <w:t>W</w:t>
      </w:r>
      <w:r>
        <w:rPr>
          <w:i/>
        </w:rPr>
        <w:t>ork</w:t>
      </w:r>
      <w:r>
        <w:t xml:space="preserve"> and the </w:t>
      </w:r>
      <w:r>
        <w:rPr>
          <w:i/>
        </w:rPr>
        <w:t xml:space="preserve">Work, with or without </w:t>
      </w:r>
      <w:r w:rsidR="00F719EE">
        <w:rPr>
          <w:i/>
        </w:rPr>
        <w:t>S</w:t>
      </w:r>
      <w:r>
        <w:rPr>
          <w:i/>
        </w:rPr>
        <w:t>tudy</w:t>
      </w:r>
      <w:r>
        <w:t xml:space="preserve"> pathways</w:t>
      </w:r>
      <w:r w:rsidR="00764587">
        <w:t xml:space="preserve"> for youths</w:t>
      </w:r>
      <w:r w:rsidRPr="00764587">
        <w:rPr>
          <w:rStyle w:val="NoteLabel"/>
          <w:b/>
        </w:rPr>
        <w:t>a</w:t>
      </w:r>
    </w:p>
    <w:tbl>
      <w:tblPr>
        <w:tblW w:w="8836" w:type="dxa"/>
        <w:jc w:val="center"/>
        <w:tblInd w:w="106" w:type="dxa"/>
        <w:tblBorders>
          <w:top w:val="single" w:sz="6" w:space="0" w:color="auto"/>
          <w:bottom w:val="single" w:sz="6" w:space="0" w:color="auto"/>
        </w:tblBorders>
        <w:tblLayout w:type="fixed"/>
        <w:tblCellMar>
          <w:left w:w="0" w:type="dxa"/>
          <w:right w:w="0" w:type="dxa"/>
        </w:tblCellMar>
        <w:tblLook w:val="0000" w:firstRow="0" w:lastRow="0" w:firstColumn="0" w:lastColumn="0" w:noHBand="0" w:noVBand="0"/>
      </w:tblPr>
      <w:tblGrid>
        <w:gridCol w:w="8836"/>
      </w:tblGrid>
      <w:tr w:rsidR="00CC6C62" w:rsidTr="008534B2">
        <w:trPr>
          <w:jc w:val="center"/>
        </w:trPr>
        <w:tc>
          <w:tcPr>
            <w:tcW w:w="8836" w:type="dxa"/>
          </w:tcPr>
          <w:p w:rsidR="00CC6C62" w:rsidRDefault="00CC6C62" w:rsidP="00CC6C62">
            <w:pPr>
              <w:pStyle w:val="Figure"/>
              <w:rPr>
                <w:noProof/>
              </w:rPr>
            </w:pPr>
            <w:r>
              <w:rPr>
                <w:noProof/>
              </w:rPr>
              <mc:AlternateContent>
                <mc:Choice Requires="wps">
                  <w:drawing>
                    <wp:anchor distT="0" distB="0" distL="114300" distR="114300" simplePos="0" relativeHeight="251659264" behindDoc="0" locked="0" layoutInCell="1" allowOverlap="1" wp14:anchorId="5396DF98" wp14:editId="5E0CA7E1">
                      <wp:simplePos x="0" y="0"/>
                      <wp:positionH relativeFrom="column">
                        <wp:align>center</wp:align>
                      </wp:positionH>
                      <wp:positionV relativeFrom="paragraph">
                        <wp:posOffset>0</wp:posOffset>
                      </wp:positionV>
                      <wp:extent cx="5162550" cy="342900"/>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2550" cy="342900"/>
                              </a:xfrm>
                              <a:prstGeom prst="rect">
                                <a:avLst/>
                              </a:prstGeom>
                              <a:solidFill>
                                <a:srgbClr val="FFFFFF"/>
                              </a:solidFill>
                              <a:ln w="9525">
                                <a:noFill/>
                                <a:miter lim="800000"/>
                                <a:headEnd/>
                                <a:tailEnd/>
                              </a:ln>
                            </wps:spPr>
                            <wps:txbx>
                              <w:txbxContent>
                                <w:p w:rsidR="00385F4A" w:rsidRPr="0046228B" w:rsidRDefault="00385F4A" w:rsidP="00053740">
                                  <w:pPr>
                                    <w:spacing w:before="120"/>
                                    <w:rPr>
                                      <w:rFonts w:ascii="Arial" w:hAnsi="Arial" w:cs="Arial"/>
                                      <w:b/>
                                      <w:i/>
                                      <w:sz w:val="20"/>
                                      <w:szCs w:val="20"/>
                                    </w:rPr>
                                  </w:pPr>
                                  <w:r w:rsidRPr="0046228B">
                                    <w:rPr>
                                      <w:i/>
                                    </w:rPr>
                                    <w:tab/>
                                  </w:r>
                                  <w:r w:rsidRPr="0046228B">
                                    <w:rPr>
                                      <w:rFonts w:ascii="Arial" w:hAnsi="Arial" w:cs="Arial"/>
                                      <w:b/>
                                      <w:i/>
                                      <w:sz w:val="20"/>
                                      <w:szCs w:val="20"/>
                                    </w:rPr>
                                    <w:t>Work and Study to Work</w:t>
                                  </w:r>
                                  <w:r w:rsidRPr="0046228B">
                                    <w:rPr>
                                      <w:rFonts w:ascii="Arial" w:hAnsi="Arial" w:cs="Arial"/>
                                      <w:b/>
                                      <w:i/>
                                      <w:sz w:val="20"/>
                                      <w:szCs w:val="20"/>
                                    </w:rPr>
                                    <w:tab/>
                                  </w:r>
                                  <w:r w:rsidRPr="0046228B">
                                    <w:rPr>
                                      <w:rFonts w:ascii="Arial" w:hAnsi="Arial" w:cs="Arial"/>
                                      <w:b/>
                                      <w:i/>
                                      <w:sz w:val="20"/>
                                      <w:szCs w:val="20"/>
                                    </w:rPr>
                                    <w:tab/>
                                    <w:t xml:space="preserve">            </w:t>
                                  </w:r>
                                  <w:proofErr w:type="spellStart"/>
                                  <w:r w:rsidRPr="0046228B">
                                    <w:rPr>
                                      <w:rFonts w:ascii="Arial" w:hAnsi="Arial" w:cs="Arial"/>
                                      <w:b/>
                                      <w:i/>
                                      <w:sz w:val="20"/>
                                      <w:szCs w:val="20"/>
                                    </w:rPr>
                                    <w:t>Work</w:t>
                                  </w:r>
                                  <w:proofErr w:type="spellEnd"/>
                                  <w:r w:rsidRPr="0046228B">
                                    <w:rPr>
                                      <w:rFonts w:ascii="Arial" w:hAnsi="Arial" w:cs="Arial"/>
                                      <w:b/>
                                      <w:i/>
                                      <w:sz w:val="20"/>
                                      <w:szCs w:val="20"/>
                                    </w:rPr>
                                    <w:t>, with or without Study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0;margin-top:0;width:406.5pt;height:27pt;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" stroked="f">
                      <v:textbox>
                        <w:txbxContent>
                          <w:p w:rsidR="00385F4A" w:rsidRPr="0046228B" w:rsidRDefault="00385F4A" w:rsidP="00053740">
                            <w:pPr>
                              <w:spacing w:before="120"/>
                              <w:rPr>
                                <w:rFonts w:ascii="Arial" w:hAnsi="Arial" w:cs="Arial"/>
                                <w:b/>
                                <w:i/>
                                <w:sz w:val="20"/>
                                <w:szCs w:val="20"/>
                              </w:rPr>
                            </w:pPr>
                            <w:r w:rsidRPr="0046228B">
                              <w:rPr>
                                <w:i/>
                              </w:rPr>
                              <w:tab/>
                            </w:r>
                            <w:r w:rsidRPr="0046228B">
                              <w:rPr>
                                <w:rFonts w:ascii="Arial" w:hAnsi="Arial" w:cs="Arial"/>
                                <w:b/>
                                <w:i/>
                                <w:sz w:val="20"/>
                                <w:szCs w:val="20"/>
                              </w:rPr>
                              <w:t>Work and Study to Work</w:t>
                            </w:r>
                            <w:r w:rsidRPr="0046228B">
                              <w:rPr>
                                <w:rFonts w:ascii="Arial" w:hAnsi="Arial" w:cs="Arial"/>
                                <w:b/>
                                <w:i/>
                                <w:sz w:val="20"/>
                                <w:szCs w:val="20"/>
                              </w:rPr>
                              <w:tab/>
                            </w:r>
                            <w:r w:rsidRPr="0046228B">
                              <w:rPr>
                                <w:rFonts w:ascii="Arial" w:hAnsi="Arial" w:cs="Arial"/>
                                <w:b/>
                                <w:i/>
                                <w:sz w:val="20"/>
                                <w:szCs w:val="20"/>
                              </w:rPr>
                              <w:tab/>
                              <w:t xml:space="preserve">            </w:t>
                            </w:r>
                            <w:proofErr w:type="spellStart"/>
                            <w:r w:rsidRPr="0046228B">
                              <w:rPr>
                                <w:rFonts w:ascii="Arial" w:hAnsi="Arial" w:cs="Arial"/>
                                <w:b/>
                                <w:i/>
                                <w:sz w:val="20"/>
                                <w:szCs w:val="20"/>
                              </w:rPr>
                              <w:t>Work</w:t>
                            </w:r>
                            <w:proofErr w:type="spellEnd"/>
                            <w:r w:rsidRPr="0046228B">
                              <w:rPr>
                                <w:rFonts w:ascii="Arial" w:hAnsi="Arial" w:cs="Arial"/>
                                <w:b/>
                                <w:i/>
                                <w:sz w:val="20"/>
                                <w:szCs w:val="20"/>
                              </w:rPr>
                              <w:t>, with or without Study</w:t>
                            </w:r>
                          </w:p>
                        </w:txbxContent>
                      </v:textbox>
                    </v:shape>
                  </w:pict>
                </mc:Fallback>
              </mc:AlternateContent>
            </w:r>
          </w:p>
          <w:p w:rsidR="00CC6C62" w:rsidRDefault="00AF696A" w:rsidP="008534B2">
            <w:pPr>
              <w:pStyle w:val="Figure"/>
            </w:pPr>
            <w:r>
              <w:rPr>
                <w:noProof/>
              </w:rPr>
              <w:drawing>
                <wp:inline distT="0" distB="0" distL="0" distR="0" wp14:anchorId="26913E87" wp14:editId="2D188814">
                  <wp:extent cx="2746984" cy="1809345"/>
                  <wp:effectExtent l="0" t="0" r="0" b="635"/>
                  <wp:docPr id="6" name="Picture 6" descr="Figure A.4 the Work and Study to Work pathway for youth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Longitudinal Surveys\Hilda R10\100c\CB\meanprobdist\recode activity\final SI plots\done\y_3.png"/>
                          <pic:cNvPicPr>
                            <a:picLocks noChangeAspect="1" noChangeArrowheads="1"/>
                          </pic:cNvPicPr>
                        </pic:nvPicPr>
                        <pic:blipFill rotWithShape="1">
                          <a:blip r:embed="rId12">
                            <a:extLst>
                              <a:ext uri="{28A0092B-C50C-407E-A947-70E740481C1C}">
                                <a14:useLocalDpi xmlns:a14="http://schemas.microsoft.com/office/drawing/2010/main" val="0"/>
                              </a:ext>
                            </a:extLst>
                          </a:blip>
                          <a:srcRect l="1519" t="840" r="1894" b="11836"/>
                          <a:stretch/>
                        </pic:blipFill>
                        <pic:spPr bwMode="auto">
                          <a:xfrm>
                            <a:off x="0" y="0"/>
                            <a:ext cx="2753889" cy="1813893"/>
                          </a:xfrm>
                          <a:prstGeom prst="rect">
                            <a:avLst/>
                          </a:prstGeom>
                          <a:noFill/>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2129223D" wp14:editId="42132FC3">
                  <wp:extent cx="2746800" cy="1810800"/>
                  <wp:effectExtent l="0" t="0" r="0" b="0"/>
                  <wp:docPr id="5" name="Picture 5" descr="Figure A.4 the Work, with or without Study pathway for youth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Longitudinal Surveys\Hilda R10\100c\CB\meanprobdist\recode activity\final SI plots\y_2.png"/>
                          <pic:cNvPicPr>
                            <a:picLocks noChangeAspect="1" noChangeArrowheads="1"/>
                          </pic:cNvPicPr>
                        </pic:nvPicPr>
                        <pic:blipFill rotWithShape="1">
                          <a:blip r:embed="rId13">
                            <a:extLst>
                              <a:ext uri="{28A0092B-C50C-407E-A947-70E740481C1C}">
                                <a14:useLocalDpi xmlns:a14="http://schemas.microsoft.com/office/drawing/2010/main" val="0"/>
                              </a:ext>
                            </a:extLst>
                          </a:blip>
                          <a:srcRect l="1602" t="865" r="2106" b="12061"/>
                          <a:stretch/>
                        </pic:blipFill>
                        <pic:spPr bwMode="auto">
                          <a:xfrm>
                            <a:off x="0" y="0"/>
                            <a:ext cx="2746800" cy="1810800"/>
                          </a:xfrm>
                          <a:prstGeom prst="rect">
                            <a:avLst/>
                          </a:prstGeom>
                          <a:noFill/>
                          <a:ln>
                            <a:noFill/>
                          </a:ln>
                          <a:extLst>
                            <a:ext uri="{53640926-AAD7-44D8-BBD7-CCE9431645EC}">
                              <a14:shadowObscured xmlns:a14="http://schemas.microsoft.com/office/drawing/2010/main"/>
                            </a:ext>
                          </a:extLst>
                        </pic:spPr>
                      </pic:pic>
                    </a:graphicData>
                  </a:graphic>
                </wp:inline>
              </w:drawing>
            </w:r>
            <w:r w:rsidR="008534B2">
              <w:rPr>
                <w:noProof/>
              </w:rPr>
              <w:drawing>
                <wp:inline distT="0" distB="0" distL="0" distR="0" wp14:anchorId="751C2F1E" wp14:editId="55488596">
                  <wp:extent cx="4133850" cy="333375"/>
                  <wp:effectExtent l="0" t="0" r="0" b="9525"/>
                  <wp:docPr id="4" name="Picture 4" title="Legend for sequence index plo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13450" t="86514" r="1949" b="4324"/>
                          <a:stretch/>
                        </pic:blipFill>
                        <pic:spPr bwMode="auto">
                          <a:xfrm>
                            <a:off x="0" y="0"/>
                            <a:ext cx="4133850" cy="333375"/>
                          </a:xfrm>
                          <a:prstGeom prst="rect">
                            <a:avLst/>
                          </a:prstGeom>
                          <a:noFill/>
                          <a:ln>
                            <a:noFill/>
                          </a:ln>
                          <a:extLst>
                            <a:ext uri="{53640926-AAD7-44D8-BBD7-CCE9431645EC}">
                              <a14:shadowObscured xmlns:a14="http://schemas.microsoft.com/office/drawing/2010/main"/>
                            </a:ext>
                          </a:extLst>
                        </pic:spPr>
                      </pic:pic>
                    </a:graphicData>
                  </a:graphic>
                </wp:inline>
              </w:drawing>
            </w:r>
          </w:p>
        </w:tc>
      </w:tr>
    </w:tbl>
    <w:p w:rsidR="00CC6C62" w:rsidRDefault="00A77770" w:rsidP="007A4791">
      <w:pPr>
        <w:pStyle w:val="Note"/>
        <w:keepNext/>
      </w:pPr>
      <w:proofErr w:type="spellStart"/>
      <w:r>
        <w:rPr>
          <w:rStyle w:val="NoteLabel"/>
        </w:rPr>
        <w:t>a</w:t>
      </w:r>
      <w:proofErr w:type="spellEnd"/>
      <w:r>
        <w:t> </w:t>
      </w:r>
      <w:r w:rsidR="00CC6C62">
        <w:t xml:space="preserve">For larger versions of the sequence index plots, see </w:t>
      </w:r>
      <w:r w:rsidR="00533842">
        <w:t xml:space="preserve">chapter 3 </w:t>
      </w:r>
      <w:r w:rsidR="00CC6C62">
        <w:t xml:space="preserve">for the </w:t>
      </w:r>
      <w:r w:rsidR="00CC6C62" w:rsidRPr="007333CA">
        <w:rPr>
          <w:i/>
        </w:rPr>
        <w:t xml:space="preserve">Work and </w:t>
      </w:r>
      <w:r w:rsidR="00F719EE">
        <w:rPr>
          <w:i/>
        </w:rPr>
        <w:t>S</w:t>
      </w:r>
      <w:r w:rsidR="00CC6C62" w:rsidRPr="007333CA">
        <w:rPr>
          <w:i/>
        </w:rPr>
        <w:t xml:space="preserve">tudy to </w:t>
      </w:r>
      <w:r w:rsidR="00F719EE">
        <w:rPr>
          <w:i/>
        </w:rPr>
        <w:t>W</w:t>
      </w:r>
      <w:r w:rsidR="00CC6C62" w:rsidRPr="007333CA">
        <w:rPr>
          <w:i/>
        </w:rPr>
        <w:t xml:space="preserve">ork </w:t>
      </w:r>
      <w:r w:rsidR="00CC6C62">
        <w:t xml:space="preserve">pathway and </w:t>
      </w:r>
      <w:r w:rsidR="00533842">
        <w:t xml:space="preserve">appendix C </w:t>
      </w:r>
      <w:r w:rsidR="00CC6C62">
        <w:t xml:space="preserve">for the </w:t>
      </w:r>
      <w:r w:rsidR="00CC6C62" w:rsidRPr="007333CA">
        <w:rPr>
          <w:i/>
        </w:rPr>
        <w:t xml:space="preserve">Work, with or without </w:t>
      </w:r>
      <w:r w:rsidR="00F719EE">
        <w:rPr>
          <w:i/>
        </w:rPr>
        <w:t>S</w:t>
      </w:r>
      <w:r w:rsidR="00CC6C62" w:rsidRPr="007333CA">
        <w:rPr>
          <w:i/>
        </w:rPr>
        <w:t>tudy</w:t>
      </w:r>
      <w:r w:rsidR="00CC6C62">
        <w:t xml:space="preserve"> pathway.</w:t>
      </w:r>
    </w:p>
    <w:p w:rsidR="00CC6C62" w:rsidRPr="007333CA" w:rsidRDefault="00CC6C62" w:rsidP="00CC6C62">
      <w:pPr>
        <w:pStyle w:val="Source"/>
        <w:rPr>
          <w:rStyle w:val="DraftingNote"/>
          <w:b w:val="0"/>
          <w:color w:val="auto"/>
          <w:sz w:val="18"/>
          <w:u w:val="none"/>
        </w:rPr>
      </w:pPr>
      <w:r>
        <w:rPr>
          <w:i/>
        </w:rPr>
        <w:t>Data source</w:t>
      </w:r>
      <w:r w:rsidRPr="00167F06">
        <w:t xml:space="preserve">: </w:t>
      </w:r>
      <w:r w:rsidR="000C0DCE">
        <w:t>Authors’</w:t>
      </w:r>
      <w:r>
        <w:t xml:space="preserve"> estimates based on HILDA waves 1–10.</w:t>
      </w:r>
    </w:p>
    <w:p w:rsidR="00CC6C62" w:rsidRPr="00E36076" w:rsidRDefault="00805798" w:rsidP="00E36076">
      <w:pPr>
        <w:pStyle w:val="Heading2"/>
        <w:rPr>
          <w:rStyle w:val="DraftingNote"/>
          <w:b/>
          <w:color w:val="auto"/>
          <w:sz w:val="32"/>
          <w:u w:val="none"/>
        </w:rPr>
      </w:pPr>
      <w:bookmarkStart w:id="11" w:name="OLE_LINK4"/>
      <w:proofErr w:type="spellStart"/>
      <w:r w:rsidRPr="00E36076">
        <w:rPr>
          <w:rStyle w:val="DraftingNote"/>
          <w:b/>
          <w:color w:val="auto"/>
          <w:sz w:val="32"/>
          <w:u w:val="none"/>
        </w:rPr>
        <w:t>A.</w:t>
      </w:r>
      <w:r w:rsidR="00476C58">
        <w:rPr>
          <w:rStyle w:val="DraftingNote"/>
          <w:b/>
          <w:noProof/>
          <w:color w:val="auto"/>
          <w:sz w:val="32"/>
          <w:u w:val="none"/>
        </w:rPr>
        <w:t>3</w:t>
      </w:r>
      <w:bookmarkEnd w:id="11"/>
      <w:proofErr w:type="spellEnd"/>
      <w:r w:rsidR="00CC6C62" w:rsidRPr="00E36076">
        <w:rPr>
          <w:rStyle w:val="DraftingNote"/>
          <w:b/>
          <w:color w:val="auto"/>
          <w:sz w:val="32"/>
          <w:u w:val="none"/>
        </w:rPr>
        <w:tab/>
      </w:r>
      <w:r w:rsidR="00FE6A0F" w:rsidRPr="00E36076">
        <w:rPr>
          <w:rStyle w:val="DraftingNote"/>
          <w:b/>
          <w:color w:val="auto"/>
          <w:sz w:val="32"/>
          <w:u w:val="none"/>
        </w:rPr>
        <w:t>Some c</w:t>
      </w:r>
      <w:r w:rsidR="00CC6C62" w:rsidRPr="00E36076">
        <w:rPr>
          <w:rStyle w:val="DraftingNote"/>
          <w:b/>
          <w:color w:val="auto"/>
          <w:sz w:val="32"/>
          <w:u w:val="none"/>
        </w:rPr>
        <w:t>aveats</w:t>
      </w:r>
    </w:p>
    <w:p w:rsidR="00CC6C62" w:rsidRDefault="001A735D" w:rsidP="00CC6C62">
      <w:pPr>
        <w:pStyle w:val="BodyText"/>
      </w:pPr>
      <w:r>
        <w:t>S</w:t>
      </w:r>
      <w:r w:rsidR="00CC6C62">
        <w:t xml:space="preserve">everal caveats relate to the </w:t>
      </w:r>
      <w:r w:rsidR="00545A87">
        <w:t>wave 1</w:t>
      </w:r>
      <w:r w:rsidR="00CC6C62">
        <w:t xml:space="preserve"> data and the way </w:t>
      </w:r>
      <w:r>
        <w:t>in which</w:t>
      </w:r>
      <w:r w:rsidR="00CC6C62">
        <w:t xml:space="preserve"> the database </w:t>
      </w:r>
      <w:r>
        <w:t xml:space="preserve">is constructed </w:t>
      </w:r>
      <w:r w:rsidR="00CC6C62">
        <w:t xml:space="preserve">for this </w:t>
      </w:r>
      <w:r w:rsidR="00170E69">
        <w:t>analysis</w:t>
      </w:r>
      <w:r w:rsidR="00CC6C62">
        <w:t>. The caveats relate to various potential sources of bias, which are discussed in this section.</w:t>
      </w:r>
      <w:r w:rsidR="00CC6C62">
        <w:rPr>
          <w:rStyle w:val="FootnoteReference"/>
        </w:rPr>
        <w:footnoteReference w:id="7"/>
      </w:r>
      <w:r w:rsidR="00CC6C62">
        <w:t xml:space="preserve"> </w:t>
      </w:r>
    </w:p>
    <w:p w:rsidR="00CC6C62" w:rsidRDefault="00CC6C62" w:rsidP="00CC6C62">
      <w:pPr>
        <w:pStyle w:val="ListBullet"/>
      </w:pPr>
      <w:r>
        <w:t>The sample may not be representative of the population because of unequal probabilities of selection across individuals, resulting in sample selection bias.</w:t>
      </w:r>
    </w:p>
    <w:p w:rsidR="00CC6C62" w:rsidRDefault="00CC6C62" w:rsidP="00CC6C62">
      <w:pPr>
        <w:pStyle w:val="ListBullet"/>
      </w:pPr>
      <w:r>
        <w:t>Longitudinal surveys are often subject to attrition bias, which occurs if the people who drop out of the sample after the first wave are a non</w:t>
      </w:r>
      <w:r w:rsidR="00C6017F">
        <w:noBreakHyphen/>
      </w:r>
      <w:r>
        <w:t xml:space="preserve">random selection of individuals from across the population. </w:t>
      </w:r>
    </w:p>
    <w:p w:rsidR="00CC6C62" w:rsidRDefault="00CC6C62" w:rsidP="00CC6C62">
      <w:pPr>
        <w:pStyle w:val="ListBullet"/>
      </w:pPr>
      <w:r>
        <w:t xml:space="preserve">Recall bias is especially of concern for the calendar data in HILDA, since they are collected annually for a period exceeding a year. </w:t>
      </w:r>
    </w:p>
    <w:p w:rsidR="00CC6C62" w:rsidRDefault="00CC6C62" w:rsidP="00CC6C62">
      <w:pPr>
        <w:pStyle w:val="ListBullet"/>
      </w:pPr>
      <w:r>
        <w:t xml:space="preserve">Two other </w:t>
      </w:r>
      <w:r w:rsidR="00A02867">
        <w:t xml:space="preserve">potential </w:t>
      </w:r>
      <w:r>
        <w:t>sources of bias relate to: having a finite observation period and using time of survey data to make inferences about activities outside of the survey month.</w:t>
      </w:r>
    </w:p>
    <w:p w:rsidR="00CC6C62" w:rsidRPr="005A0C8D" w:rsidRDefault="00CC6C62" w:rsidP="00CC6C62">
      <w:pPr>
        <w:pStyle w:val="Heading3"/>
      </w:pPr>
      <w:r w:rsidRPr="005A0C8D">
        <w:lastRenderedPageBreak/>
        <w:t>Sample selection bias</w:t>
      </w:r>
    </w:p>
    <w:p w:rsidR="00CC6C62" w:rsidRPr="00E36076" w:rsidRDefault="00CC6C62" w:rsidP="00E36076">
      <w:pPr>
        <w:pStyle w:val="BodyText"/>
      </w:pPr>
      <w:r w:rsidRPr="00E36076">
        <w:t xml:space="preserve">The reference population at the start of the HILDA survey in 2001, </w:t>
      </w:r>
      <w:r w:rsidR="00924990" w:rsidRPr="00E36076">
        <w:t xml:space="preserve">which </w:t>
      </w:r>
      <w:r w:rsidR="000C0A41">
        <w:t xml:space="preserve">was intended </w:t>
      </w:r>
      <w:r w:rsidRPr="00E36076">
        <w:t xml:space="preserve">to </w:t>
      </w:r>
      <w:r w:rsidR="00924990" w:rsidRPr="00E36076">
        <w:t xml:space="preserve">be </w:t>
      </w:r>
      <w:r w:rsidRPr="00E36076">
        <w:t>represent</w:t>
      </w:r>
      <w:r w:rsidR="00924990" w:rsidRPr="00E36076">
        <w:t>ative of the population</w:t>
      </w:r>
      <w:r w:rsidRPr="00E36076">
        <w:t xml:space="preserve">, </w:t>
      </w:r>
      <w:r w:rsidR="000C0A41">
        <w:t>was</w:t>
      </w:r>
      <w:r w:rsidRPr="00E36076">
        <w:t xml:space="preserve"> </w:t>
      </w:r>
      <w:r w:rsidR="00924990" w:rsidRPr="00E36076">
        <w:t xml:space="preserve">primarily </w:t>
      </w:r>
      <w:r w:rsidRPr="00E36076">
        <w:t xml:space="preserve">all Australians who </w:t>
      </w:r>
      <w:r w:rsidR="000C0A41">
        <w:t>were</w:t>
      </w:r>
      <w:r w:rsidRPr="00E36076">
        <w:t xml:space="preserve"> living in private dwellings. The survey d</w:t>
      </w:r>
      <w:r w:rsidR="000C0A41">
        <w:t>id</w:t>
      </w:r>
      <w:r w:rsidRPr="00E36076">
        <w:t xml:space="preserve"> not </w:t>
      </w:r>
      <w:r w:rsidR="000C0A41">
        <w:t xml:space="preserve">(and does not) </w:t>
      </w:r>
      <w:r w:rsidRPr="00E36076">
        <w:t>include, for example, individuals in hospitals or prisons as these are non</w:t>
      </w:r>
      <w:r w:rsidR="00C6017F">
        <w:noBreakHyphen/>
      </w:r>
      <w:r w:rsidRPr="00E36076">
        <w:t xml:space="preserve">private dwellings. Individuals who live in remote areas </w:t>
      </w:r>
      <w:r w:rsidR="000C0A41">
        <w:t xml:space="preserve">were (and </w:t>
      </w:r>
      <w:r w:rsidRPr="00E36076">
        <w:t>are</w:t>
      </w:r>
      <w:r w:rsidR="000C0A41">
        <w:t>)</w:t>
      </w:r>
      <w:r w:rsidRPr="00E36076">
        <w:t xml:space="preserve"> </w:t>
      </w:r>
      <w:r w:rsidR="00924990" w:rsidRPr="00E36076">
        <w:t xml:space="preserve">also </w:t>
      </w:r>
      <w:r w:rsidRPr="00E36076">
        <w:t>not represented in the survey. See Wooden and Watson (2001) for further information about the reference population for HILDA.</w:t>
      </w:r>
    </w:p>
    <w:p w:rsidR="00CC6C62" w:rsidRPr="00E36076" w:rsidRDefault="00CC6C62" w:rsidP="00E36076">
      <w:pPr>
        <w:pStyle w:val="BodyText"/>
      </w:pPr>
      <w:r w:rsidRPr="00E36076">
        <w:t>Children aged 14 or younger are included in the sample</w:t>
      </w:r>
      <w:r w:rsidR="000C0A41">
        <w:t xml:space="preserve"> (enumerated)</w:t>
      </w:r>
      <w:r w:rsidRPr="00E36076">
        <w:t xml:space="preserve">, but are only interviewed </w:t>
      </w:r>
      <w:r w:rsidR="000C0A41">
        <w:t xml:space="preserve">(that is, become respondents) </w:t>
      </w:r>
      <w:r w:rsidRPr="00E36076">
        <w:t>once they turn 15 years of age. Data used in this paper do not include individuals who turn</w:t>
      </w:r>
      <w:r w:rsidR="000C0A41">
        <w:t>ed</w:t>
      </w:r>
      <w:r w:rsidRPr="00E36076">
        <w:t xml:space="preserve"> 15 after 30</w:t>
      </w:r>
      <w:r w:rsidR="00C6017F">
        <w:t> </w:t>
      </w:r>
      <w:r w:rsidRPr="00E36076">
        <w:t xml:space="preserve">June 2001. </w:t>
      </w:r>
    </w:p>
    <w:p w:rsidR="00CC6C62" w:rsidRPr="00E36076" w:rsidRDefault="00D10D02" w:rsidP="00E36076">
      <w:pPr>
        <w:pStyle w:val="BodyText"/>
      </w:pPr>
      <w:r>
        <w:t>Despite</w:t>
      </w:r>
      <w:r w:rsidR="00CC6C62" w:rsidRPr="00E36076">
        <w:t xml:space="preserve"> a low response rate in wave 1</w:t>
      </w:r>
      <w:r w:rsidR="000C0A41">
        <w:t xml:space="preserve"> —</w:t>
      </w:r>
      <w:r w:rsidR="0088403A">
        <w:t xml:space="preserve"> </w:t>
      </w:r>
      <w:r w:rsidR="001278A7" w:rsidRPr="00E36076">
        <w:t>39</w:t>
      </w:r>
      <w:r w:rsidR="00CC6C62" w:rsidRPr="00E36076">
        <w:t xml:space="preserve"> per cent of individuals did not respond to the first survey</w:t>
      </w:r>
      <w:r w:rsidR="0088403A">
        <w:rPr>
          <w:rStyle w:val="FootnoteReference"/>
        </w:rPr>
        <w:footnoteReference w:id="8"/>
      </w:r>
      <w:r w:rsidR="00CC6C62" w:rsidRPr="00E36076">
        <w:t xml:space="preserve"> </w:t>
      </w:r>
      <w:r>
        <w:t xml:space="preserve">— </w:t>
      </w:r>
      <w:r w:rsidR="00CC6C62" w:rsidRPr="00E36076">
        <w:t xml:space="preserve">Watson and Wooden (2012, p. 374) </w:t>
      </w:r>
      <w:r w:rsidR="001278A7" w:rsidRPr="00E36076">
        <w:t>argue</w:t>
      </w:r>
      <w:r w:rsidR="00CC6C62" w:rsidRPr="00E36076">
        <w:t xml:space="preserve"> that the first wave of </w:t>
      </w:r>
      <w:r>
        <w:t xml:space="preserve">weighted </w:t>
      </w:r>
      <w:r w:rsidR="00CC6C62" w:rsidRPr="00E36076">
        <w:t>data matched the ‘broader population quite well’. Exceptions included Sydney residents and immigrants with a non</w:t>
      </w:r>
      <w:r w:rsidR="00CC6C62" w:rsidRPr="00E36076">
        <w:noBreakHyphen/>
        <w:t>English speaking background</w:t>
      </w:r>
      <w:r w:rsidR="005B719A" w:rsidRPr="00E36076">
        <w:t xml:space="preserve"> (Wooden, </w:t>
      </w:r>
      <w:proofErr w:type="spellStart"/>
      <w:r w:rsidR="005B719A" w:rsidRPr="00E36076">
        <w:t>Fre</w:t>
      </w:r>
      <w:r w:rsidR="005D1BA4" w:rsidRPr="00E36076">
        <w:t>i</w:t>
      </w:r>
      <w:r w:rsidR="005B719A" w:rsidRPr="00E36076">
        <w:t>d</w:t>
      </w:r>
      <w:r w:rsidR="005D1BA4" w:rsidRPr="00E36076">
        <w:t>i</w:t>
      </w:r>
      <w:r w:rsidR="005B719A" w:rsidRPr="00E36076">
        <w:t>n</w:t>
      </w:r>
      <w:proofErr w:type="spellEnd"/>
      <w:r w:rsidR="005B719A" w:rsidRPr="00E36076">
        <w:t xml:space="preserve"> and Watson 2002)</w:t>
      </w:r>
      <w:r w:rsidR="00CC6C62" w:rsidRPr="00E36076">
        <w:t xml:space="preserve">. </w:t>
      </w:r>
    </w:p>
    <w:p w:rsidR="00CC6C62" w:rsidRDefault="00CC6C62" w:rsidP="00CC6C62">
      <w:pPr>
        <w:pStyle w:val="Heading3"/>
      </w:pPr>
      <w:r>
        <w:t>Attrition bias</w:t>
      </w:r>
    </w:p>
    <w:p w:rsidR="00CC6C62" w:rsidRPr="00E36076" w:rsidRDefault="00CC6C62" w:rsidP="00CC6C62">
      <w:pPr>
        <w:pStyle w:val="BodyText"/>
        <w:rPr>
          <w:lang w:eastAsia="en-US"/>
        </w:rPr>
      </w:pPr>
      <w:r w:rsidRPr="00E36076">
        <w:t xml:space="preserve">According to Watson and Wooden (2012) </w:t>
      </w:r>
      <w:r w:rsidR="002928C9">
        <w:t xml:space="preserve">the loss of sample members </w:t>
      </w:r>
      <w:r w:rsidRPr="00E36076">
        <w:t xml:space="preserve">because of death or moving overseas </w:t>
      </w:r>
      <w:r w:rsidR="002928C9">
        <w:t xml:space="preserve">(termed ‘natural attrition’) </w:t>
      </w:r>
      <w:r w:rsidRPr="00E36076">
        <w:t>is not likely to cause the HILDA dataset to be unrepresentative of the Australian population. The authors state that other reasons for dropping out of the survey are more likely to contribute to attrition bias.</w:t>
      </w:r>
      <w:r>
        <w:rPr>
          <w:rStyle w:val="FootnoteReference"/>
        </w:rPr>
        <w:footnoteReference w:id="9"/>
      </w:r>
      <w:r w:rsidRPr="00E36076">
        <w:rPr>
          <w:lang w:eastAsia="en-US"/>
        </w:rPr>
        <w:t xml:space="preserve"> </w:t>
      </w:r>
    </w:p>
    <w:p w:rsidR="00CC6C62" w:rsidRDefault="00CC6C62" w:rsidP="00CC6C62">
      <w:pPr>
        <w:pStyle w:val="BodyText"/>
      </w:pPr>
      <w:r>
        <w:t xml:space="preserve">Of the 13 969 people who were interviewed in </w:t>
      </w:r>
      <w:r w:rsidR="00124B55">
        <w:t>the first wave</w:t>
      </w:r>
      <w:r w:rsidR="00C6017F">
        <w:t>, 7</w:t>
      </w:r>
      <w:r>
        <w:t>460 were also interviewed in waves 2 to 10, inclusive.</w:t>
      </w:r>
      <w:r w:rsidDel="000B71B7">
        <w:t xml:space="preserve"> </w:t>
      </w:r>
      <w:r w:rsidR="002928C9">
        <w:t>Excluding the individuals lost through natural attrition, 87 per cent o</w:t>
      </w:r>
      <w:r>
        <w:t xml:space="preserve">f those </w:t>
      </w:r>
      <w:r w:rsidR="00CF6C75">
        <w:t xml:space="preserve">people </w:t>
      </w:r>
      <w:r>
        <w:t xml:space="preserve">interviewed </w:t>
      </w:r>
      <w:r w:rsidR="00BC0921">
        <w:t>in the first</w:t>
      </w:r>
      <w:r>
        <w:t xml:space="preserve"> wave were re</w:t>
      </w:r>
      <w:r>
        <w:noBreakHyphen/>
        <w:t xml:space="preserve">interviewed in wave 2. The annual </w:t>
      </w:r>
      <w:proofErr w:type="spellStart"/>
      <w:r>
        <w:t>re</w:t>
      </w:r>
      <w:r>
        <w:noBreakHyphen/>
        <w:t>interview</w:t>
      </w:r>
      <w:proofErr w:type="spellEnd"/>
      <w:r>
        <w:t xml:space="preserve"> rate </w:t>
      </w:r>
      <w:r w:rsidR="002928C9">
        <w:t xml:space="preserve">(which excludes natural attrition) </w:t>
      </w:r>
      <w:r>
        <w:t xml:space="preserve">rose to about 96 per cent by wave 10 (Watson and Wooden 2012). </w:t>
      </w:r>
    </w:p>
    <w:p w:rsidR="00CC6C62" w:rsidRDefault="00CC6C62" w:rsidP="00CC6C62">
      <w:pPr>
        <w:pStyle w:val="BodyText"/>
      </w:pPr>
      <w:r>
        <w:t xml:space="preserve">The highest rate of attrition was from wave 1 to wave 2. After excluding ‘natural attrition’ resulting from death or moving overseas, the adjusted attrition rate was 13.2 per cent. This is comparable to the </w:t>
      </w:r>
      <w:proofErr w:type="spellStart"/>
      <w:r>
        <w:t>BHPS</w:t>
      </w:r>
      <w:proofErr w:type="spellEnd"/>
      <w:r>
        <w:t xml:space="preserve"> with an attrition rate of 12.4 per cent (Watson and Wooden 2004). </w:t>
      </w:r>
    </w:p>
    <w:p w:rsidR="00CC6C62" w:rsidRPr="00E36076" w:rsidRDefault="00CC6C62" w:rsidP="00E36076">
      <w:pPr>
        <w:pStyle w:val="BodyText"/>
        <w:rPr>
          <w:rStyle w:val="DraftingNote"/>
          <w:b w:val="0"/>
          <w:color w:val="auto"/>
          <w:sz w:val="26"/>
          <w:u w:val="none"/>
        </w:rPr>
      </w:pPr>
      <w:r w:rsidRPr="00E36076">
        <w:rPr>
          <w:rStyle w:val="DraftingNote"/>
          <w:b w:val="0"/>
          <w:color w:val="auto"/>
          <w:sz w:val="26"/>
          <w:u w:val="none"/>
        </w:rPr>
        <w:lastRenderedPageBreak/>
        <w:t>Watson and Wooden (2004) compared characteristics of the individuals who dropped out of the sample (for reasons other than death or relocation overseas) to those who remained in the sample. Compared to individuals who participated in the first and second waves, individuals who dropped out of the survey before the second wave because they could not be contacted (often because they had changed address), or because they refused to participate further, were more likely to:</w:t>
      </w:r>
    </w:p>
    <w:p w:rsidR="00CC6C62" w:rsidRPr="00E36076" w:rsidRDefault="00CC6C62" w:rsidP="00E36076">
      <w:pPr>
        <w:pStyle w:val="ListBullet"/>
        <w:rPr>
          <w:rStyle w:val="DraftingNote"/>
          <w:b w:val="0"/>
          <w:color w:val="auto"/>
          <w:sz w:val="26"/>
          <w:u w:val="none"/>
        </w:rPr>
      </w:pPr>
      <w:r w:rsidRPr="00E36076">
        <w:rPr>
          <w:rStyle w:val="DraftingNote"/>
          <w:b w:val="0"/>
          <w:color w:val="auto"/>
          <w:sz w:val="26"/>
          <w:u w:val="none"/>
        </w:rPr>
        <w:t>live in Sydney</w:t>
      </w:r>
    </w:p>
    <w:p w:rsidR="00CC6C62" w:rsidRPr="00E36076" w:rsidRDefault="00CC6C62" w:rsidP="00E36076">
      <w:pPr>
        <w:pStyle w:val="ListBullet"/>
        <w:rPr>
          <w:rStyle w:val="DraftingNote"/>
          <w:b w:val="0"/>
          <w:color w:val="auto"/>
          <w:sz w:val="26"/>
          <w:u w:val="none"/>
        </w:rPr>
      </w:pPr>
      <w:r w:rsidRPr="00E36076">
        <w:rPr>
          <w:rStyle w:val="DraftingNote"/>
          <w:b w:val="0"/>
          <w:color w:val="auto"/>
          <w:sz w:val="26"/>
          <w:u w:val="none"/>
        </w:rPr>
        <w:t xml:space="preserve">be 15–24 years of age </w:t>
      </w:r>
    </w:p>
    <w:p w:rsidR="00CC6C62" w:rsidRPr="00E36076" w:rsidRDefault="00CC6C62" w:rsidP="00E36076">
      <w:pPr>
        <w:pStyle w:val="ListBullet"/>
        <w:rPr>
          <w:rStyle w:val="DraftingNote"/>
          <w:b w:val="0"/>
          <w:color w:val="auto"/>
          <w:sz w:val="26"/>
          <w:u w:val="none"/>
        </w:rPr>
      </w:pPr>
      <w:r w:rsidRPr="00E36076">
        <w:rPr>
          <w:rStyle w:val="DraftingNote"/>
          <w:b w:val="0"/>
          <w:color w:val="auto"/>
          <w:sz w:val="26"/>
          <w:u w:val="none"/>
        </w:rPr>
        <w:t>be single or in a de facto relationship</w:t>
      </w:r>
    </w:p>
    <w:p w:rsidR="00CC6C62" w:rsidRPr="00E36076" w:rsidRDefault="00CC6C62" w:rsidP="00E36076">
      <w:pPr>
        <w:pStyle w:val="ListBullet"/>
        <w:rPr>
          <w:rStyle w:val="DraftingNote"/>
          <w:b w:val="0"/>
          <w:color w:val="auto"/>
          <w:sz w:val="26"/>
          <w:u w:val="none"/>
        </w:rPr>
      </w:pPr>
      <w:r w:rsidRPr="00E36076">
        <w:rPr>
          <w:rStyle w:val="DraftingNote"/>
          <w:b w:val="0"/>
          <w:color w:val="auto"/>
          <w:sz w:val="26"/>
          <w:u w:val="none"/>
        </w:rPr>
        <w:t>be</w:t>
      </w:r>
      <w:r w:rsidRPr="00E36076" w:rsidDel="00A9791E">
        <w:rPr>
          <w:rStyle w:val="DraftingNote"/>
          <w:b w:val="0"/>
          <w:color w:val="auto"/>
          <w:sz w:val="26"/>
          <w:u w:val="none"/>
        </w:rPr>
        <w:t xml:space="preserve"> </w:t>
      </w:r>
      <w:r w:rsidRPr="00E36076">
        <w:rPr>
          <w:rStyle w:val="DraftingNote"/>
          <w:b w:val="0"/>
          <w:color w:val="auto"/>
          <w:sz w:val="26"/>
          <w:u w:val="none"/>
        </w:rPr>
        <w:t>an Aboriginal or Torres Strait Islander, or born in a non</w:t>
      </w:r>
      <w:r w:rsidR="00C6017F">
        <w:rPr>
          <w:rStyle w:val="DraftingNote"/>
          <w:b w:val="0"/>
          <w:color w:val="auto"/>
          <w:sz w:val="26"/>
          <w:u w:val="none"/>
        </w:rPr>
        <w:noBreakHyphen/>
      </w:r>
      <w:r w:rsidRPr="00E36076">
        <w:rPr>
          <w:rStyle w:val="DraftingNote"/>
          <w:b w:val="0"/>
          <w:color w:val="auto"/>
          <w:sz w:val="26"/>
          <w:u w:val="none"/>
        </w:rPr>
        <w:t>English speaking country</w:t>
      </w:r>
    </w:p>
    <w:p w:rsidR="00CC6C62" w:rsidRPr="00E36076" w:rsidRDefault="00CC6C62" w:rsidP="00E36076">
      <w:pPr>
        <w:pStyle w:val="ListBullet"/>
        <w:rPr>
          <w:rStyle w:val="DraftingNote"/>
          <w:b w:val="0"/>
          <w:color w:val="auto"/>
          <w:sz w:val="26"/>
          <w:u w:val="none"/>
        </w:rPr>
      </w:pPr>
      <w:r w:rsidRPr="00E36076">
        <w:rPr>
          <w:rStyle w:val="DraftingNote"/>
          <w:b w:val="0"/>
          <w:color w:val="auto"/>
          <w:sz w:val="26"/>
          <w:u w:val="none"/>
        </w:rPr>
        <w:t>be living in a flat, unit or apartment</w:t>
      </w:r>
    </w:p>
    <w:p w:rsidR="00CC6C62" w:rsidRPr="00E36076" w:rsidRDefault="00CC6C62" w:rsidP="00E36076">
      <w:pPr>
        <w:pStyle w:val="ListBullet"/>
        <w:rPr>
          <w:rStyle w:val="DraftingNote"/>
          <w:b w:val="0"/>
          <w:color w:val="auto"/>
          <w:sz w:val="26"/>
          <w:u w:val="none"/>
        </w:rPr>
      </w:pPr>
      <w:r w:rsidRPr="00E36076">
        <w:rPr>
          <w:rStyle w:val="DraftingNote"/>
          <w:b w:val="0"/>
          <w:color w:val="auto"/>
          <w:sz w:val="26"/>
          <w:u w:val="none"/>
        </w:rPr>
        <w:t>have a low level of education</w:t>
      </w:r>
    </w:p>
    <w:p w:rsidR="00CC6C62" w:rsidRPr="00E36076" w:rsidRDefault="00CC6C62" w:rsidP="00E36076">
      <w:pPr>
        <w:pStyle w:val="ListBullet"/>
        <w:rPr>
          <w:rStyle w:val="DraftingNote"/>
          <w:b w:val="0"/>
          <w:color w:val="auto"/>
          <w:sz w:val="26"/>
          <w:u w:val="none"/>
        </w:rPr>
      </w:pPr>
      <w:r w:rsidRPr="00E36076">
        <w:rPr>
          <w:rStyle w:val="DraftingNote"/>
          <w:b w:val="0"/>
          <w:color w:val="auto"/>
          <w:sz w:val="26"/>
          <w:u w:val="none"/>
        </w:rPr>
        <w:t>be unemployed.</w:t>
      </w:r>
    </w:p>
    <w:p w:rsidR="00CC6C62" w:rsidRPr="00E36076" w:rsidRDefault="00A02867" w:rsidP="00E36076">
      <w:pPr>
        <w:pStyle w:val="BodyText"/>
        <w:rPr>
          <w:rStyle w:val="DraftingNote"/>
          <w:b w:val="0"/>
          <w:color w:val="auto"/>
          <w:sz w:val="26"/>
          <w:u w:val="none"/>
        </w:rPr>
      </w:pPr>
      <w:r w:rsidRPr="00E36076">
        <w:rPr>
          <w:rStyle w:val="DraftingNote"/>
          <w:b w:val="0"/>
          <w:color w:val="auto"/>
          <w:sz w:val="26"/>
          <w:u w:val="none"/>
        </w:rPr>
        <w:t>I</w:t>
      </w:r>
      <w:r w:rsidR="00CC6C62" w:rsidRPr="00E36076">
        <w:rPr>
          <w:rStyle w:val="DraftingNote"/>
          <w:b w:val="0"/>
          <w:color w:val="auto"/>
          <w:sz w:val="26"/>
          <w:u w:val="none"/>
        </w:rPr>
        <w:t>ndividuals with these characteristics will be under</w:t>
      </w:r>
      <w:r w:rsidR="00CC6C62" w:rsidRPr="00E36076">
        <w:rPr>
          <w:rStyle w:val="DraftingNote"/>
          <w:b w:val="0"/>
          <w:color w:val="auto"/>
          <w:sz w:val="26"/>
          <w:u w:val="none"/>
        </w:rPr>
        <w:noBreakHyphen/>
        <w:t>represented in the sub</w:t>
      </w:r>
      <w:r w:rsidR="00C6017F">
        <w:rPr>
          <w:rStyle w:val="DraftingNote"/>
          <w:b w:val="0"/>
          <w:color w:val="auto"/>
          <w:sz w:val="26"/>
          <w:u w:val="none"/>
        </w:rPr>
        <w:noBreakHyphen/>
      </w:r>
      <w:r w:rsidR="00CC6C62" w:rsidRPr="00E36076">
        <w:rPr>
          <w:rStyle w:val="DraftingNote"/>
          <w:b w:val="0"/>
          <w:color w:val="auto"/>
          <w:sz w:val="26"/>
          <w:u w:val="none"/>
        </w:rPr>
        <w:t xml:space="preserve">sample used in this paper, and the results presented may not reflect accurately the education and labour market activities of the underlying population. </w:t>
      </w:r>
      <w:proofErr w:type="spellStart"/>
      <w:r w:rsidR="00CC6C62" w:rsidRPr="00E36076">
        <w:rPr>
          <w:rStyle w:val="DraftingNote"/>
          <w:b w:val="0"/>
          <w:color w:val="auto"/>
          <w:sz w:val="26"/>
          <w:u w:val="none"/>
        </w:rPr>
        <w:t>Henstridge</w:t>
      </w:r>
      <w:proofErr w:type="spellEnd"/>
      <w:r w:rsidR="00CC6C62" w:rsidRPr="00E36076">
        <w:rPr>
          <w:rStyle w:val="DraftingNote"/>
          <w:b w:val="0"/>
          <w:color w:val="auto"/>
          <w:sz w:val="26"/>
          <w:u w:val="none"/>
        </w:rPr>
        <w:t xml:space="preserve"> </w:t>
      </w:r>
      <w:r w:rsidRPr="00E36076">
        <w:rPr>
          <w:rStyle w:val="DraftingNote"/>
          <w:b w:val="0"/>
          <w:color w:val="auto"/>
          <w:sz w:val="26"/>
          <w:u w:val="none"/>
        </w:rPr>
        <w:t>observes that</w:t>
      </w:r>
      <w:r w:rsidR="00CC6C62" w:rsidRPr="00E36076">
        <w:rPr>
          <w:rStyle w:val="DraftingNote"/>
          <w:b w:val="0"/>
          <w:color w:val="auto"/>
          <w:sz w:val="26"/>
          <w:u w:val="none"/>
        </w:rPr>
        <w:t>:</w:t>
      </w:r>
    </w:p>
    <w:p w:rsidR="00CC6C62" w:rsidRPr="00E36076" w:rsidRDefault="00CC6C62" w:rsidP="00E36076">
      <w:pPr>
        <w:pStyle w:val="Quote"/>
        <w:rPr>
          <w:rStyle w:val="DraftingNote"/>
          <w:b w:val="0"/>
          <w:color w:val="auto"/>
          <w:u w:val="none"/>
        </w:rPr>
      </w:pPr>
      <w:r w:rsidRPr="00E36076">
        <w:rPr>
          <w:rStyle w:val="DraftingNote"/>
          <w:b w:val="0"/>
          <w:color w:val="auto"/>
          <w:u w:val="none"/>
        </w:rPr>
        <w:t>It is likely that factors that lead to attrition — family disruption, employment changes and relocations — are variables of significant interest in the survey creating a situation where persons of greatest interest may well be the most difficult to collect longitudinal data for. (2001, p.</w:t>
      </w:r>
      <w:r w:rsidR="00E36076" w:rsidRPr="00E36076">
        <w:rPr>
          <w:rStyle w:val="DraftingNote"/>
          <w:b w:val="0"/>
          <w:color w:val="auto"/>
          <w:u w:val="none"/>
        </w:rPr>
        <w:t> </w:t>
      </w:r>
      <w:r w:rsidRPr="00E36076">
        <w:rPr>
          <w:rStyle w:val="DraftingNote"/>
          <w:b w:val="0"/>
          <w:color w:val="auto"/>
          <w:u w:val="none"/>
        </w:rPr>
        <w:t>13)</w:t>
      </w:r>
    </w:p>
    <w:p w:rsidR="00CC6C62" w:rsidRDefault="00CC6C62" w:rsidP="00CC6C62">
      <w:pPr>
        <w:pStyle w:val="BodyText"/>
      </w:pPr>
      <w:r w:rsidRPr="00E36076">
        <w:t>The under</w:t>
      </w:r>
      <w:r w:rsidR="00C6017F">
        <w:noBreakHyphen/>
      </w:r>
      <w:r w:rsidRPr="00E36076">
        <w:t xml:space="preserve">representation of unemployed people deserves further </w:t>
      </w:r>
      <w:r w:rsidR="001278A7" w:rsidRPr="00E36076">
        <w:t>discussion</w:t>
      </w:r>
      <w:r w:rsidRPr="00E36076">
        <w:t>. Although a relatively small proportion of the individuals in wave 1 were unemployed (</w:t>
      </w:r>
      <w:r w:rsidR="00AA0B75">
        <w:t>about</w:t>
      </w:r>
      <w:r w:rsidRPr="00E36076">
        <w:t xml:space="preserve"> 4 per cent of the sample after excluding those who died or moved overseas between waves</w:t>
      </w:r>
      <w:r>
        <w:t xml:space="preserve"> 1 and 2), nearly 19 per cent of these individuals dropped out of the sample before wave 2. This is high relative to those employed (full</w:t>
      </w:r>
      <w:r w:rsidR="00C6017F">
        <w:noBreakHyphen/>
      </w:r>
      <w:r>
        <w:t>time or part</w:t>
      </w:r>
      <w:r w:rsidR="00C6017F">
        <w:noBreakHyphen/>
      </w:r>
      <w:r>
        <w:t xml:space="preserve">time) or </w:t>
      </w:r>
      <w:proofErr w:type="spellStart"/>
      <w:r>
        <w:t>NILF</w:t>
      </w:r>
      <w:proofErr w:type="spellEnd"/>
      <w:r>
        <w:t xml:space="preserve">, </w:t>
      </w:r>
      <w:r w:rsidR="001278A7">
        <w:t>who have</w:t>
      </w:r>
      <w:r>
        <w:t xml:space="preserve"> attrition rates </w:t>
      </w:r>
      <w:r w:rsidR="004B01E9">
        <w:t xml:space="preserve">for wave 2 </w:t>
      </w:r>
      <w:r>
        <w:t xml:space="preserve">at roughly 13 per cent (Watson and Wooden 2004). </w:t>
      </w:r>
    </w:p>
    <w:p w:rsidR="00CC6C62" w:rsidRPr="00E36076" w:rsidRDefault="00CC6C62" w:rsidP="00CC6C62">
      <w:pPr>
        <w:pStyle w:val="BodyText"/>
        <w:rPr>
          <w:lang w:eastAsia="en-US"/>
        </w:rPr>
      </w:pPr>
      <w:r w:rsidRPr="00E36076">
        <w:rPr>
          <w:lang w:eastAsia="en-US"/>
        </w:rPr>
        <w:t>The same authors modelled attrition based on pooled data from the first four waves.</w:t>
      </w:r>
      <w:r w:rsidR="005F53A7" w:rsidRPr="00E36076">
        <w:rPr>
          <w:lang w:eastAsia="en-US"/>
        </w:rPr>
        <w:t xml:space="preserve"> </w:t>
      </w:r>
      <w:r w:rsidRPr="00E36076">
        <w:rPr>
          <w:lang w:eastAsia="en-US"/>
        </w:rPr>
        <w:t xml:space="preserve">They found that individuals who had moved house were less likely to be contacted for the next survey. Homeowners were more likely than renters to be contacted, </w:t>
      </w:r>
      <w:r w:rsidRPr="0014014C">
        <w:t>as were those who lived in a house rather than a flat or unit (Watson and Wooden 2006). Conditional on making contact, t</w:t>
      </w:r>
      <w:r w:rsidRPr="00E36076">
        <w:t xml:space="preserve">hey found that the young and the elderly were less </w:t>
      </w:r>
      <w:r w:rsidR="004B01E9">
        <w:t>likely to respond to the survey,</w:t>
      </w:r>
      <w:r w:rsidRPr="0014014C">
        <w:t xml:space="preserve"> and </w:t>
      </w:r>
      <w:r w:rsidR="004B01E9">
        <w:t xml:space="preserve">that </w:t>
      </w:r>
      <w:r w:rsidRPr="0014014C">
        <w:t>individuals with a</w:t>
      </w:r>
      <w:r w:rsidRPr="00A9791E">
        <w:t xml:space="preserve"> </w:t>
      </w:r>
      <w:r w:rsidR="004B01E9">
        <w:t>D</w:t>
      </w:r>
      <w:r w:rsidRPr="00A9791E">
        <w:t xml:space="preserve">iploma </w:t>
      </w:r>
      <w:r w:rsidR="004B01E9">
        <w:t xml:space="preserve">or higher </w:t>
      </w:r>
      <w:r w:rsidRPr="00A9791E">
        <w:t xml:space="preserve">level of education were more likely to respond than someone whose highest level of education attained was Year 11 or below. Individuals who </w:t>
      </w:r>
      <w:r w:rsidRPr="00A9791E">
        <w:lastRenderedPageBreak/>
        <w:t>work full</w:t>
      </w:r>
      <w:r w:rsidR="00C6017F">
        <w:noBreakHyphen/>
      </w:r>
      <w:r w:rsidRPr="00A9791E">
        <w:t>time were easier to contact, but</w:t>
      </w:r>
      <w:r w:rsidRPr="00E36076">
        <w:rPr>
          <w:lang w:eastAsia="en-US"/>
        </w:rPr>
        <w:t xml:space="preserve"> less likely to respond compared to those who were </w:t>
      </w:r>
      <w:proofErr w:type="spellStart"/>
      <w:r w:rsidRPr="00E36076">
        <w:rPr>
          <w:lang w:eastAsia="en-US"/>
        </w:rPr>
        <w:t>NILF</w:t>
      </w:r>
      <w:proofErr w:type="spellEnd"/>
      <w:r w:rsidRPr="00E36076">
        <w:rPr>
          <w:lang w:eastAsia="en-US"/>
        </w:rPr>
        <w:t>.</w:t>
      </w:r>
    </w:p>
    <w:p w:rsidR="00CC6C62" w:rsidRDefault="00CC6C62" w:rsidP="00CC6C62">
      <w:pPr>
        <w:pStyle w:val="BodyText"/>
      </w:pPr>
      <w:r>
        <w:t xml:space="preserve">While finding that some characteristics were significant determinants of attrition in the HILDA survey, Watson and Wooden (2006, p. 9) also found that the </w:t>
      </w:r>
      <w:r w:rsidRPr="00E36076">
        <w:rPr>
          <w:lang w:eastAsia="en-US"/>
        </w:rPr>
        <w:t>overall explanatory power of the</w:t>
      </w:r>
      <w:r w:rsidR="00545A87" w:rsidRPr="00E36076">
        <w:rPr>
          <w:lang w:eastAsia="en-US"/>
        </w:rPr>
        <w:t>ir</w:t>
      </w:r>
      <w:r w:rsidRPr="00E36076">
        <w:rPr>
          <w:lang w:eastAsia="en-US"/>
        </w:rPr>
        <w:t xml:space="preserve"> models </w:t>
      </w:r>
      <w:r w:rsidR="00545A87" w:rsidRPr="00E36076">
        <w:rPr>
          <w:lang w:eastAsia="en-US"/>
        </w:rPr>
        <w:t xml:space="preserve">of survey response </w:t>
      </w:r>
      <w:r w:rsidR="00A02867" w:rsidRPr="00E36076">
        <w:rPr>
          <w:lang w:eastAsia="en-US"/>
        </w:rPr>
        <w:t xml:space="preserve">was </w:t>
      </w:r>
      <w:r w:rsidRPr="00E36076">
        <w:rPr>
          <w:lang w:eastAsia="en-US"/>
        </w:rPr>
        <w:t xml:space="preserve">low, and </w:t>
      </w:r>
      <w:r w:rsidR="00A02867" w:rsidRPr="00E36076">
        <w:rPr>
          <w:lang w:eastAsia="en-US"/>
        </w:rPr>
        <w:t xml:space="preserve">concluded </w:t>
      </w:r>
      <w:r w:rsidRPr="00E36076">
        <w:rPr>
          <w:lang w:eastAsia="en-US"/>
        </w:rPr>
        <w:t>that</w:t>
      </w:r>
      <w:r>
        <w:t>, ‘this is a desired outcome and presumably reflects the large random component in survey non</w:t>
      </w:r>
      <w:r>
        <w:noBreakHyphen/>
        <w:t>response</w:t>
      </w:r>
      <w:r w:rsidR="00C6017F">
        <w:t>’</w:t>
      </w:r>
      <w:r>
        <w:t>.</w:t>
      </w:r>
      <w:r w:rsidR="00C6017F">
        <w:t xml:space="preserve"> </w:t>
      </w:r>
    </w:p>
    <w:p w:rsidR="00CC6C62" w:rsidRPr="002B78A1" w:rsidRDefault="00CC6C62" w:rsidP="002B78A1">
      <w:pPr>
        <w:pStyle w:val="Heading4"/>
        <w:rPr>
          <w:rStyle w:val="DraftingNote"/>
          <w:b w:val="0"/>
          <w:color w:val="auto"/>
          <w:u w:val="none"/>
        </w:rPr>
      </w:pPr>
      <w:r w:rsidRPr="002B78A1">
        <w:rPr>
          <w:rStyle w:val="DraftingNote"/>
          <w:b w:val="0"/>
          <w:color w:val="auto"/>
          <w:u w:val="none"/>
        </w:rPr>
        <w:t>Use of weights to correct for attrition and sample selection bias</w:t>
      </w:r>
    </w:p>
    <w:p w:rsidR="00CC6C62" w:rsidRDefault="00CC6C62" w:rsidP="00CC6C62">
      <w:pPr>
        <w:pStyle w:val="BodyText"/>
      </w:pPr>
      <w:r w:rsidRPr="002B78A1">
        <w:t xml:space="preserve">Weights are included in the HILDA time of survey </w:t>
      </w:r>
      <w:r w:rsidR="00863D5D" w:rsidRPr="002B78A1">
        <w:t>data to</w:t>
      </w:r>
      <w:r w:rsidRPr="002B78A1">
        <w:t xml:space="preserve"> account for unequal probabilities of selection in the initial sample and unequal probabilities of remaining in the sample. In other words, they are intended to counter the possible influence of sample selection bias and of attrition bias on </w:t>
      </w:r>
      <w:r w:rsidR="00A358E8" w:rsidRPr="002B78A1">
        <w:t xml:space="preserve">statistical </w:t>
      </w:r>
      <w:r w:rsidRPr="002B78A1">
        <w:t>estimates</w:t>
      </w:r>
      <w:r w:rsidR="00A358E8" w:rsidRPr="002B78A1">
        <w:t xml:space="preserve"> based on the data</w:t>
      </w:r>
      <w:r w:rsidRPr="002B78A1">
        <w:t>. They are designed to re</w:t>
      </w:r>
      <w:r w:rsidR="00C6017F">
        <w:noBreakHyphen/>
      </w:r>
      <w:r w:rsidRPr="002B78A1">
        <w:t>align the sample at each wave to meet known population benchmarks, for example by age and gender subgroups. H</w:t>
      </w:r>
      <w:r>
        <w:t xml:space="preserve">owever, if there are </w:t>
      </w:r>
      <w:r w:rsidR="00A37729">
        <w:t>unobserved</w:t>
      </w:r>
      <w:r>
        <w:t xml:space="preserve"> characteristics that are linked to attrition, the weights will not account </w:t>
      </w:r>
      <w:r w:rsidR="00124B55">
        <w:t xml:space="preserve">fully </w:t>
      </w:r>
      <w:r>
        <w:t>for the effects of attrition on the results</w:t>
      </w:r>
      <w:r w:rsidRPr="008C3389">
        <w:t xml:space="preserve"> </w:t>
      </w:r>
      <w:r w:rsidR="00A358E8">
        <w:t xml:space="preserve">of </w:t>
      </w:r>
      <w:r w:rsidR="00124B55">
        <w:t xml:space="preserve">any data </w:t>
      </w:r>
      <w:r w:rsidR="00A358E8">
        <w:t xml:space="preserve">analysis </w:t>
      </w:r>
      <w:r>
        <w:t>(Watson and Wooden 2004).</w:t>
      </w:r>
      <w:r>
        <w:rPr>
          <w:rStyle w:val="FootnoteReference"/>
        </w:rPr>
        <w:footnoteReference w:id="10"/>
      </w:r>
      <w:r>
        <w:t xml:space="preserve"> </w:t>
      </w:r>
    </w:p>
    <w:p w:rsidR="00CC6C62" w:rsidRDefault="00CC6C62" w:rsidP="00CC6C62">
      <w:pPr>
        <w:pStyle w:val="BodyText"/>
      </w:pPr>
      <w:r>
        <w:t>The results presented in this paper are unweighted because the techniques used do not permit the use of weights</w:t>
      </w:r>
      <w:r w:rsidR="00A358E8">
        <w:t xml:space="preserve">. Although weights could be applied to the results, they </w:t>
      </w:r>
      <w:r w:rsidR="00131B46">
        <w:t>would not</w:t>
      </w:r>
      <w:r w:rsidR="00A358E8">
        <w:t xml:space="preserve"> account for the fact that the majority of the nearly </w:t>
      </w:r>
      <w:r w:rsidR="00131B46">
        <w:t>14</w:t>
      </w:r>
      <w:r w:rsidR="00A358E8">
        <w:t> 000 individuals who responded to the first survey are excluded from the analysis</w:t>
      </w:r>
      <w:r>
        <w:t>.</w:t>
      </w:r>
      <w:r w:rsidR="00131B46">
        <w:rPr>
          <w:rStyle w:val="FootnoteReference"/>
        </w:rPr>
        <w:footnoteReference w:id="11"/>
      </w:r>
      <w:r>
        <w:t xml:space="preserve"> </w:t>
      </w:r>
    </w:p>
    <w:p w:rsidR="00CC6C62" w:rsidRDefault="00A37729" w:rsidP="00CC6C62">
      <w:pPr>
        <w:pStyle w:val="BodyText"/>
      </w:pPr>
      <w:r>
        <w:t>To select the sub-sample for analysis in this paper, i</w:t>
      </w:r>
      <w:r w:rsidR="00CC6C62">
        <w:t xml:space="preserve">ndividuals </w:t>
      </w:r>
      <w:r w:rsidR="008C0A73">
        <w:t xml:space="preserve">aged 65 and </w:t>
      </w:r>
      <w:r w:rsidR="00CC6C62">
        <w:t xml:space="preserve">older in 2001 are </w:t>
      </w:r>
      <w:r w:rsidR="002A7A7D">
        <w:t>excluded</w:t>
      </w:r>
      <w:r w:rsidR="00CC6C62">
        <w:t>, accountin</w:t>
      </w:r>
      <w:r w:rsidR="00131B46">
        <w:t xml:space="preserve">g for </w:t>
      </w:r>
      <w:r w:rsidR="00E46F07">
        <w:t>about</w:t>
      </w:r>
      <w:r w:rsidR="00131B46">
        <w:t xml:space="preserve"> 2000 observations. </w:t>
      </w:r>
      <w:r w:rsidR="00335886">
        <w:t xml:space="preserve">About </w:t>
      </w:r>
      <w:r w:rsidR="00CC6C62">
        <w:t xml:space="preserve">5400 individuals who drop out of the </w:t>
      </w:r>
      <w:r w:rsidR="00335886">
        <w:t xml:space="preserve">HILDA </w:t>
      </w:r>
      <w:r w:rsidR="00CC6C62">
        <w:t>sample</w:t>
      </w:r>
      <w:r w:rsidR="00131B46">
        <w:t xml:space="preserve"> </w:t>
      </w:r>
      <w:r w:rsidR="00CC6C62">
        <w:t xml:space="preserve">after wave 1 are </w:t>
      </w:r>
      <w:r w:rsidR="00335886">
        <w:t xml:space="preserve">also </w:t>
      </w:r>
      <w:r w:rsidR="00CC6C62">
        <w:t>removed. As a result of the way the HILDA calendar was designed, there are no gaps in the calendar data for the 6566 individuals who are left.</w:t>
      </w:r>
      <w:r w:rsidR="00CC6C62">
        <w:rPr>
          <w:rStyle w:val="FootnoteReference"/>
        </w:rPr>
        <w:footnoteReference w:id="12"/>
      </w:r>
    </w:p>
    <w:p w:rsidR="00CC6C62" w:rsidRDefault="00CC6C62" w:rsidP="00CC6C62">
      <w:pPr>
        <w:pStyle w:val="BodyText"/>
      </w:pPr>
      <w:r>
        <w:t xml:space="preserve">Dropping almost 5400 observations at the </w:t>
      </w:r>
      <w:r w:rsidR="002A7A7D">
        <w:t>second</w:t>
      </w:r>
      <w:r>
        <w:t xml:space="preserve"> step introduces a source of bias that is not accounted for in the weights supplied with the HILDA data. </w:t>
      </w:r>
      <w:r w:rsidR="00AA0B75">
        <w:br/>
      </w:r>
      <w:r>
        <w:lastRenderedPageBreak/>
        <w:t>Summerfield et al. (2011) report analysis of the 7460 individuals (aged 15 and older) who were re</w:t>
      </w:r>
      <w:r>
        <w:noBreakHyphen/>
        <w:t xml:space="preserve">interviewed </w:t>
      </w:r>
      <w:r w:rsidR="008C0A73">
        <w:t xml:space="preserve">in </w:t>
      </w:r>
      <w:r>
        <w:t>every wave up to and including wave 10. They indicate that 70 per cent of Indigenous people and 69 per cent of non</w:t>
      </w:r>
      <w:r>
        <w:noBreakHyphen/>
        <w:t xml:space="preserve">Indigenous people who were interviewed in wave 1 were interviewed in wave 10. However, only 45 per cent of Indigenous people were also interviewed </w:t>
      </w:r>
      <w:r w:rsidR="008C0A73">
        <w:t xml:space="preserve">in </w:t>
      </w:r>
      <w:r>
        <w:t xml:space="preserve">every </w:t>
      </w:r>
      <w:r w:rsidR="00AA0B75">
        <w:t xml:space="preserve">intervening </w:t>
      </w:r>
      <w:r>
        <w:t>wave, which is low compared to 60 per cent of non</w:t>
      </w:r>
      <w:r>
        <w:noBreakHyphen/>
        <w:t xml:space="preserve">Indigenous people (Summerfield et al. 2011). </w:t>
      </w:r>
    </w:p>
    <w:p w:rsidR="00CC6C62" w:rsidRDefault="00CC6C62" w:rsidP="00CC6C62">
      <w:pPr>
        <w:pStyle w:val="BodyText"/>
      </w:pPr>
      <w:r>
        <w:t>Applying person weights from the first wave for responding persons to the sub</w:t>
      </w:r>
      <w:r>
        <w:noBreakHyphen/>
        <w:t>sample used in the analysis gives an indication of whether it is representative of the population at the time of the first survey. The person weights are designed to sum to the sample size. Individuals with characteristics that are under</w:t>
      </w:r>
      <w:r w:rsidR="00C6017F">
        <w:noBreakHyphen/>
      </w:r>
      <w:r>
        <w:t>represented in the population are assigned a weight above 1; individuals with characteristics that are over</w:t>
      </w:r>
      <w:r w:rsidR="00C6017F">
        <w:noBreakHyphen/>
      </w:r>
      <w:r>
        <w:t>represented in the population are given a weight below 1. Therefore, if the sum of the weights is equal to 6566, it can be concluded that dropping individuals because they are non</w:t>
      </w:r>
      <w:r>
        <w:noBreakHyphen/>
        <w:t>responding or out of scope in one or more of the waves, or are over 64 years of age, will not bias the results</w:t>
      </w:r>
      <w:r w:rsidR="00BF459E">
        <w:t xml:space="preserve"> of this analysis</w:t>
      </w:r>
      <w:r>
        <w:t xml:space="preserve">. </w:t>
      </w:r>
    </w:p>
    <w:p w:rsidR="00CC6C62" w:rsidRDefault="00CC6C62" w:rsidP="00CC6C62">
      <w:pPr>
        <w:pStyle w:val="BodyText"/>
      </w:pPr>
      <w:r>
        <w:t>The sum of the weights is equal to 6250</w:t>
      </w:r>
      <w:r w:rsidR="00335886">
        <w:t>,</w:t>
      </w:r>
      <w:r>
        <w:t xml:space="preserve"> roughly 300</w:t>
      </w:r>
      <w:r w:rsidR="00757B75">
        <w:t xml:space="preserve"> (about 4.5 per cent)</w:t>
      </w:r>
      <w:r>
        <w:t xml:space="preserve"> less than the sub</w:t>
      </w:r>
      <w:r>
        <w:noBreakHyphen/>
        <w:t>sample size.</w:t>
      </w:r>
      <w:r>
        <w:rPr>
          <w:rStyle w:val="FootnoteReference"/>
        </w:rPr>
        <w:footnoteReference w:id="13"/>
      </w:r>
      <w:r>
        <w:t xml:space="preserve"> This implies that the sub</w:t>
      </w:r>
      <w:r w:rsidR="00C6017F">
        <w:noBreakHyphen/>
      </w:r>
      <w:r>
        <w:t>sample includes more individuals who are over</w:t>
      </w:r>
      <w:r>
        <w:noBreakHyphen/>
        <w:t>represented, and fewer individuals who are under</w:t>
      </w:r>
      <w:r>
        <w:noBreakHyphen/>
        <w:t xml:space="preserve">represented, relative to the HILDA wave 1 sample. </w:t>
      </w:r>
      <w:r w:rsidR="00595FA4">
        <w:t xml:space="preserve">A comparison of </w:t>
      </w:r>
      <w:r>
        <w:t>the weighted and unweighted sample by age segment indicates that the under</w:t>
      </w:r>
      <w:r w:rsidR="00C6017F">
        <w:noBreakHyphen/>
      </w:r>
      <w:r>
        <w:t>represented are more likely to be in the youth and senior age groups than the young and mature adult age groups</w:t>
      </w:r>
      <w:r w:rsidR="00595FA4">
        <w:t xml:space="preserve"> (not shown)</w:t>
      </w:r>
      <w:r w:rsidR="00335886">
        <w:t>.</w:t>
      </w:r>
    </w:p>
    <w:p w:rsidR="00CC6C62" w:rsidRDefault="00CC6C62" w:rsidP="00CC6C62">
      <w:pPr>
        <w:pStyle w:val="Heading4"/>
      </w:pPr>
      <w:r>
        <w:t>Benchmarking</w:t>
      </w:r>
    </w:p>
    <w:p w:rsidR="00CC6C62" w:rsidRPr="002B78A1" w:rsidRDefault="00CC6C62" w:rsidP="00CC6C62">
      <w:pPr>
        <w:pStyle w:val="BodyText"/>
      </w:pPr>
      <w:r w:rsidRPr="00E36076">
        <w:rPr>
          <w:lang w:eastAsia="en-US"/>
        </w:rPr>
        <w:t>In order to examine the effects of sample selection and attrition on the sub</w:t>
      </w:r>
      <w:r w:rsidRPr="00E36076">
        <w:rPr>
          <w:lang w:eastAsia="en-US"/>
        </w:rPr>
        <w:noBreakHyphen/>
        <w:t xml:space="preserve">sample used </w:t>
      </w:r>
      <w:r w:rsidR="00D67F8D" w:rsidRPr="00E36076">
        <w:rPr>
          <w:lang w:eastAsia="en-US"/>
        </w:rPr>
        <w:t>for</w:t>
      </w:r>
      <w:r w:rsidRPr="00E36076">
        <w:rPr>
          <w:lang w:eastAsia="en-US"/>
        </w:rPr>
        <w:t xml:space="preserve"> the analysis more closely, key characteristics of the sub</w:t>
      </w:r>
      <w:r w:rsidRPr="00E36076">
        <w:rPr>
          <w:lang w:eastAsia="en-US"/>
        </w:rPr>
        <w:noBreakHyphen/>
        <w:t>sample</w:t>
      </w:r>
      <w:r w:rsidR="00115FF3">
        <w:rPr>
          <w:lang w:eastAsia="en-US"/>
        </w:rPr>
        <w:t xml:space="preserve"> are compared</w:t>
      </w:r>
      <w:r w:rsidRPr="00E36076">
        <w:rPr>
          <w:lang w:eastAsia="en-US"/>
        </w:rPr>
        <w:t xml:space="preserve"> to those of the </w:t>
      </w:r>
      <w:r w:rsidR="002E61FA">
        <w:rPr>
          <w:lang w:eastAsia="en-US"/>
        </w:rPr>
        <w:t xml:space="preserve">(broader) </w:t>
      </w:r>
      <w:r w:rsidRPr="00E36076">
        <w:rPr>
          <w:lang w:eastAsia="en-US"/>
        </w:rPr>
        <w:t xml:space="preserve">HILDA sample and to ABS data (table </w:t>
      </w:r>
      <w:proofErr w:type="spellStart"/>
      <w:r w:rsidR="00805798" w:rsidRPr="00E36076">
        <w:rPr>
          <w:lang w:eastAsia="en-US"/>
        </w:rPr>
        <w:t>A.1</w:t>
      </w:r>
      <w:proofErr w:type="spellEnd"/>
      <w:r w:rsidRPr="002B78A1">
        <w:t xml:space="preserve">). The HILDA statistics are based on wave 1 data, and the ABS data </w:t>
      </w:r>
      <w:r w:rsidR="00757B75" w:rsidRPr="002B78A1">
        <w:t xml:space="preserve">are </w:t>
      </w:r>
      <w:r w:rsidRPr="002B78A1">
        <w:t xml:space="preserve">matched as closely as possible to the time of the 2001 HILDA survey. Two sources of ABS data are used for this purpose. The age distributions are benchmarked against ABS </w:t>
      </w:r>
      <w:r w:rsidR="0026502F">
        <w:t>h</w:t>
      </w:r>
      <w:r w:rsidR="0026502F" w:rsidRPr="0026502F">
        <w:t xml:space="preserve">istorical </w:t>
      </w:r>
      <w:r w:rsidR="0026502F">
        <w:t>p</w:t>
      </w:r>
      <w:r w:rsidR="0026502F" w:rsidRPr="0026502F">
        <w:t xml:space="preserve">opulation </w:t>
      </w:r>
      <w:r w:rsidR="0026502F">
        <w:t>s</w:t>
      </w:r>
      <w:r w:rsidR="0026502F" w:rsidRPr="0026502F">
        <w:t>tatistics</w:t>
      </w:r>
      <w:r w:rsidR="0026502F">
        <w:t xml:space="preserve"> and </w:t>
      </w:r>
      <w:r w:rsidRPr="002B78A1">
        <w:t xml:space="preserve">the labour force statistics against ABS </w:t>
      </w:r>
      <w:r w:rsidRPr="002B78A1">
        <w:rPr>
          <w:i/>
        </w:rPr>
        <w:t>Labour Force Survey</w:t>
      </w:r>
      <w:r w:rsidRPr="002B78A1">
        <w:t xml:space="preserve"> (</w:t>
      </w:r>
      <w:proofErr w:type="spellStart"/>
      <w:r w:rsidRPr="002B78A1">
        <w:t>LFS</w:t>
      </w:r>
      <w:proofErr w:type="spellEnd"/>
      <w:r w:rsidRPr="002B78A1">
        <w:t xml:space="preserve">) data. </w:t>
      </w:r>
    </w:p>
    <w:p w:rsidR="0020635D" w:rsidRDefault="0020635D">
      <w:pPr>
        <w:pStyle w:val="TableTitle"/>
      </w:pPr>
      <w:r>
        <w:rPr>
          <w:b w:val="0"/>
        </w:rPr>
        <w:lastRenderedPageBreak/>
        <w:t xml:space="preserve">Table </w:t>
      </w:r>
      <w:bookmarkStart w:id="12" w:name="OLE_LINK9"/>
      <w:proofErr w:type="spellStart"/>
      <w:r w:rsidR="00805798">
        <w:rPr>
          <w:b w:val="0"/>
        </w:rPr>
        <w:t>A.</w:t>
      </w:r>
      <w:r w:rsidR="00476C58">
        <w:rPr>
          <w:b w:val="0"/>
          <w:noProof/>
        </w:rPr>
        <w:t>1</w:t>
      </w:r>
      <w:bookmarkEnd w:id="12"/>
      <w:proofErr w:type="spellEnd"/>
      <w:r>
        <w:tab/>
        <w:t>A comparison of sub</w:t>
      </w:r>
      <w:r>
        <w:noBreakHyphen/>
        <w:t xml:space="preserve">sample with </w:t>
      </w:r>
      <w:r w:rsidR="00335886">
        <w:t xml:space="preserve">the full </w:t>
      </w:r>
      <w:r>
        <w:t>HILDA sample and ABS</w:t>
      </w:r>
      <w:r w:rsidR="00335886">
        <w:t xml:space="preserve"> data</w:t>
      </w:r>
      <w:r>
        <w:t>, 2001</w:t>
      </w:r>
    </w:p>
    <w:p w:rsidR="0020635D" w:rsidRPr="0020635D" w:rsidRDefault="0020635D">
      <w:pPr>
        <w:pStyle w:val="Subtitle"/>
        <w:rPr>
          <w:rStyle w:val="NoteLabel"/>
        </w:rPr>
      </w:pPr>
      <w:r>
        <w:t>Age distribution and labour force characteristics, unweighted</w:t>
      </w:r>
      <w:r>
        <w:rPr>
          <w:rStyle w:val="NoteLabel"/>
        </w:rPr>
        <w:t>a</w:t>
      </w:r>
    </w:p>
    <w:tbl>
      <w:tblPr>
        <w:tblW w:w="5000" w:type="pct"/>
        <w:tblCellMar>
          <w:left w:w="0" w:type="dxa"/>
          <w:right w:w="0" w:type="dxa"/>
        </w:tblCellMar>
        <w:tblLook w:val="0000" w:firstRow="0" w:lastRow="0" w:firstColumn="0" w:lastColumn="0" w:noHBand="0" w:noVBand="0"/>
      </w:tblPr>
      <w:tblGrid>
        <w:gridCol w:w="2964"/>
        <w:gridCol w:w="1290"/>
        <w:gridCol w:w="1513"/>
        <w:gridCol w:w="628"/>
        <w:gridCol w:w="2394"/>
      </w:tblGrid>
      <w:tr w:rsidR="00115FF3" w:rsidTr="00152C4D">
        <w:trPr>
          <w:trHeight w:val="795"/>
        </w:trPr>
        <w:tc>
          <w:tcPr>
            <w:tcW w:w="1686" w:type="pct"/>
            <w:tcBorders>
              <w:top w:val="single" w:sz="6" w:space="0" w:color="auto"/>
              <w:bottom w:val="single" w:sz="6" w:space="0" w:color="auto"/>
            </w:tcBorders>
            <w:shd w:val="clear" w:color="auto" w:fill="auto"/>
            <w:vAlign w:val="bottom"/>
          </w:tcPr>
          <w:p w:rsidR="00115FF3" w:rsidRDefault="00115FF3" w:rsidP="00C029BA">
            <w:pPr>
              <w:pStyle w:val="TableColumnHeading"/>
              <w:jc w:val="left"/>
            </w:pPr>
          </w:p>
        </w:tc>
        <w:tc>
          <w:tcPr>
            <w:tcW w:w="734" w:type="pct"/>
            <w:tcBorders>
              <w:top w:val="single" w:sz="6" w:space="0" w:color="auto"/>
              <w:bottom w:val="single" w:sz="6" w:space="0" w:color="auto"/>
            </w:tcBorders>
            <w:vAlign w:val="bottom"/>
          </w:tcPr>
          <w:p w:rsidR="00115FF3" w:rsidRDefault="00115FF3" w:rsidP="00954A86">
            <w:pPr>
              <w:pStyle w:val="TableColumnHeading"/>
              <w:ind w:right="1"/>
              <w:jc w:val="center"/>
            </w:pPr>
            <w:r>
              <w:t>HILDA sub</w:t>
            </w:r>
            <w:r>
              <w:noBreakHyphen/>
              <w:t>sample 15–64 y</w:t>
            </w:r>
            <w:r w:rsidR="006E4A6A">
              <w:t>ea</w:t>
            </w:r>
            <w:r>
              <w:t>rs</w:t>
            </w:r>
          </w:p>
        </w:tc>
        <w:tc>
          <w:tcPr>
            <w:tcW w:w="861" w:type="pct"/>
            <w:tcBorders>
              <w:top w:val="single" w:sz="6" w:space="0" w:color="auto"/>
              <w:bottom w:val="single" w:sz="6" w:space="0" w:color="auto"/>
              <w:right w:val="single" w:sz="6" w:space="0" w:color="auto"/>
            </w:tcBorders>
            <w:vAlign w:val="bottom"/>
          </w:tcPr>
          <w:p w:rsidR="00115FF3" w:rsidRDefault="00115FF3" w:rsidP="00152C4D">
            <w:pPr>
              <w:pStyle w:val="TableColumnHeading"/>
              <w:ind w:right="1"/>
              <w:jc w:val="center"/>
            </w:pPr>
            <w:r>
              <w:t xml:space="preserve">HILDA </w:t>
            </w:r>
            <w:r w:rsidR="00C510AC">
              <w:br/>
            </w:r>
            <w:r w:rsidR="00152C4D">
              <w:t>broader</w:t>
            </w:r>
            <w:r w:rsidR="00C510AC">
              <w:t xml:space="preserve"> </w:t>
            </w:r>
            <w:r>
              <w:t>sample</w:t>
            </w:r>
            <w:r>
              <w:br/>
              <w:t>15–64 y</w:t>
            </w:r>
            <w:r w:rsidR="006E4A6A">
              <w:t>ea</w:t>
            </w:r>
            <w:r>
              <w:t>rs</w:t>
            </w:r>
          </w:p>
        </w:tc>
        <w:tc>
          <w:tcPr>
            <w:tcW w:w="1719" w:type="pct"/>
            <w:gridSpan w:val="2"/>
            <w:tcBorders>
              <w:top w:val="single" w:sz="6" w:space="0" w:color="auto"/>
              <w:left w:val="single" w:sz="6" w:space="0" w:color="auto"/>
              <w:bottom w:val="single" w:sz="6" w:space="0" w:color="auto"/>
            </w:tcBorders>
            <w:shd w:val="clear" w:color="auto" w:fill="auto"/>
            <w:vAlign w:val="bottom"/>
          </w:tcPr>
          <w:p w:rsidR="00115FF3" w:rsidRDefault="00115FF3" w:rsidP="009140CC">
            <w:pPr>
              <w:pStyle w:val="TableColumnHeading"/>
              <w:ind w:right="28"/>
              <w:jc w:val="center"/>
            </w:pPr>
            <w:r>
              <w:t>ABS</w:t>
            </w:r>
          </w:p>
        </w:tc>
      </w:tr>
      <w:tr w:rsidR="00115FF3" w:rsidTr="00152C4D">
        <w:tc>
          <w:tcPr>
            <w:tcW w:w="1686" w:type="pct"/>
            <w:tcBorders>
              <w:top w:val="single" w:sz="6" w:space="0" w:color="auto"/>
            </w:tcBorders>
          </w:tcPr>
          <w:p w:rsidR="00115FF3" w:rsidRPr="005C0C86" w:rsidRDefault="00115FF3" w:rsidP="00BF3EC2">
            <w:pPr>
              <w:pStyle w:val="TableBodyText"/>
              <w:jc w:val="left"/>
              <w:rPr>
                <w:i/>
              </w:rPr>
            </w:pPr>
          </w:p>
        </w:tc>
        <w:tc>
          <w:tcPr>
            <w:tcW w:w="734" w:type="pct"/>
            <w:tcBorders>
              <w:top w:val="single" w:sz="6" w:space="0" w:color="auto"/>
            </w:tcBorders>
            <w:vAlign w:val="bottom"/>
          </w:tcPr>
          <w:p w:rsidR="00115FF3" w:rsidRDefault="00115FF3" w:rsidP="00D80C5A">
            <w:pPr>
              <w:pStyle w:val="TableBodyText"/>
            </w:pPr>
          </w:p>
        </w:tc>
        <w:tc>
          <w:tcPr>
            <w:tcW w:w="861" w:type="pct"/>
            <w:tcBorders>
              <w:top w:val="single" w:sz="6" w:space="0" w:color="auto"/>
              <w:right w:val="single" w:sz="6" w:space="0" w:color="auto"/>
            </w:tcBorders>
            <w:vAlign w:val="bottom"/>
          </w:tcPr>
          <w:p w:rsidR="00115FF3" w:rsidRDefault="00115FF3" w:rsidP="00D80C5A">
            <w:pPr>
              <w:pStyle w:val="TableBodyText"/>
            </w:pPr>
          </w:p>
        </w:tc>
        <w:tc>
          <w:tcPr>
            <w:tcW w:w="357" w:type="pct"/>
            <w:tcBorders>
              <w:top w:val="single" w:sz="6" w:space="0" w:color="auto"/>
              <w:left w:val="single" w:sz="6" w:space="0" w:color="auto"/>
            </w:tcBorders>
            <w:vAlign w:val="bottom"/>
          </w:tcPr>
          <w:p w:rsidR="00115FF3" w:rsidRPr="00214D55" w:rsidRDefault="00115FF3" w:rsidP="00D80C5A">
            <w:pPr>
              <w:pStyle w:val="TableBodyText"/>
            </w:pPr>
          </w:p>
        </w:tc>
        <w:tc>
          <w:tcPr>
            <w:tcW w:w="1362" w:type="pct"/>
            <w:tcBorders>
              <w:top w:val="single" w:sz="6" w:space="0" w:color="auto"/>
            </w:tcBorders>
            <w:vAlign w:val="bottom"/>
          </w:tcPr>
          <w:p w:rsidR="00115FF3" w:rsidRPr="00214D55" w:rsidRDefault="00115FF3" w:rsidP="00E31927">
            <w:pPr>
              <w:pStyle w:val="TableBodyText"/>
              <w:ind w:right="0"/>
              <w:jc w:val="left"/>
            </w:pPr>
            <w:r w:rsidRPr="00214D55">
              <w:t>Reference period</w:t>
            </w:r>
            <w:r>
              <w:t xml:space="preserve"> (population)</w:t>
            </w:r>
          </w:p>
        </w:tc>
      </w:tr>
      <w:tr w:rsidR="00115FF3" w:rsidTr="00152C4D">
        <w:tc>
          <w:tcPr>
            <w:tcW w:w="1686" w:type="pct"/>
            <w:vAlign w:val="bottom"/>
          </w:tcPr>
          <w:p w:rsidR="00115FF3" w:rsidRPr="001F3626" w:rsidRDefault="00115FF3" w:rsidP="00D80C5A">
            <w:pPr>
              <w:pStyle w:val="TableBodyText"/>
              <w:jc w:val="left"/>
              <w:rPr>
                <w:rStyle w:val="NoteLabel"/>
              </w:rPr>
            </w:pPr>
            <w:r w:rsidRPr="005C0C86">
              <w:rPr>
                <w:i/>
              </w:rPr>
              <w:t xml:space="preserve">Age </w:t>
            </w:r>
            <w:r>
              <w:rPr>
                <w:i/>
              </w:rPr>
              <w:t>distribution</w:t>
            </w:r>
            <w:r w:rsidRPr="005C0C86">
              <w:rPr>
                <w:i/>
              </w:rPr>
              <w:t>:</w:t>
            </w:r>
            <w:r>
              <w:rPr>
                <w:rStyle w:val="NoteLabel"/>
              </w:rPr>
              <w:t>b</w:t>
            </w:r>
          </w:p>
        </w:tc>
        <w:tc>
          <w:tcPr>
            <w:tcW w:w="734" w:type="pct"/>
            <w:vAlign w:val="bottom"/>
          </w:tcPr>
          <w:p w:rsidR="00115FF3" w:rsidRDefault="00115FF3" w:rsidP="00D80C5A">
            <w:pPr>
              <w:pStyle w:val="TableBodyText"/>
            </w:pPr>
          </w:p>
        </w:tc>
        <w:tc>
          <w:tcPr>
            <w:tcW w:w="861" w:type="pct"/>
            <w:tcBorders>
              <w:right w:val="single" w:sz="6" w:space="0" w:color="auto"/>
            </w:tcBorders>
            <w:vAlign w:val="bottom"/>
          </w:tcPr>
          <w:p w:rsidR="00115FF3" w:rsidRDefault="00115FF3" w:rsidP="00D80C5A">
            <w:pPr>
              <w:pStyle w:val="TableBodyText"/>
            </w:pPr>
          </w:p>
        </w:tc>
        <w:tc>
          <w:tcPr>
            <w:tcW w:w="357" w:type="pct"/>
            <w:tcBorders>
              <w:left w:val="single" w:sz="6" w:space="0" w:color="auto"/>
            </w:tcBorders>
            <w:vAlign w:val="bottom"/>
          </w:tcPr>
          <w:p w:rsidR="00115FF3" w:rsidRDefault="00115FF3" w:rsidP="00D80C5A">
            <w:pPr>
              <w:pStyle w:val="TableBodyText"/>
            </w:pPr>
          </w:p>
        </w:tc>
        <w:tc>
          <w:tcPr>
            <w:tcW w:w="1362" w:type="pct"/>
            <w:vAlign w:val="bottom"/>
          </w:tcPr>
          <w:p w:rsidR="00115FF3" w:rsidRDefault="00115FF3" w:rsidP="00E31927">
            <w:pPr>
              <w:pStyle w:val="TableBodyText"/>
              <w:ind w:right="0"/>
              <w:jc w:val="left"/>
            </w:pPr>
          </w:p>
        </w:tc>
      </w:tr>
      <w:tr w:rsidR="00335886" w:rsidTr="00152C4D">
        <w:tc>
          <w:tcPr>
            <w:tcW w:w="1686" w:type="pct"/>
            <w:vAlign w:val="bottom"/>
          </w:tcPr>
          <w:p w:rsidR="00335886" w:rsidRDefault="00335886" w:rsidP="00CF6C75">
            <w:pPr>
              <w:pStyle w:val="TableBodyText"/>
              <w:ind w:firstLine="136"/>
              <w:jc w:val="left"/>
            </w:pPr>
            <w:r>
              <w:t>Youths (15–24 years)</w:t>
            </w:r>
          </w:p>
        </w:tc>
        <w:tc>
          <w:tcPr>
            <w:tcW w:w="734" w:type="pct"/>
            <w:vAlign w:val="bottom"/>
          </w:tcPr>
          <w:p w:rsidR="00335886" w:rsidRDefault="00335886" w:rsidP="00D80C5A">
            <w:pPr>
              <w:pStyle w:val="TableBodyText"/>
            </w:pPr>
            <w:r>
              <w:t>13.4</w:t>
            </w:r>
          </w:p>
        </w:tc>
        <w:tc>
          <w:tcPr>
            <w:tcW w:w="861" w:type="pct"/>
            <w:tcBorders>
              <w:right w:val="single" w:sz="6" w:space="0" w:color="auto"/>
            </w:tcBorders>
            <w:vAlign w:val="bottom"/>
          </w:tcPr>
          <w:p w:rsidR="00335886" w:rsidRDefault="00335886" w:rsidP="00D80C5A">
            <w:pPr>
              <w:pStyle w:val="TableBodyText"/>
            </w:pPr>
            <w:r>
              <w:t>18.9</w:t>
            </w:r>
          </w:p>
        </w:tc>
        <w:tc>
          <w:tcPr>
            <w:tcW w:w="357" w:type="pct"/>
            <w:tcBorders>
              <w:left w:val="single" w:sz="6" w:space="0" w:color="auto"/>
            </w:tcBorders>
            <w:vAlign w:val="bottom"/>
          </w:tcPr>
          <w:p w:rsidR="00335886" w:rsidRDefault="00335886" w:rsidP="00D80C5A">
            <w:pPr>
              <w:pStyle w:val="TableBodyText"/>
            </w:pPr>
            <w:r>
              <w:t>20.4</w:t>
            </w:r>
          </w:p>
        </w:tc>
        <w:tc>
          <w:tcPr>
            <w:tcW w:w="1362" w:type="pct"/>
            <w:vMerge w:val="restart"/>
            <w:vAlign w:val="bottom"/>
          </w:tcPr>
          <w:p w:rsidR="00335886" w:rsidRDefault="0026502F" w:rsidP="0026502F">
            <w:pPr>
              <w:pStyle w:val="TableBodyText"/>
              <w:ind w:right="0"/>
              <w:jc w:val="left"/>
            </w:pPr>
            <w:r>
              <w:rPr>
                <w:noProof/>
              </w:rPr>
              <mc:AlternateContent>
                <mc:Choice Requires="wps">
                  <w:drawing>
                    <wp:anchor distT="0" distB="0" distL="114300" distR="114300" simplePos="0" relativeHeight="251660288" behindDoc="0" locked="0" layoutInCell="1" allowOverlap="1" wp14:anchorId="5A39B6B7" wp14:editId="7323618B">
                      <wp:simplePos x="0" y="0"/>
                      <wp:positionH relativeFrom="column">
                        <wp:posOffset>129540</wp:posOffset>
                      </wp:positionH>
                      <wp:positionV relativeFrom="paragraph">
                        <wp:posOffset>-232410</wp:posOffset>
                      </wp:positionV>
                      <wp:extent cx="276225" cy="628650"/>
                      <wp:effectExtent l="0" t="0" r="28575" b="19050"/>
                      <wp:wrapNone/>
                      <wp:docPr id="3" name="Right Brace 3"/>
                      <wp:cNvGraphicFramePr/>
                      <a:graphic xmlns:a="http://schemas.openxmlformats.org/drawingml/2006/main">
                        <a:graphicData uri="http://schemas.microsoft.com/office/word/2010/wordprocessingShape">
                          <wps:wsp>
                            <wps:cNvSpPr/>
                            <wps:spPr>
                              <a:xfrm>
                                <a:off x="0" y="0"/>
                                <a:ext cx="276225" cy="628650"/>
                              </a:xfrm>
                              <a:prstGeom prst="righ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3" o:spid="_x0000_s1026" type="#_x0000_t88" style="position:absolute;margin-left:10.2pt;margin-top:-18.3pt;width:21.75pt;height:4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" adj="791" strokecolor="black [3213]"/>
                  </w:pict>
                </mc:Fallback>
              </mc:AlternateContent>
            </w:r>
            <w:r>
              <w:t xml:space="preserve">             30 June 2001</w:t>
            </w:r>
            <w:r w:rsidR="00C510AC">
              <w:br/>
              <w:t xml:space="preserve">             (15–64 years)</w:t>
            </w:r>
            <w:r>
              <w:t xml:space="preserve">  </w:t>
            </w:r>
          </w:p>
        </w:tc>
      </w:tr>
      <w:tr w:rsidR="00335886" w:rsidTr="00152C4D">
        <w:tc>
          <w:tcPr>
            <w:tcW w:w="1686" w:type="pct"/>
            <w:vAlign w:val="bottom"/>
          </w:tcPr>
          <w:p w:rsidR="00335886" w:rsidRDefault="00335886" w:rsidP="00CF6C75">
            <w:pPr>
              <w:pStyle w:val="TableBodyText"/>
              <w:ind w:firstLine="136"/>
              <w:jc w:val="left"/>
            </w:pPr>
            <w:r>
              <w:t>Young adults (25–39 years)</w:t>
            </w:r>
          </w:p>
        </w:tc>
        <w:tc>
          <w:tcPr>
            <w:tcW w:w="734" w:type="pct"/>
            <w:vAlign w:val="bottom"/>
          </w:tcPr>
          <w:p w:rsidR="00335886" w:rsidRDefault="00335886" w:rsidP="00D80C5A">
            <w:pPr>
              <w:pStyle w:val="TableBodyText"/>
            </w:pPr>
            <w:r>
              <w:t>34.9</w:t>
            </w:r>
          </w:p>
        </w:tc>
        <w:tc>
          <w:tcPr>
            <w:tcW w:w="861" w:type="pct"/>
            <w:tcBorders>
              <w:right w:val="single" w:sz="6" w:space="0" w:color="auto"/>
            </w:tcBorders>
            <w:vAlign w:val="bottom"/>
          </w:tcPr>
          <w:p w:rsidR="00335886" w:rsidRDefault="00335886" w:rsidP="00D80C5A">
            <w:pPr>
              <w:pStyle w:val="TableBodyText"/>
            </w:pPr>
            <w:r>
              <w:t>34.7</w:t>
            </w:r>
          </w:p>
        </w:tc>
        <w:tc>
          <w:tcPr>
            <w:tcW w:w="357" w:type="pct"/>
            <w:tcBorders>
              <w:left w:val="single" w:sz="6" w:space="0" w:color="auto"/>
            </w:tcBorders>
            <w:vAlign w:val="bottom"/>
          </w:tcPr>
          <w:p w:rsidR="00335886" w:rsidRDefault="00335886" w:rsidP="00D80C5A">
            <w:pPr>
              <w:pStyle w:val="TableBodyText"/>
            </w:pPr>
            <w:r>
              <w:t>33.6</w:t>
            </w:r>
          </w:p>
        </w:tc>
        <w:tc>
          <w:tcPr>
            <w:tcW w:w="1362" w:type="pct"/>
            <w:vMerge/>
            <w:vAlign w:val="bottom"/>
          </w:tcPr>
          <w:p w:rsidR="00335886" w:rsidRDefault="00335886" w:rsidP="00E31927">
            <w:pPr>
              <w:pStyle w:val="TableBodyText"/>
              <w:ind w:right="0"/>
              <w:jc w:val="left"/>
            </w:pPr>
          </w:p>
        </w:tc>
      </w:tr>
      <w:tr w:rsidR="00335886" w:rsidTr="00152C4D">
        <w:tc>
          <w:tcPr>
            <w:tcW w:w="1686" w:type="pct"/>
            <w:vAlign w:val="bottom"/>
          </w:tcPr>
          <w:p w:rsidR="00335886" w:rsidRDefault="00335886" w:rsidP="00CF6C75">
            <w:pPr>
              <w:pStyle w:val="TableBodyText"/>
              <w:ind w:firstLine="136"/>
              <w:jc w:val="left"/>
            </w:pPr>
            <w:r>
              <w:t>Mature adults (40–54 years)</w:t>
            </w:r>
          </w:p>
        </w:tc>
        <w:tc>
          <w:tcPr>
            <w:tcW w:w="734" w:type="pct"/>
            <w:vAlign w:val="bottom"/>
          </w:tcPr>
          <w:p w:rsidR="00335886" w:rsidRDefault="00335886" w:rsidP="00D80C5A">
            <w:pPr>
              <w:pStyle w:val="TableBodyText"/>
            </w:pPr>
            <w:r>
              <w:t>35.9</w:t>
            </w:r>
          </w:p>
        </w:tc>
        <w:tc>
          <w:tcPr>
            <w:tcW w:w="861" w:type="pct"/>
            <w:tcBorders>
              <w:right w:val="single" w:sz="6" w:space="0" w:color="auto"/>
            </w:tcBorders>
            <w:vAlign w:val="bottom"/>
          </w:tcPr>
          <w:p w:rsidR="00335886" w:rsidRDefault="00335886" w:rsidP="00D80C5A">
            <w:pPr>
              <w:pStyle w:val="TableBodyText"/>
            </w:pPr>
            <w:r>
              <w:t>32.5</w:t>
            </w:r>
          </w:p>
        </w:tc>
        <w:tc>
          <w:tcPr>
            <w:tcW w:w="357" w:type="pct"/>
            <w:tcBorders>
              <w:left w:val="single" w:sz="6" w:space="0" w:color="auto"/>
            </w:tcBorders>
            <w:vAlign w:val="bottom"/>
          </w:tcPr>
          <w:p w:rsidR="00335886" w:rsidRDefault="00335886" w:rsidP="00D80C5A">
            <w:pPr>
              <w:pStyle w:val="TableBodyText"/>
            </w:pPr>
            <w:r>
              <w:t>31.9</w:t>
            </w:r>
          </w:p>
        </w:tc>
        <w:tc>
          <w:tcPr>
            <w:tcW w:w="1362" w:type="pct"/>
            <w:vMerge/>
            <w:vAlign w:val="bottom"/>
          </w:tcPr>
          <w:p w:rsidR="00335886" w:rsidRDefault="00335886" w:rsidP="00E31927">
            <w:pPr>
              <w:pStyle w:val="TableBodyText"/>
              <w:ind w:right="0"/>
              <w:jc w:val="left"/>
            </w:pPr>
          </w:p>
        </w:tc>
      </w:tr>
      <w:tr w:rsidR="00335886" w:rsidTr="00152C4D">
        <w:tc>
          <w:tcPr>
            <w:tcW w:w="1686" w:type="pct"/>
            <w:vAlign w:val="bottom"/>
          </w:tcPr>
          <w:p w:rsidR="00335886" w:rsidRDefault="00335886" w:rsidP="00CF6C75">
            <w:pPr>
              <w:pStyle w:val="TableBodyText"/>
              <w:ind w:firstLine="136"/>
              <w:jc w:val="left"/>
            </w:pPr>
            <w:r>
              <w:t>Seniors (55–64 years)</w:t>
            </w:r>
          </w:p>
        </w:tc>
        <w:tc>
          <w:tcPr>
            <w:tcW w:w="734" w:type="pct"/>
            <w:vAlign w:val="bottom"/>
          </w:tcPr>
          <w:p w:rsidR="00335886" w:rsidRDefault="00335886" w:rsidP="00D80C5A">
            <w:pPr>
              <w:pStyle w:val="TableBodyText"/>
            </w:pPr>
            <w:r>
              <w:t>15.9</w:t>
            </w:r>
          </w:p>
        </w:tc>
        <w:tc>
          <w:tcPr>
            <w:tcW w:w="861" w:type="pct"/>
            <w:tcBorders>
              <w:right w:val="single" w:sz="6" w:space="0" w:color="auto"/>
            </w:tcBorders>
            <w:vAlign w:val="bottom"/>
          </w:tcPr>
          <w:p w:rsidR="00335886" w:rsidRDefault="00335886" w:rsidP="00D80C5A">
            <w:pPr>
              <w:pStyle w:val="TableBodyText"/>
            </w:pPr>
            <w:r>
              <w:t>14.0</w:t>
            </w:r>
          </w:p>
        </w:tc>
        <w:tc>
          <w:tcPr>
            <w:tcW w:w="357" w:type="pct"/>
            <w:tcBorders>
              <w:left w:val="single" w:sz="6" w:space="0" w:color="auto"/>
            </w:tcBorders>
            <w:vAlign w:val="bottom"/>
          </w:tcPr>
          <w:p w:rsidR="00335886" w:rsidRDefault="00335886" w:rsidP="00D80C5A">
            <w:pPr>
              <w:pStyle w:val="TableBodyText"/>
            </w:pPr>
            <w:r>
              <w:t>14.1</w:t>
            </w:r>
          </w:p>
        </w:tc>
        <w:tc>
          <w:tcPr>
            <w:tcW w:w="1362" w:type="pct"/>
            <w:vMerge/>
            <w:vAlign w:val="bottom"/>
          </w:tcPr>
          <w:p w:rsidR="00335886" w:rsidRDefault="00335886" w:rsidP="00E31927">
            <w:pPr>
              <w:pStyle w:val="TableBodyText"/>
              <w:ind w:right="0"/>
              <w:jc w:val="left"/>
            </w:pPr>
          </w:p>
        </w:tc>
      </w:tr>
      <w:tr w:rsidR="00115FF3" w:rsidTr="00152C4D">
        <w:tc>
          <w:tcPr>
            <w:tcW w:w="1686" w:type="pct"/>
            <w:vAlign w:val="bottom"/>
          </w:tcPr>
          <w:p w:rsidR="00115FF3" w:rsidRPr="005C0C86" w:rsidRDefault="00115FF3" w:rsidP="00D80C5A">
            <w:pPr>
              <w:pStyle w:val="TableBodyText"/>
              <w:jc w:val="left"/>
              <w:rPr>
                <w:i/>
              </w:rPr>
            </w:pPr>
            <w:r w:rsidRPr="005C0C86">
              <w:rPr>
                <w:i/>
              </w:rPr>
              <w:t>Labour force characteristics:</w:t>
            </w:r>
          </w:p>
        </w:tc>
        <w:tc>
          <w:tcPr>
            <w:tcW w:w="734" w:type="pct"/>
            <w:vAlign w:val="bottom"/>
          </w:tcPr>
          <w:p w:rsidR="00115FF3" w:rsidRDefault="00115FF3" w:rsidP="00D80C5A">
            <w:pPr>
              <w:pStyle w:val="TableBodyText"/>
            </w:pPr>
          </w:p>
        </w:tc>
        <w:tc>
          <w:tcPr>
            <w:tcW w:w="861" w:type="pct"/>
            <w:tcBorders>
              <w:right w:val="single" w:sz="6" w:space="0" w:color="auto"/>
            </w:tcBorders>
            <w:vAlign w:val="bottom"/>
          </w:tcPr>
          <w:p w:rsidR="00115FF3" w:rsidRDefault="00115FF3" w:rsidP="00D80C5A">
            <w:pPr>
              <w:pStyle w:val="TableBodyText"/>
            </w:pPr>
          </w:p>
        </w:tc>
        <w:tc>
          <w:tcPr>
            <w:tcW w:w="357" w:type="pct"/>
            <w:tcBorders>
              <w:left w:val="single" w:sz="6" w:space="0" w:color="auto"/>
            </w:tcBorders>
            <w:vAlign w:val="bottom"/>
          </w:tcPr>
          <w:p w:rsidR="00115FF3" w:rsidRDefault="00115FF3" w:rsidP="00D80C5A">
            <w:pPr>
              <w:pStyle w:val="TableBodyText"/>
            </w:pPr>
          </w:p>
        </w:tc>
        <w:tc>
          <w:tcPr>
            <w:tcW w:w="1362" w:type="pct"/>
            <w:vAlign w:val="bottom"/>
          </w:tcPr>
          <w:p w:rsidR="00115FF3" w:rsidRDefault="00115FF3" w:rsidP="00E31927">
            <w:pPr>
              <w:pStyle w:val="TableBodyText"/>
              <w:ind w:right="0"/>
              <w:jc w:val="left"/>
            </w:pPr>
          </w:p>
        </w:tc>
      </w:tr>
      <w:tr w:rsidR="00C510AC" w:rsidTr="00152C4D">
        <w:tc>
          <w:tcPr>
            <w:tcW w:w="1686" w:type="pct"/>
            <w:vAlign w:val="bottom"/>
          </w:tcPr>
          <w:p w:rsidR="00C510AC" w:rsidRDefault="00C510AC" w:rsidP="00CF6C75">
            <w:pPr>
              <w:pStyle w:val="TableBodyText"/>
              <w:ind w:right="1" w:firstLine="136"/>
              <w:jc w:val="left"/>
            </w:pPr>
            <w:r>
              <w:t>Employment to population ratio</w:t>
            </w:r>
          </w:p>
        </w:tc>
        <w:tc>
          <w:tcPr>
            <w:tcW w:w="734" w:type="pct"/>
            <w:vAlign w:val="bottom"/>
          </w:tcPr>
          <w:p w:rsidR="00C510AC" w:rsidRDefault="00C510AC" w:rsidP="00D80C5A">
            <w:pPr>
              <w:pStyle w:val="TableBodyText"/>
            </w:pPr>
            <w:r>
              <w:t>0.716</w:t>
            </w:r>
          </w:p>
        </w:tc>
        <w:tc>
          <w:tcPr>
            <w:tcW w:w="861" w:type="pct"/>
            <w:tcBorders>
              <w:right w:val="single" w:sz="6" w:space="0" w:color="auto"/>
            </w:tcBorders>
            <w:vAlign w:val="bottom"/>
          </w:tcPr>
          <w:p w:rsidR="00C510AC" w:rsidRDefault="00C510AC" w:rsidP="00D80C5A">
            <w:pPr>
              <w:pStyle w:val="TableBodyText"/>
            </w:pPr>
            <w:r>
              <w:t>0.699</w:t>
            </w:r>
          </w:p>
        </w:tc>
        <w:tc>
          <w:tcPr>
            <w:tcW w:w="357" w:type="pct"/>
            <w:tcBorders>
              <w:left w:val="single" w:sz="6" w:space="0" w:color="auto"/>
            </w:tcBorders>
            <w:vAlign w:val="bottom"/>
          </w:tcPr>
          <w:p w:rsidR="00C510AC" w:rsidRDefault="00C510AC" w:rsidP="00D80C5A">
            <w:pPr>
              <w:pStyle w:val="TableBodyText"/>
            </w:pPr>
            <w:r>
              <w:t>0.692</w:t>
            </w:r>
          </w:p>
        </w:tc>
        <w:tc>
          <w:tcPr>
            <w:tcW w:w="1362" w:type="pct"/>
            <w:vMerge w:val="restart"/>
            <w:vAlign w:val="bottom"/>
          </w:tcPr>
          <w:p w:rsidR="00C510AC" w:rsidRDefault="00C510AC" w:rsidP="006E4A6A">
            <w:pPr>
              <w:pStyle w:val="TableBodyText"/>
              <w:ind w:right="0"/>
              <w:jc w:val="left"/>
            </w:pPr>
            <w:r>
              <w:rPr>
                <w:noProof/>
              </w:rPr>
              <mc:AlternateContent>
                <mc:Choice Requires="wps">
                  <w:drawing>
                    <wp:anchor distT="0" distB="0" distL="114300" distR="114300" simplePos="0" relativeHeight="251664384" behindDoc="0" locked="0" layoutInCell="1" allowOverlap="1" wp14:anchorId="2F62143F" wp14:editId="60AF8D60">
                      <wp:simplePos x="0" y="0"/>
                      <wp:positionH relativeFrom="column">
                        <wp:posOffset>130810</wp:posOffset>
                      </wp:positionH>
                      <wp:positionV relativeFrom="paragraph">
                        <wp:posOffset>-40005</wp:posOffset>
                      </wp:positionV>
                      <wp:extent cx="276225" cy="497840"/>
                      <wp:effectExtent l="0" t="0" r="28575" b="16510"/>
                      <wp:wrapNone/>
                      <wp:docPr id="8" name="Right Brace 8"/>
                      <wp:cNvGraphicFramePr/>
                      <a:graphic xmlns:a="http://schemas.openxmlformats.org/drawingml/2006/main">
                        <a:graphicData uri="http://schemas.microsoft.com/office/word/2010/wordprocessingShape">
                          <wps:wsp>
                            <wps:cNvSpPr/>
                            <wps:spPr>
                              <a:xfrm>
                                <a:off x="0" y="0"/>
                                <a:ext cx="276225" cy="497840"/>
                              </a:xfrm>
                              <a:prstGeom prst="righ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ight Brace 8" o:spid="_x0000_s1026" type="#_x0000_t88" style="position:absolute;margin-left:10.3pt;margin-top:-3.15pt;width:21.75pt;height:39.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" adj="999" strokecolor="black [3213]"/>
                  </w:pict>
                </mc:Fallback>
              </mc:AlternateContent>
            </w:r>
            <w:r>
              <w:t xml:space="preserve">             Oct 2001</w:t>
            </w:r>
            <w:r>
              <w:br/>
              <w:t xml:space="preserve">             (15–64 years)</w:t>
            </w:r>
            <w:r>
              <w:br/>
            </w:r>
          </w:p>
        </w:tc>
      </w:tr>
      <w:tr w:rsidR="00C510AC" w:rsidTr="00152C4D">
        <w:tc>
          <w:tcPr>
            <w:tcW w:w="1686" w:type="pct"/>
            <w:vAlign w:val="bottom"/>
          </w:tcPr>
          <w:p w:rsidR="00C510AC" w:rsidRDefault="00C510AC" w:rsidP="00CF6C75">
            <w:pPr>
              <w:pStyle w:val="TableBodyText"/>
              <w:ind w:firstLine="136"/>
              <w:jc w:val="left"/>
            </w:pPr>
            <w:r>
              <w:t>Participation rate (%)</w:t>
            </w:r>
          </w:p>
        </w:tc>
        <w:tc>
          <w:tcPr>
            <w:tcW w:w="734" w:type="pct"/>
            <w:vAlign w:val="bottom"/>
          </w:tcPr>
          <w:p w:rsidR="00C510AC" w:rsidRDefault="00C510AC" w:rsidP="00D80C5A">
            <w:pPr>
              <w:pStyle w:val="TableBodyText"/>
            </w:pPr>
            <w:r>
              <w:t>75.7</w:t>
            </w:r>
          </w:p>
        </w:tc>
        <w:tc>
          <w:tcPr>
            <w:tcW w:w="861" w:type="pct"/>
            <w:tcBorders>
              <w:right w:val="single" w:sz="6" w:space="0" w:color="auto"/>
            </w:tcBorders>
            <w:vAlign w:val="bottom"/>
          </w:tcPr>
          <w:p w:rsidR="00C510AC" w:rsidRDefault="00C510AC" w:rsidP="00D80C5A">
            <w:pPr>
              <w:pStyle w:val="TableBodyText"/>
            </w:pPr>
            <w:r>
              <w:t>75.0</w:t>
            </w:r>
          </w:p>
        </w:tc>
        <w:tc>
          <w:tcPr>
            <w:tcW w:w="357" w:type="pct"/>
            <w:tcBorders>
              <w:left w:val="single" w:sz="6" w:space="0" w:color="auto"/>
            </w:tcBorders>
            <w:vAlign w:val="bottom"/>
          </w:tcPr>
          <w:p w:rsidR="00C510AC" w:rsidRDefault="00C510AC" w:rsidP="00D80C5A">
            <w:pPr>
              <w:pStyle w:val="TableBodyText"/>
            </w:pPr>
            <w:r>
              <w:t>74.3</w:t>
            </w:r>
          </w:p>
        </w:tc>
        <w:tc>
          <w:tcPr>
            <w:tcW w:w="1362" w:type="pct"/>
            <w:vMerge/>
            <w:vAlign w:val="bottom"/>
          </w:tcPr>
          <w:p w:rsidR="00C510AC" w:rsidRDefault="00C510AC" w:rsidP="006E4A6A">
            <w:pPr>
              <w:pStyle w:val="TableBodyText"/>
              <w:ind w:right="0"/>
              <w:jc w:val="left"/>
            </w:pPr>
          </w:p>
        </w:tc>
      </w:tr>
      <w:tr w:rsidR="00C510AC" w:rsidTr="00152C4D">
        <w:tc>
          <w:tcPr>
            <w:tcW w:w="1686" w:type="pct"/>
            <w:vAlign w:val="bottom"/>
          </w:tcPr>
          <w:p w:rsidR="00C510AC" w:rsidRDefault="00C510AC" w:rsidP="00CF6C75">
            <w:pPr>
              <w:pStyle w:val="TableBodyText"/>
              <w:ind w:firstLine="136"/>
              <w:jc w:val="left"/>
            </w:pPr>
            <w:r>
              <w:t>Unemployment rate (%)</w:t>
            </w:r>
          </w:p>
        </w:tc>
        <w:tc>
          <w:tcPr>
            <w:tcW w:w="734" w:type="pct"/>
            <w:vAlign w:val="bottom"/>
          </w:tcPr>
          <w:p w:rsidR="00C510AC" w:rsidRDefault="00C510AC" w:rsidP="00D80C5A">
            <w:pPr>
              <w:pStyle w:val="TableBodyText"/>
            </w:pPr>
            <w:r>
              <w:t>5.4</w:t>
            </w:r>
          </w:p>
        </w:tc>
        <w:tc>
          <w:tcPr>
            <w:tcW w:w="861" w:type="pct"/>
            <w:tcBorders>
              <w:right w:val="single" w:sz="6" w:space="0" w:color="auto"/>
            </w:tcBorders>
            <w:vAlign w:val="bottom"/>
          </w:tcPr>
          <w:p w:rsidR="00C510AC" w:rsidRDefault="00C510AC" w:rsidP="00D80C5A">
            <w:pPr>
              <w:pStyle w:val="TableBodyText"/>
            </w:pPr>
            <w:r>
              <w:t>6.8</w:t>
            </w:r>
          </w:p>
        </w:tc>
        <w:tc>
          <w:tcPr>
            <w:tcW w:w="357" w:type="pct"/>
            <w:tcBorders>
              <w:left w:val="single" w:sz="6" w:space="0" w:color="auto"/>
            </w:tcBorders>
            <w:vAlign w:val="bottom"/>
          </w:tcPr>
          <w:p w:rsidR="00C510AC" w:rsidRDefault="00C510AC" w:rsidP="00D80C5A">
            <w:pPr>
              <w:pStyle w:val="TableBodyText"/>
            </w:pPr>
            <w:r>
              <w:t>6.8</w:t>
            </w:r>
          </w:p>
        </w:tc>
        <w:tc>
          <w:tcPr>
            <w:tcW w:w="1362" w:type="pct"/>
            <w:vMerge/>
            <w:vAlign w:val="bottom"/>
          </w:tcPr>
          <w:p w:rsidR="00C510AC" w:rsidRDefault="00C510AC" w:rsidP="006E4A6A">
            <w:pPr>
              <w:pStyle w:val="TableBodyText"/>
              <w:ind w:right="0"/>
              <w:jc w:val="left"/>
            </w:pPr>
          </w:p>
        </w:tc>
      </w:tr>
      <w:tr w:rsidR="00115FF3" w:rsidTr="00152C4D">
        <w:tc>
          <w:tcPr>
            <w:tcW w:w="1686" w:type="pct"/>
            <w:vAlign w:val="bottom"/>
          </w:tcPr>
          <w:p w:rsidR="00115FF3" w:rsidRDefault="00115FF3" w:rsidP="00CF6C75">
            <w:pPr>
              <w:pStyle w:val="TableBodyText"/>
              <w:ind w:left="142" w:right="1"/>
              <w:jc w:val="left"/>
            </w:pPr>
            <w:r>
              <w:t>Mean duration of unemployment (weeks)</w:t>
            </w:r>
          </w:p>
        </w:tc>
        <w:tc>
          <w:tcPr>
            <w:tcW w:w="734" w:type="pct"/>
            <w:vAlign w:val="bottom"/>
          </w:tcPr>
          <w:p w:rsidR="00115FF3" w:rsidRDefault="00115FF3" w:rsidP="00D80C5A">
            <w:pPr>
              <w:pStyle w:val="TableBodyText"/>
            </w:pPr>
            <w:r>
              <w:t>35.8</w:t>
            </w:r>
          </w:p>
        </w:tc>
        <w:tc>
          <w:tcPr>
            <w:tcW w:w="861" w:type="pct"/>
            <w:tcBorders>
              <w:right w:val="single" w:sz="6" w:space="0" w:color="auto"/>
            </w:tcBorders>
            <w:vAlign w:val="bottom"/>
          </w:tcPr>
          <w:p w:rsidR="00115FF3" w:rsidRDefault="00115FF3" w:rsidP="00D80C5A">
            <w:pPr>
              <w:pStyle w:val="TableBodyText"/>
            </w:pPr>
            <w:r>
              <w:t>31.4</w:t>
            </w:r>
          </w:p>
        </w:tc>
        <w:tc>
          <w:tcPr>
            <w:tcW w:w="357" w:type="pct"/>
            <w:tcBorders>
              <w:left w:val="single" w:sz="6" w:space="0" w:color="auto"/>
            </w:tcBorders>
            <w:vAlign w:val="bottom"/>
          </w:tcPr>
          <w:p w:rsidR="00115FF3" w:rsidRDefault="00115FF3" w:rsidP="00D80C5A">
            <w:pPr>
              <w:pStyle w:val="TableBodyText"/>
            </w:pPr>
            <w:r>
              <w:t>48.6</w:t>
            </w:r>
          </w:p>
        </w:tc>
        <w:tc>
          <w:tcPr>
            <w:tcW w:w="1362" w:type="pct"/>
            <w:vAlign w:val="bottom"/>
          </w:tcPr>
          <w:p w:rsidR="00115FF3" w:rsidRDefault="00115FF3" w:rsidP="006E4A6A">
            <w:pPr>
              <w:pStyle w:val="TableBodyText"/>
              <w:ind w:right="0"/>
              <w:jc w:val="left"/>
            </w:pPr>
            <w:r>
              <w:t>Oct 2001 (15+</w:t>
            </w:r>
            <w:r w:rsidR="006E4A6A">
              <w:t> </w:t>
            </w:r>
            <w:r>
              <w:t>y</w:t>
            </w:r>
            <w:r w:rsidR="006E4A6A">
              <w:t>ea</w:t>
            </w:r>
            <w:r>
              <w:t>rs)</w:t>
            </w:r>
          </w:p>
        </w:tc>
      </w:tr>
      <w:tr w:rsidR="00115FF3" w:rsidTr="00152C4D">
        <w:tc>
          <w:tcPr>
            <w:tcW w:w="1686" w:type="pct"/>
            <w:vAlign w:val="bottom"/>
          </w:tcPr>
          <w:p w:rsidR="00115FF3" w:rsidRPr="00115FF3" w:rsidRDefault="00115FF3" w:rsidP="00115FF3">
            <w:pPr>
              <w:pStyle w:val="TableBodyText"/>
              <w:jc w:val="left"/>
              <w:rPr>
                <w:rStyle w:val="NoteLabel"/>
              </w:rPr>
            </w:pPr>
            <w:r w:rsidRPr="00115FF3">
              <w:rPr>
                <w:i/>
              </w:rPr>
              <w:t>Distribution of job duration:</w:t>
            </w:r>
            <w:r>
              <w:rPr>
                <w:rStyle w:val="NoteLabel"/>
              </w:rPr>
              <w:t>c</w:t>
            </w:r>
          </w:p>
        </w:tc>
        <w:tc>
          <w:tcPr>
            <w:tcW w:w="734" w:type="pct"/>
            <w:vAlign w:val="bottom"/>
          </w:tcPr>
          <w:p w:rsidR="00115FF3" w:rsidRDefault="00115FF3" w:rsidP="00D80C5A">
            <w:pPr>
              <w:pStyle w:val="TableBodyText"/>
            </w:pPr>
          </w:p>
        </w:tc>
        <w:tc>
          <w:tcPr>
            <w:tcW w:w="861" w:type="pct"/>
            <w:tcBorders>
              <w:right w:val="single" w:sz="6" w:space="0" w:color="auto"/>
            </w:tcBorders>
            <w:vAlign w:val="bottom"/>
          </w:tcPr>
          <w:p w:rsidR="00115FF3" w:rsidRDefault="00115FF3" w:rsidP="00D80C5A">
            <w:pPr>
              <w:pStyle w:val="TableBodyText"/>
            </w:pPr>
          </w:p>
        </w:tc>
        <w:tc>
          <w:tcPr>
            <w:tcW w:w="357" w:type="pct"/>
            <w:tcBorders>
              <w:left w:val="single" w:sz="6" w:space="0" w:color="auto"/>
            </w:tcBorders>
            <w:vAlign w:val="bottom"/>
          </w:tcPr>
          <w:p w:rsidR="00115FF3" w:rsidRDefault="00115FF3" w:rsidP="00D80C5A">
            <w:pPr>
              <w:pStyle w:val="TableBodyText"/>
            </w:pPr>
          </w:p>
        </w:tc>
        <w:tc>
          <w:tcPr>
            <w:tcW w:w="1362" w:type="pct"/>
            <w:vAlign w:val="bottom"/>
          </w:tcPr>
          <w:p w:rsidR="00115FF3" w:rsidRDefault="00115FF3" w:rsidP="006E4A6A">
            <w:pPr>
              <w:pStyle w:val="TableBodyText"/>
              <w:ind w:right="0"/>
              <w:jc w:val="left"/>
            </w:pPr>
          </w:p>
        </w:tc>
      </w:tr>
      <w:tr w:rsidR="0026502F" w:rsidTr="00152C4D">
        <w:tc>
          <w:tcPr>
            <w:tcW w:w="1686" w:type="pct"/>
            <w:vAlign w:val="bottom"/>
          </w:tcPr>
          <w:p w:rsidR="0026502F" w:rsidRDefault="0026502F" w:rsidP="00CF6C75">
            <w:pPr>
              <w:pStyle w:val="TableBodyText"/>
              <w:ind w:firstLine="136"/>
              <w:jc w:val="left"/>
            </w:pPr>
            <w:r>
              <w:t>Less than 1 year</w:t>
            </w:r>
          </w:p>
        </w:tc>
        <w:tc>
          <w:tcPr>
            <w:tcW w:w="734" w:type="pct"/>
            <w:vAlign w:val="bottom"/>
          </w:tcPr>
          <w:p w:rsidR="0026502F" w:rsidRDefault="0026502F" w:rsidP="00D80C5A">
            <w:pPr>
              <w:pStyle w:val="TableBodyText"/>
            </w:pPr>
            <w:r>
              <w:t>18.3</w:t>
            </w:r>
          </w:p>
        </w:tc>
        <w:tc>
          <w:tcPr>
            <w:tcW w:w="861" w:type="pct"/>
            <w:tcBorders>
              <w:right w:val="single" w:sz="6" w:space="0" w:color="auto"/>
            </w:tcBorders>
            <w:vAlign w:val="bottom"/>
          </w:tcPr>
          <w:p w:rsidR="0026502F" w:rsidRDefault="0026502F" w:rsidP="00D80C5A">
            <w:pPr>
              <w:pStyle w:val="TableBodyText"/>
            </w:pPr>
            <w:r>
              <w:t>20.9</w:t>
            </w:r>
          </w:p>
        </w:tc>
        <w:tc>
          <w:tcPr>
            <w:tcW w:w="357" w:type="pct"/>
            <w:tcBorders>
              <w:left w:val="single" w:sz="6" w:space="0" w:color="auto"/>
            </w:tcBorders>
            <w:vAlign w:val="bottom"/>
          </w:tcPr>
          <w:p w:rsidR="0026502F" w:rsidRDefault="0026502F" w:rsidP="00D80C5A">
            <w:pPr>
              <w:pStyle w:val="TableBodyText"/>
            </w:pPr>
            <w:r>
              <w:t>22.9</w:t>
            </w:r>
          </w:p>
        </w:tc>
        <w:tc>
          <w:tcPr>
            <w:tcW w:w="1362" w:type="pct"/>
            <w:vMerge w:val="restart"/>
            <w:vAlign w:val="bottom"/>
          </w:tcPr>
          <w:p w:rsidR="0026502F" w:rsidRDefault="0026502F" w:rsidP="00E31927">
            <w:pPr>
              <w:pStyle w:val="TableBodyText"/>
              <w:ind w:right="0"/>
              <w:jc w:val="left"/>
            </w:pPr>
            <w:r>
              <w:rPr>
                <w:noProof/>
              </w:rPr>
              <mc:AlternateContent>
                <mc:Choice Requires="wps">
                  <w:drawing>
                    <wp:anchor distT="0" distB="0" distL="114300" distR="114300" simplePos="0" relativeHeight="251662336" behindDoc="0" locked="0" layoutInCell="1" allowOverlap="1" wp14:anchorId="49CF8992" wp14:editId="39DD7CE2">
                      <wp:simplePos x="0" y="0"/>
                      <wp:positionH relativeFrom="column">
                        <wp:posOffset>123825</wp:posOffset>
                      </wp:positionH>
                      <wp:positionV relativeFrom="paragraph">
                        <wp:posOffset>-57785</wp:posOffset>
                      </wp:positionV>
                      <wp:extent cx="276225" cy="628650"/>
                      <wp:effectExtent l="0" t="0" r="28575" b="19050"/>
                      <wp:wrapNone/>
                      <wp:docPr id="7" name="Right Brace 7"/>
                      <wp:cNvGraphicFramePr/>
                      <a:graphic xmlns:a="http://schemas.openxmlformats.org/drawingml/2006/main">
                        <a:graphicData uri="http://schemas.microsoft.com/office/word/2010/wordprocessingShape">
                          <wps:wsp>
                            <wps:cNvSpPr/>
                            <wps:spPr>
                              <a:xfrm>
                                <a:off x="0" y="0"/>
                                <a:ext cx="276225" cy="628650"/>
                              </a:xfrm>
                              <a:prstGeom prst="righ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ight Brace 7" o:spid="_x0000_s1026" type="#_x0000_t88" style="position:absolute;margin-left:9.75pt;margin-top:-4.55pt;width:21.75pt;height:4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" adj="791" strokecolor="black [3213]"/>
                  </w:pict>
                </mc:Fallback>
              </mc:AlternateContent>
            </w:r>
            <w:r>
              <w:t xml:space="preserve"> </w:t>
            </w:r>
            <w:r w:rsidR="00C510AC">
              <w:t xml:space="preserve"> </w:t>
            </w:r>
            <w:r>
              <w:t xml:space="preserve">          Year ending </w:t>
            </w:r>
            <w:r>
              <w:br/>
              <w:t xml:space="preserve">  </w:t>
            </w:r>
            <w:r w:rsidR="00C510AC">
              <w:t xml:space="preserve"> </w:t>
            </w:r>
            <w:r>
              <w:t xml:space="preserve">         Feb 2002</w:t>
            </w:r>
            <w:r>
              <w:br/>
              <w:t xml:space="preserve">   </w:t>
            </w:r>
            <w:r w:rsidR="00C510AC">
              <w:t xml:space="preserve"> </w:t>
            </w:r>
            <w:r>
              <w:t xml:space="preserve">        (15–69 years)</w:t>
            </w:r>
            <w:r w:rsidR="00C510AC">
              <w:br/>
            </w:r>
          </w:p>
        </w:tc>
      </w:tr>
      <w:tr w:rsidR="0026502F" w:rsidTr="00152C4D">
        <w:tc>
          <w:tcPr>
            <w:tcW w:w="1686" w:type="pct"/>
            <w:vAlign w:val="bottom"/>
          </w:tcPr>
          <w:p w:rsidR="0026502F" w:rsidRDefault="0026502F" w:rsidP="00CF6C75">
            <w:pPr>
              <w:pStyle w:val="TableBodyText"/>
              <w:ind w:firstLine="136"/>
              <w:jc w:val="left"/>
            </w:pPr>
            <w:r>
              <w:t>1 to under 5 years</w:t>
            </w:r>
          </w:p>
        </w:tc>
        <w:tc>
          <w:tcPr>
            <w:tcW w:w="734" w:type="pct"/>
            <w:vAlign w:val="bottom"/>
          </w:tcPr>
          <w:p w:rsidR="0026502F" w:rsidRDefault="0026502F" w:rsidP="00D80C5A">
            <w:pPr>
              <w:pStyle w:val="TableBodyText"/>
            </w:pPr>
            <w:r>
              <w:t>34.5</w:t>
            </w:r>
          </w:p>
        </w:tc>
        <w:tc>
          <w:tcPr>
            <w:tcW w:w="861" w:type="pct"/>
            <w:tcBorders>
              <w:right w:val="single" w:sz="6" w:space="0" w:color="auto"/>
            </w:tcBorders>
            <w:vAlign w:val="bottom"/>
          </w:tcPr>
          <w:p w:rsidR="0026502F" w:rsidRDefault="0026502F" w:rsidP="00D80C5A">
            <w:pPr>
              <w:pStyle w:val="TableBodyText"/>
            </w:pPr>
            <w:r>
              <w:t>35.8</w:t>
            </w:r>
          </w:p>
        </w:tc>
        <w:tc>
          <w:tcPr>
            <w:tcW w:w="357" w:type="pct"/>
            <w:tcBorders>
              <w:left w:val="single" w:sz="6" w:space="0" w:color="auto"/>
            </w:tcBorders>
            <w:vAlign w:val="bottom"/>
          </w:tcPr>
          <w:p w:rsidR="0026502F" w:rsidRDefault="0026502F" w:rsidP="00D80C5A">
            <w:pPr>
              <w:pStyle w:val="TableBodyText"/>
            </w:pPr>
            <w:r>
              <w:t>36.2</w:t>
            </w:r>
          </w:p>
        </w:tc>
        <w:tc>
          <w:tcPr>
            <w:tcW w:w="1362" w:type="pct"/>
            <w:vMerge/>
            <w:vAlign w:val="bottom"/>
          </w:tcPr>
          <w:p w:rsidR="0026502F" w:rsidRDefault="0026502F" w:rsidP="00E31927">
            <w:pPr>
              <w:pStyle w:val="TableBodyText"/>
              <w:ind w:right="0"/>
              <w:jc w:val="left"/>
            </w:pPr>
          </w:p>
        </w:tc>
      </w:tr>
      <w:tr w:rsidR="0026502F" w:rsidTr="00152C4D">
        <w:tc>
          <w:tcPr>
            <w:tcW w:w="1686" w:type="pct"/>
            <w:shd w:val="clear" w:color="auto" w:fill="auto"/>
            <w:vAlign w:val="bottom"/>
          </w:tcPr>
          <w:p w:rsidR="0026502F" w:rsidRDefault="0026502F" w:rsidP="00CF6C75">
            <w:pPr>
              <w:pStyle w:val="TableBodyText"/>
              <w:ind w:firstLine="136"/>
              <w:jc w:val="left"/>
            </w:pPr>
            <w:r>
              <w:t>5 to under 10 years</w:t>
            </w:r>
          </w:p>
        </w:tc>
        <w:tc>
          <w:tcPr>
            <w:tcW w:w="734" w:type="pct"/>
            <w:vAlign w:val="bottom"/>
          </w:tcPr>
          <w:p w:rsidR="0026502F" w:rsidRDefault="0026502F" w:rsidP="00D80C5A">
            <w:pPr>
              <w:pStyle w:val="TableBodyText"/>
            </w:pPr>
            <w:r>
              <w:t>19.0</w:t>
            </w:r>
          </w:p>
        </w:tc>
        <w:tc>
          <w:tcPr>
            <w:tcW w:w="861" w:type="pct"/>
            <w:tcBorders>
              <w:right w:val="single" w:sz="6" w:space="0" w:color="auto"/>
            </w:tcBorders>
            <w:vAlign w:val="bottom"/>
          </w:tcPr>
          <w:p w:rsidR="0026502F" w:rsidRDefault="0026502F" w:rsidP="00D80C5A">
            <w:pPr>
              <w:pStyle w:val="TableBodyText"/>
            </w:pPr>
            <w:r>
              <w:t>17.6</w:t>
            </w:r>
          </w:p>
        </w:tc>
        <w:tc>
          <w:tcPr>
            <w:tcW w:w="357" w:type="pct"/>
            <w:tcBorders>
              <w:left w:val="single" w:sz="6" w:space="0" w:color="auto"/>
            </w:tcBorders>
            <w:shd w:val="clear" w:color="auto" w:fill="auto"/>
            <w:vAlign w:val="bottom"/>
          </w:tcPr>
          <w:p w:rsidR="0026502F" w:rsidRDefault="0026502F" w:rsidP="00D80C5A">
            <w:pPr>
              <w:pStyle w:val="TableBodyText"/>
            </w:pPr>
            <w:r>
              <w:t>17.0</w:t>
            </w:r>
          </w:p>
        </w:tc>
        <w:tc>
          <w:tcPr>
            <w:tcW w:w="1362" w:type="pct"/>
            <w:vMerge/>
            <w:shd w:val="clear" w:color="auto" w:fill="auto"/>
            <w:vAlign w:val="bottom"/>
          </w:tcPr>
          <w:p w:rsidR="0026502F" w:rsidRDefault="0026502F" w:rsidP="00E31927">
            <w:pPr>
              <w:pStyle w:val="TableBodyText"/>
              <w:ind w:right="0"/>
              <w:jc w:val="left"/>
            </w:pPr>
          </w:p>
        </w:tc>
      </w:tr>
      <w:tr w:rsidR="0026502F" w:rsidTr="00152C4D">
        <w:tc>
          <w:tcPr>
            <w:tcW w:w="1686" w:type="pct"/>
            <w:tcBorders>
              <w:bottom w:val="single" w:sz="6" w:space="0" w:color="auto"/>
            </w:tcBorders>
            <w:shd w:val="clear" w:color="auto" w:fill="auto"/>
            <w:vAlign w:val="bottom"/>
          </w:tcPr>
          <w:p w:rsidR="0026502F" w:rsidRDefault="0026502F" w:rsidP="00CF6C75">
            <w:pPr>
              <w:pStyle w:val="TableBodyText"/>
              <w:ind w:firstLine="136"/>
              <w:jc w:val="left"/>
            </w:pPr>
            <w:r>
              <w:t>10 years or longer</w:t>
            </w:r>
          </w:p>
        </w:tc>
        <w:tc>
          <w:tcPr>
            <w:tcW w:w="734" w:type="pct"/>
            <w:tcBorders>
              <w:bottom w:val="single" w:sz="6" w:space="0" w:color="auto"/>
            </w:tcBorders>
            <w:vAlign w:val="bottom"/>
          </w:tcPr>
          <w:p w:rsidR="0026502F" w:rsidRDefault="0026502F" w:rsidP="00D80C5A">
            <w:pPr>
              <w:pStyle w:val="TableBodyText"/>
            </w:pPr>
            <w:r>
              <w:t>28.3</w:t>
            </w:r>
          </w:p>
        </w:tc>
        <w:tc>
          <w:tcPr>
            <w:tcW w:w="861" w:type="pct"/>
            <w:tcBorders>
              <w:bottom w:val="single" w:sz="6" w:space="0" w:color="auto"/>
              <w:right w:val="single" w:sz="6" w:space="0" w:color="auto"/>
            </w:tcBorders>
            <w:vAlign w:val="bottom"/>
          </w:tcPr>
          <w:p w:rsidR="0026502F" w:rsidRDefault="0026502F" w:rsidP="00D80C5A">
            <w:pPr>
              <w:pStyle w:val="TableBodyText"/>
            </w:pPr>
            <w:r>
              <w:t>25.7</w:t>
            </w:r>
          </w:p>
        </w:tc>
        <w:tc>
          <w:tcPr>
            <w:tcW w:w="357" w:type="pct"/>
            <w:tcBorders>
              <w:left w:val="single" w:sz="6" w:space="0" w:color="auto"/>
              <w:bottom w:val="single" w:sz="6" w:space="0" w:color="auto"/>
            </w:tcBorders>
            <w:shd w:val="clear" w:color="auto" w:fill="auto"/>
            <w:vAlign w:val="bottom"/>
          </w:tcPr>
          <w:p w:rsidR="0026502F" w:rsidRDefault="0026502F" w:rsidP="00D80C5A">
            <w:pPr>
              <w:pStyle w:val="TableBodyText"/>
            </w:pPr>
            <w:r>
              <w:t>24.0</w:t>
            </w:r>
          </w:p>
        </w:tc>
        <w:tc>
          <w:tcPr>
            <w:tcW w:w="1362" w:type="pct"/>
            <w:vMerge/>
            <w:tcBorders>
              <w:bottom w:val="single" w:sz="6" w:space="0" w:color="auto"/>
            </w:tcBorders>
            <w:shd w:val="clear" w:color="auto" w:fill="auto"/>
            <w:vAlign w:val="bottom"/>
          </w:tcPr>
          <w:p w:rsidR="0026502F" w:rsidRDefault="0026502F" w:rsidP="00E31927">
            <w:pPr>
              <w:pStyle w:val="TableBodyText"/>
              <w:ind w:right="0"/>
              <w:jc w:val="left"/>
            </w:pPr>
          </w:p>
        </w:tc>
      </w:tr>
    </w:tbl>
    <w:p w:rsidR="0020635D" w:rsidRPr="00115FF3" w:rsidRDefault="00A77770" w:rsidP="00115FF3">
      <w:pPr>
        <w:pStyle w:val="Note"/>
      </w:pPr>
      <w:r>
        <w:rPr>
          <w:rStyle w:val="NoteLabel"/>
        </w:rPr>
        <w:t>a</w:t>
      </w:r>
      <w:r>
        <w:t> </w:t>
      </w:r>
      <w:r w:rsidR="0020635D" w:rsidRPr="002F698C">
        <w:t>Percentages may not add to 100 due to rounding errors.</w:t>
      </w:r>
      <w:r>
        <w:t>  </w:t>
      </w:r>
      <w:r w:rsidR="0020635D">
        <w:rPr>
          <w:rStyle w:val="NoteLabel"/>
        </w:rPr>
        <w:t>b</w:t>
      </w:r>
      <w:r>
        <w:rPr>
          <w:rStyle w:val="NoteLabel"/>
        </w:rPr>
        <w:t> </w:t>
      </w:r>
      <w:r w:rsidR="0026502F">
        <w:t>Percentage of the working-</w:t>
      </w:r>
      <w:r w:rsidR="0020635D" w:rsidRPr="001F3626">
        <w:t>age population</w:t>
      </w:r>
      <w:r w:rsidR="00CF6C75">
        <w:br/>
      </w:r>
      <w:r w:rsidR="0020635D" w:rsidRPr="001F3626">
        <w:t>(15–64</w:t>
      </w:r>
      <w:r w:rsidR="00927C58">
        <w:t> years</w:t>
      </w:r>
      <w:r w:rsidR="0020635D" w:rsidRPr="001F3626">
        <w:t>) in each age segment.</w:t>
      </w:r>
      <w:r w:rsidR="00115FF3">
        <w:t>  </w:t>
      </w:r>
      <w:r w:rsidR="00115FF3" w:rsidRPr="00115FF3">
        <w:rPr>
          <w:rStyle w:val="NoteLabel"/>
        </w:rPr>
        <w:t>c</w:t>
      </w:r>
      <w:r w:rsidR="00115FF3">
        <w:rPr>
          <w:rStyle w:val="NoteLabel"/>
        </w:rPr>
        <w:t> </w:t>
      </w:r>
      <w:r w:rsidR="00115FF3" w:rsidRPr="00D33EA5">
        <w:t xml:space="preserve">Percentage of employed individuals in </w:t>
      </w:r>
      <w:r w:rsidR="00D33EA5" w:rsidRPr="00D33EA5">
        <w:t>each job duration</w:t>
      </w:r>
      <w:r w:rsidR="006E4A6A">
        <w:t xml:space="preserve"> category</w:t>
      </w:r>
      <w:r w:rsidR="00D33EA5" w:rsidRPr="00D33EA5">
        <w:t>.</w:t>
      </w:r>
    </w:p>
    <w:p w:rsidR="004651CB" w:rsidRPr="00BF3EC2" w:rsidRDefault="0020635D" w:rsidP="00BF3EC2">
      <w:pPr>
        <w:pStyle w:val="Source"/>
        <w:rPr>
          <w:rStyle w:val="DraftingNote"/>
          <w:b w:val="0"/>
          <w:color w:val="auto"/>
          <w:sz w:val="18"/>
          <w:u w:val="none"/>
        </w:rPr>
      </w:pPr>
      <w:r>
        <w:rPr>
          <w:i/>
        </w:rPr>
        <w:t>Source</w:t>
      </w:r>
      <w:r w:rsidR="003D3980">
        <w:rPr>
          <w:i/>
        </w:rPr>
        <w:t>s</w:t>
      </w:r>
      <w:r>
        <w:t xml:space="preserve">: </w:t>
      </w:r>
      <w:r w:rsidR="00C510AC">
        <w:t>ABS 2001 (</w:t>
      </w:r>
      <w:r w:rsidR="00C510AC" w:rsidRPr="00022FA1">
        <w:rPr>
          <w:i/>
        </w:rPr>
        <w:t>Labour Force</w:t>
      </w:r>
      <w:r w:rsidR="00C510AC">
        <w:t xml:space="preserve">, Cat. no. 6203); </w:t>
      </w:r>
      <w:r>
        <w:t>ABS 2002 (</w:t>
      </w:r>
      <w:r w:rsidRPr="009946F0">
        <w:rPr>
          <w:i/>
        </w:rPr>
        <w:t>Labour Mobility</w:t>
      </w:r>
      <w:r>
        <w:t>, Cat. no. 6209.0)</w:t>
      </w:r>
      <w:r w:rsidR="0026502F">
        <w:t>;</w:t>
      </w:r>
      <w:r w:rsidR="003D3980" w:rsidRPr="003D3980">
        <w:t xml:space="preserve"> </w:t>
      </w:r>
      <w:r w:rsidR="000C1A1A">
        <w:br/>
      </w:r>
      <w:r w:rsidR="00C510AC" w:rsidRPr="008E3EFC">
        <w:t xml:space="preserve">ABS </w:t>
      </w:r>
      <w:r w:rsidR="00C510AC">
        <w:t xml:space="preserve">2008 </w:t>
      </w:r>
      <w:r w:rsidR="00C510AC" w:rsidRPr="008E3EFC">
        <w:t>(</w:t>
      </w:r>
      <w:r w:rsidR="00C510AC" w:rsidRPr="002F698C">
        <w:rPr>
          <w:i/>
        </w:rPr>
        <w:t>Australian Historical Population Statistics</w:t>
      </w:r>
      <w:r w:rsidR="00C510AC" w:rsidRPr="002F698C">
        <w:t>, Cat. no. 3105.0)</w:t>
      </w:r>
      <w:r w:rsidR="00C510AC">
        <w:t xml:space="preserve">; </w:t>
      </w:r>
      <w:r w:rsidR="000C0DCE">
        <w:t>Authors’</w:t>
      </w:r>
      <w:r w:rsidR="003D3980">
        <w:t xml:space="preserve"> estimates based on HILDA waves 1–10; Watson and Wooden (200</w:t>
      </w:r>
      <w:r w:rsidR="00616EFF">
        <w:t>2</w:t>
      </w:r>
      <w:r w:rsidR="003D3980">
        <w:t>).</w:t>
      </w:r>
    </w:p>
    <w:p w:rsidR="00114899" w:rsidRPr="002B78A1" w:rsidRDefault="00114899" w:rsidP="002B78A1">
      <w:pPr>
        <w:pStyle w:val="BodyText"/>
        <w:rPr>
          <w:rStyle w:val="DraftingNote"/>
          <w:b w:val="0"/>
          <w:color w:val="auto"/>
          <w:sz w:val="26"/>
          <w:u w:val="none"/>
        </w:rPr>
      </w:pPr>
      <w:r w:rsidRPr="002B78A1">
        <w:rPr>
          <w:rStyle w:val="DraftingNote"/>
          <w:b w:val="0"/>
          <w:color w:val="auto"/>
          <w:sz w:val="26"/>
          <w:u w:val="none"/>
        </w:rPr>
        <w:t xml:space="preserve">In terms of the age distributions, the weighted HILDA sample </w:t>
      </w:r>
      <w:r w:rsidR="008B3132">
        <w:rPr>
          <w:rStyle w:val="DraftingNote"/>
          <w:b w:val="0"/>
          <w:color w:val="auto"/>
          <w:sz w:val="26"/>
          <w:u w:val="none"/>
        </w:rPr>
        <w:t xml:space="preserve">(not </w:t>
      </w:r>
      <w:r w:rsidR="00C510AC">
        <w:rPr>
          <w:rStyle w:val="DraftingNote"/>
          <w:b w:val="0"/>
          <w:color w:val="auto"/>
          <w:sz w:val="26"/>
          <w:u w:val="none"/>
        </w:rPr>
        <w:t>shown</w:t>
      </w:r>
      <w:r w:rsidR="008B3132">
        <w:rPr>
          <w:rStyle w:val="DraftingNote"/>
          <w:b w:val="0"/>
          <w:color w:val="auto"/>
          <w:sz w:val="26"/>
          <w:u w:val="none"/>
        </w:rPr>
        <w:t xml:space="preserve">) </w:t>
      </w:r>
      <w:r w:rsidRPr="002B78A1">
        <w:rPr>
          <w:rStyle w:val="DraftingNote"/>
          <w:b w:val="0"/>
          <w:color w:val="auto"/>
          <w:sz w:val="26"/>
          <w:u w:val="none"/>
        </w:rPr>
        <w:t xml:space="preserve">is very similar to the </w:t>
      </w:r>
      <w:r w:rsidR="0006580E">
        <w:rPr>
          <w:rStyle w:val="DraftingNote"/>
          <w:b w:val="0"/>
          <w:color w:val="auto"/>
          <w:sz w:val="26"/>
          <w:u w:val="none"/>
        </w:rPr>
        <w:t xml:space="preserve">ABS </w:t>
      </w:r>
      <w:r w:rsidRPr="002B78A1">
        <w:rPr>
          <w:rStyle w:val="DraftingNote"/>
          <w:b w:val="0"/>
          <w:color w:val="auto"/>
          <w:sz w:val="26"/>
          <w:u w:val="none"/>
        </w:rPr>
        <w:t>data.</w:t>
      </w:r>
      <w:r w:rsidR="00145609" w:rsidRPr="002B78A1">
        <w:rPr>
          <w:rStyle w:val="DraftingNote"/>
          <w:b w:val="0"/>
          <w:color w:val="auto"/>
          <w:sz w:val="26"/>
          <w:u w:val="none"/>
        </w:rPr>
        <w:t xml:space="preserve"> </w:t>
      </w:r>
      <w:r w:rsidR="00786BD8" w:rsidRPr="002B78A1">
        <w:rPr>
          <w:rStyle w:val="DraftingNote"/>
          <w:b w:val="0"/>
          <w:color w:val="auto"/>
          <w:sz w:val="26"/>
          <w:u w:val="none"/>
        </w:rPr>
        <w:t xml:space="preserve">However, </w:t>
      </w:r>
      <w:r w:rsidRPr="002B78A1">
        <w:rPr>
          <w:rStyle w:val="DraftingNote"/>
          <w:b w:val="0"/>
          <w:color w:val="auto"/>
          <w:sz w:val="26"/>
          <w:u w:val="none"/>
        </w:rPr>
        <w:t>the age distribution of the sub</w:t>
      </w:r>
      <w:r w:rsidRPr="002B78A1">
        <w:rPr>
          <w:rStyle w:val="DraftingNote"/>
          <w:b w:val="0"/>
          <w:color w:val="auto"/>
          <w:sz w:val="26"/>
          <w:u w:val="none"/>
        </w:rPr>
        <w:noBreakHyphen/>
        <w:t>sample</w:t>
      </w:r>
      <w:r w:rsidR="0006580E">
        <w:rPr>
          <w:rStyle w:val="DraftingNote"/>
          <w:b w:val="0"/>
          <w:color w:val="auto"/>
          <w:sz w:val="26"/>
          <w:u w:val="none"/>
        </w:rPr>
        <w:t xml:space="preserve">, whether it is weighted (not </w:t>
      </w:r>
      <w:r w:rsidR="00C510AC">
        <w:rPr>
          <w:rStyle w:val="DraftingNote"/>
          <w:b w:val="0"/>
          <w:color w:val="auto"/>
          <w:sz w:val="26"/>
          <w:u w:val="none"/>
        </w:rPr>
        <w:t>shown</w:t>
      </w:r>
      <w:r w:rsidR="0006580E">
        <w:rPr>
          <w:rStyle w:val="DraftingNote"/>
          <w:b w:val="0"/>
          <w:color w:val="auto"/>
          <w:sz w:val="26"/>
          <w:u w:val="none"/>
        </w:rPr>
        <w:t>) or unweighted,</w:t>
      </w:r>
      <w:r w:rsidRPr="002B78A1">
        <w:rPr>
          <w:rStyle w:val="DraftingNote"/>
          <w:b w:val="0"/>
          <w:color w:val="auto"/>
          <w:sz w:val="26"/>
          <w:u w:val="none"/>
        </w:rPr>
        <w:t xml:space="preserve"> is different to the </w:t>
      </w:r>
      <w:r w:rsidR="00C510AC">
        <w:rPr>
          <w:rStyle w:val="DraftingNote"/>
          <w:b w:val="0"/>
          <w:color w:val="auto"/>
          <w:sz w:val="26"/>
          <w:u w:val="none"/>
        </w:rPr>
        <w:t>ABS</w:t>
      </w:r>
      <w:r w:rsidRPr="002B78A1">
        <w:rPr>
          <w:rStyle w:val="DraftingNote"/>
          <w:b w:val="0"/>
          <w:color w:val="auto"/>
          <w:sz w:val="26"/>
          <w:u w:val="none"/>
        </w:rPr>
        <w:t xml:space="preserve"> data</w:t>
      </w:r>
      <w:r w:rsidR="0006580E">
        <w:rPr>
          <w:rStyle w:val="DraftingNote"/>
          <w:b w:val="0"/>
          <w:color w:val="auto"/>
          <w:sz w:val="26"/>
          <w:u w:val="none"/>
        </w:rPr>
        <w:t>. The key difference is that t</w:t>
      </w:r>
      <w:r w:rsidRPr="002B78A1">
        <w:rPr>
          <w:rStyle w:val="DraftingNote"/>
          <w:b w:val="0"/>
          <w:color w:val="auto"/>
          <w:sz w:val="26"/>
          <w:u w:val="none"/>
        </w:rPr>
        <w:t xml:space="preserve">here </w:t>
      </w:r>
      <w:r w:rsidR="00C510AC">
        <w:rPr>
          <w:rStyle w:val="DraftingNote"/>
          <w:b w:val="0"/>
          <w:color w:val="auto"/>
          <w:sz w:val="26"/>
          <w:u w:val="none"/>
        </w:rPr>
        <w:t>is a smaller proportion of youths</w:t>
      </w:r>
      <w:r w:rsidRPr="002B78A1">
        <w:rPr>
          <w:rStyle w:val="DraftingNote"/>
          <w:b w:val="0"/>
          <w:color w:val="auto"/>
          <w:sz w:val="26"/>
          <w:u w:val="none"/>
        </w:rPr>
        <w:t xml:space="preserve"> (7</w:t>
      </w:r>
      <w:r w:rsidR="00595FA4">
        <w:rPr>
          <w:rStyle w:val="DraftingNote"/>
          <w:b w:val="0"/>
          <w:color w:val="auto"/>
          <w:sz w:val="26"/>
          <w:u w:val="none"/>
        </w:rPr>
        <w:t> </w:t>
      </w:r>
      <w:r w:rsidRPr="002B78A1">
        <w:rPr>
          <w:rStyle w:val="DraftingNote"/>
          <w:b w:val="0"/>
          <w:color w:val="auto"/>
          <w:sz w:val="26"/>
          <w:u w:val="none"/>
        </w:rPr>
        <w:t>percentage points less) in the</w:t>
      </w:r>
      <w:r w:rsidR="0006580E">
        <w:rPr>
          <w:rStyle w:val="DraftingNote"/>
          <w:b w:val="0"/>
          <w:color w:val="auto"/>
          <w:sz w:val="26"/>
          <w:u w:val="none"/>
        </w:rPr>
        <w:t xml:space="preserve"> unweighted</w:t>
      </w:r>
      <w:r w:rsidRPr="002B78A1">
        <w:rPr>
          <w:rStyle w:val="DraftingNote"/>
          <w:b w:val="0"/>
          <w:color w:val="auto"/>
          <w:sz w:val="26"/>
          <w:u w:val="none"/>
        </w:rPr>
        <w:t xml:space="preserve"> sub</w:t>
      </w:r>
      <w:r w:rsidRPr="002B78A1">
        <w:rPr>
          <w:rStyle w:val="DraftingNote"/>
          <w:b w:val="0"/>
          <w:color w:val="auto"/>
          <w:sz w:val="26"/>
          <w:u w:val="none"/>
        </w:rPr>
        <w:noBreakHyphen/>
        <w:t xml:space="preserve">sample compared to the </w:t>
      </w:r>
      <w:r w:rsidR="00C510AC">
        <w:rPr>
          <w:rStyle w:val="DraftingNote"/>
          <w:b w:val="0"/>
          <w:color w:val="auto"/>
          <w:sz w:val="26"/>
          <w:u w:val="none"/>
        </w:rPr>
        <w:t>ABS</w:t>
      </w:r>
      <w:r w:rsidR="0006580E">
        <w:rPr>
          <w:rStyle w:val="DraftingNote"/>
          <w:b w:val="0"/>
          <w:color w:val="auto"/>
          <w:sz w:val="26"/>
          <w:u w:val="none"/>
        </w:rPr>
        <w:t xml:space="preserve"> data. W</w:t>
      </w:r>
      <w:r w:rsidRPr="002B78A1">
        <w:rPr>
          <w:rStyle w:val="DraftingNote"/>
          <w:b w:val="0"/>
          <w:color w:val="auto"/>
          <w:sz w:val="26"/>
          <w:u w:val="none"/>
        </w:rPr>
        <w:t>eighting the sub</w:t>
      </w:r>
      <w:r w:rsidRPr="002B78A1">
        <w:rPr>
          <w:rStyle w:val="DraftingNote"/>
          <w:b w:val="0"/>
          <w:color w:val="auto"/>
          <w:sz w:val="26"/>
          <w:u w:val="none"/>
        </w:rPr>
        <w:noBreakHyphen/>
        <w:t xml:space="preserve">sample data brings it only part way towards </w:t>
      </w:r>
      <w:r w:rsidR="0006580E">
        <w:rPr>
          <w:rStyle w:val="DraftingNote"/>
          <w:b w:val="0"/>
          <w:color w:val="auto"/>
          <w:sz w:val="26"/>
          <w:u w:val="none"/>
        </w:rPr>
        <w:t xml:space="preserve">this </w:t>
      </w:r>
      <w:r w:rsidR="00B22FE3" w:rsidRPr="002B78A1">
        <w:rPr>
          <w:rStyle w:val="DraftingNote"/>
          <w:b w:val="0"/>
          <w:color w:val="auto"/>
          <w:sz w:val="26"/>
          <w:u w:val="none"/>
        </w:rPr>
        <w:t>benchmark</w:t>
      </w:r>
      <w:r w:rsidRPr="002B78A1">
        <w:rPr>
          <w:rStyle w:val="DraftingNote"/>
          <w:b w:val="0"/>
          <w:color w:val="auto"/>
          <w:sz w:val="26"/>
          <w:u w:val="none"/>
        </w:rPr>
        <w:t>.</w:t>
      </w:r>
    </w:p>
    <w:p w:rsidR="00114899" w:rsidRPr="002B78A1" w:rsidRDefault="00910C1E" w:rsidP="002B78A1">
      <w:pPr>
        <w:pStyle w:val="BodyText"/>
        <w:rPr>
          <w:rStyle w:val="DraftingNote"/>
          <w:b w:val="0"/>
          <w:color w:val="auto"/>
          <w:sz w:val="26"/>
          <w:u w:val="none"/>
        </w:rPr>
      </w:pPr>
      <w:r w:rsidRPr="002B78A1">
        <w:rPr>
          <w:rStyle w:val="DraftingNote"/>
          <w:b w:val="0"/>
          <w:color w:val="auto"/>
          <w:sz w:val="26"/>
          <w:u w:val="none"/>
        </w:rPr>
        <w:t xml:space="preserve">Relative to the ABS data, </w:t>
      </w:r>
      <w:r w:rsidR="00114899" w:rsidRPr="002B78A1">
        <w:rPr>
          <w:rStyle w:val="DraftingNote"/>
          <w:b w:val="0"/>
          <w:color w:val="auto"/>
          <w:sz w:val="26"/>
          <w:u w:val="none"/>
        </w:rPr>
        <w:t>the sub</w:t>
      </w:r>
      <w:r w:rsidR="00C6017F">
        <w:rPr>
          <w:rStyle w:val="DraftingNote"/>
          <w:b w:val="0"/>
          <w:color w:val="auto"/>
          <w:sz w:val="26"/>
          <w:u w:val="none"/>
        </w:rPr>
        <w:noBreakHyphen/>
      </w:r>
      <w:r w:rsidR="00114899" w:rsidRPr="002B78A1">
        <w:rPr>
          <w:rStyle w:val="DraftingNote"/>
          <w:b w:val="0"/>
          <w:color w:val="auto"/>
          <w:sz w:val="26"/>
          <w:u w:val="none"/>
        </w:rPr>
        <w:t xml:space="preserve">sample </w:t>
      </w:r>
      <w:r w:rsidR="00863D5D" w:rsidRPr="002B78A1">
        <w:rPr>
          <w:rStyle w:val="DraftingNote"/>
          <w:b w:val="0"/>
          <w:color w:val="auto"/>
          <w:sz w:val="26"/>
          <w:u w:val="none"/>
        </w:rPr>
        <w:t>indicates</w:t>
      </w:r>
      <w:r w:rsidR="00114899" w:rsidRPr="002B78A1">
        <w:rPr>
          <w:rStyle w:val="DraftingNote"/>
          <w:b w:val="0"/>
          <w:color w:val="auto"/>
          <w:sz w:val="26"/>
          <w:u w:val="none"/>
        </w:rPr>
        <w:t>:</w:t>
      </w:r>
    </w:p>
    <w:p w:rsidR="00114899" w:rsidRPr="002B78A1" w:rsidRDefault="00114899" w:rsidP="002B78A1">
      <w:pPr>
        <w:pStyle w:val="ListBullet"/>
        <w:rPr>
          <w:rStyle w:val="DraftingNote"/>
          <w:b w:val="0"/>
          <w:color w:val="auto"/>
          <w:sz w:val="26"/>
          <w:u w:val="none"/>
        </w:rPr>
      </w:pPr>
      <w:r w:rsidRPr="002B78A1">
        <w:rPr>
          <w:rStyle w:val="DraftingNote"/>
          <w:b w:val="0"/>
          <w:color w:val="auto"/>
          <w:sz w:val="26"/>
          <w:u w:val="none"/>
        </w:rPr>
        <w:t>lower unemployment and slightly higher participation rates</w:t>
      </w:r>
    </w:p>
    <w:p w:rsidR="00114899" w:rsidRPr="002B78A1" w:rsidRDefault="00114899" w:rsidP="002B78A1">
      <w:pPr>
        <w:pStyle w:val="ListBullet"/>
        <w:rPr>
          <w:rStyle w:val="DraftingNote"/>
          <w:b w:val="0"/>
          <w:color w:val="auto"/>
          <w:sz w:val="26"/>
          <w:u w:val="none"/>
        </w:rPr>
      </w:pPr>
      <w:r w:rsidRPr="002B78A1">
        <w:rPr>
          <w:rStyle w:val="DraftingNote"/>
          <w:b w:val="0"/>
          <w:color w:val="auto"/>
          <w:sz w:val="26"/>
          <w:u w:val="none"/>
        </w:rPr>
        <w:t>slightly larger employment to population ratio</w:t>
      </w:r>
    </w:p>
    <w:p w:rsidR="00114899" w:rsidRPr="002B78A1" w:rsidRDefault="00114899" w:rsidP="002B78A1">
      <w:pPr>
        <w:pStyle w:val="ListBullet"/>
        <w:rPr>
          <w:rStyle w:val="DraftingNote"/>
          <w:b w:val="0"/>
          <w:color w:val="auto"/>
          <w:sz w:val="26"/>
          <w:u w:val="none"/>
        </w:rPr>
      </w:pPr>
      <w:r w:rsidRPr="002B78A1">
        <w:rPr>
          <w:rStyle w:val="DraftingNote"/>
          <w:b w:val="0"/>
          <w:color w:val="auto"/>
          <w:sz w:val="26"/>
          <w:u w:val="none"/>
        </w:rPr>
        <w:t>shorter average unemployment duration</w:t>
      </w:r>
    </w:p>
    <w:p w:rsidR="00114899" w:rsidRPr="002B78A1" w:rsidRDefault="00114899" w:rsidP="002B78A1">
      <w:pPr>
        <w:pStyle w:val="ListBullet"/>
        <w:rPr>
          <w:rStyle w:val="DraftingNote"/>
          <w:b w:val="0"/>
          <w:color w:val="auto"/>
          <w:sz w:val="26"/>
          <w:u w:val="none"/>
        </w:rPr>
      </w:pPr>
      <w:r w:rsidRPr="002B78A1">
        <w:rPr>
          <w:rStyle w:val="DraftingNote"/>
          <w:b w:val="0"/>
          <w:color w:val="auto"/>
          <w:sz w:val="26"/>
          <w:u w:val="none"/>
        </w:rPr>
        <w:t>hi</w:t>
      </w:r>
      <w:r w:rsidR="00152C4D">
        <w:rPr>
          <w:rStyle w:val="DraftingNote"/>
          <w:b w:val="0"/>
          <w:color w:val="auto"/>
          <w:sz w:val="26"/>
          <w:u w:val="none"/>
        </w:rPr>
        <w:t>gher percentages of the working-</w:t>
      </w:r>
      <w:r w:rsidRPr="002B78A1">
        <w:rPr>
          <w:rStyle w:val="DraftingNote"/>
          <w:b w:val="0"/>
          <w:color w:val="auto"/>
          <w:sz w:val="26"/>
          <w:u w:val="none"/>
        </w:rPr>
        <w:t xml:space="preserve">age population who have been in their current job for </w:t>
      </w:r>
      <w:r w:rsidR="00595FA4">
        <w:rPr>
          <w:rStyle w:val="DraftingNote"/>
          <w:b w:val="0"/>
          <w:color w:val="auto"/>
          <w:sz w:val="26"/>
          <w:u w:val="none"/>
        </w:rPr>
        <w:t>five</w:t>
      </w:r>
      <w:r w:rsidRPr="002B78A1">
        <w:rPr>
          <w:rStyle w:val="DraftingNote"/>
          <w:b w:val="0"/>
          <w:color w:val="auto"/>
          <w:sz w:val="26"/>
          <w:u w:val="none"/>
        </w:rPr>
        <w:t xml:space="preserve"> years or more relative to individuals with shorter tenure. </w:t>
      </w:r>
    </w:p>
    <w:p w:rsidR="00114899" w:rsidRPr="002B78A1" w:rsidRDefault="00114899" w:rsidP="002B78A1">
      <w:pPr>
        <w:pStyle w:val="BodyText"/>
        <w:rPr>
          <w:rStyle w:val="DraftingNote"/>
          <w:b w:val="0"/>
          <w:color w:val="auto"/>
          <w:sz w:val="26"/>
          <w:u w:val="none"/>
        </w:rPr>
      </w:pPr>
      <w:r w:rsidRPr="002B78A1">
        <w:rPr>
          <w:rStyle w:val="DraftingNote"/>
          <w:b w:val="0"/>
          <w:color w:val="auto"/>
          <w:sz w:val="26"/>
          <w:u w:val="none"/>
        </w:rPr>
        <w:lastRenderedPageBreak/>
        <w:t xml:space="preserve">The employment to population ratios and the unemployment rates based on the </w:t>
      </w:r>
      <w:r w:rsidR="007419D8">
        <w:rPr>
          <w:rStyle w:val="DraftingNote"/>
          <w:b w:val="0"/>
          <w:color w:val="auto"/>
          <w:sz w:val="26"/>
          <w:u w:val="none"/>
        </w:rPr>
        <w:t xml:space="preserve">(unweighted) </w:t>
      </w:r>
      <w:r w:rsidRPr="002B78A1">
        <w:rPr>
          <w:rStyle w:val="DraftingNote"/>
          <w:b w:val="0"/>
          <w:color w:val="auto"/>
          <w:sz w:val="26"/>
          <w:u w:val="none"/>
        </w:rPr>
        <w:t>HILDA sample are very close to the ABS statistics. The difference between the sub</w:t>
      </w:r>
      <w:r w:rsidRPr="002B78A1">
        <w:rPr>
          <w:rStyle w:val="DraftingNote"/>
          <w:b w:val="0"/>
          <w:color w:val="auto"/>
          <w:sz w:val="26"/>
          <w:u w:val="none"/>
        </w:rPr>
        <w:noBreakHyphen/>
        <w:t xml:space="preserve">sample and the ABS statistics </w:t>
      </w:r>
      <w:r w:rsidR="009A7A2B" w:rsidRPr="002B78A1">
        <w:rPr>
          <w:rStyle w:val="DraftingNote"/>
          <w:b w:val="0"/>
          <w:color w:val="auto"/>
          <w:sz w:val="26"/>
          <w:u w:val="none"/>
        </w:rPr>
        <w:t>may</w:t>
      </w:r>
      <w:r w:rsidRPr="002B78A1">
        <w:rPr>
          <w:rStyle w:val="DraftingNote"/>
          <w:b w:val="0"/>
          <w:color w:val="auto"/>
          <w:sz w:val="26"/>
          <w:u w:val="none"/>
        </w:rPr>
        <w:t xml:space="preserve"> </w:t>
      </w:r>
      <w:r w:rsidR="00402BB8">
        <w:rPr>
          <w:rStyle w:val="DraftingNote"/>
          <w:b w:val="0"/>
          <w:color w:val="auto"/>
          <w:sz w:val="26"/>
          <w:u w:val="none"/>
        </w:rPr>
        <w:t xml:space="preserve">therefore </w:t>
      </w:r>
      <w:r w:rsidRPr="002B78A1">
        <w:rPr>
          <w:rStyle w:val="DraftingNote"/>
          <w:b w:val="0"/>
          <w:color w:val="auto"/>
          <w:sz w:val="26"/>
          <w:u w:val="none"/>
        </w:rPr>
        <w:t>be attribut</w:t>
      </w:r>
      <w:r w:rsidR="009A7A2B" w:rsidRPr="002B78A1">
        <w:rPr>
          <w:rStyle w:val="DraftingNote"/>
          <w:b w:val="0"/>
          <w:color w:val="auto"/>
          <w:sz w:val="26"/>
          <w:u w:val="none"/>
        </w:rPr>
        <w:t>able</w:t>
      </w:r>
      <w:r w:rsidRPr="002B78A1">
        <w:rPr>
          <w:rStyle w:val="DraftingNote"/>
          <w:b w:val="0"/>
          <w:color w:val="auto"/>
          <w:sz w:val="26"/>
          <w:u w:val="none"/>
        </w:rPr>
        <w:t xml:space="preserve"> to </w:t>
      </w:r>
      <w:r w:rsidR="007419D8">
        <w:rPr>
          <w:rStyle w:val="DraftingNote"/>
          <w:b w:val="0"/>
          <w:color w:val="auto"/>
          <w:sz w:val="26"/>
          <w:u w:val="none"/>
        </w:rPr>
        <w:t>the exclusion of youths who are lost from HILDA after wave 1</w:t>
      </w:r>
      <w:r w:rsidRPr="002B78A1">
        <w:rPr>
          <w:rStyle w:val="DraftingNote"/>
          <w:b w:val="0"/>
          <w:color w:val="auto"/>
          <w:sz w:val="26"/>
          <w:u w:val="none"/>
        </w:rPr>
        <w:t xml:space="preserve">. </w:t>
      </w:r>
    </w:p>
    <w:p w:rsidR="007419D8" w:rsidRDefault="0036160A" w:rsidP="002B78A1">
      <w:pPr>
        <w:pStyle w:val="BodyText"/>
        <w:rPr>
          <w:rStyle w:val="DraftingNote"/>
          <w:b w:val="0"/>
          <w:color w:val="auto"/>
          <w:sz w:val="26"/>
          <w:u w:val="none"/>
        </w:rPr>
      </w:pPr>
      <w:r w:rsidRPr="002B78A1">
        <w:rPr>
          <w:rStyle w:val="DraftingNote"/>
          <w:b w:val="0"/>
          <w:color w:val="auto"/>
          <w:sz w:val="26"/>
          <w:u w:val="none"/>
        </w:rPr>
        <w:t>Other aspects of</w:t>
      </w:r>
      <w:r w:rsidR="00114899" w:rsidRPr="002B78A1">
        <w:rPr>
          <w:rStyle w:val="DraftingNote"/>
          <w:b w:val="0"/>
          <w:color w:val="auto"/>
          <w:sz w:val="26"/>
          <w:u w:val="none"/>
        </w:rPr>
        <w:t xml:space="preserve"> the HILDA sample do not reflect the ABS statistics as closely</w:t>
      </w:r>
      <w:r w:rsidR="009A7A2B" w:rsidRPr="002B78A1">
        <w:rPr>
          <w:rStyle w:val="DraftingNote"/>
          <w:b w:val="0"/>
          <w:color w:val="auto"/>
          <w:sz w:val="26"/>
          <w:u w:val="none"/>
        </w:rPr>
        <w:t>.</w:t>
      </w:r>
      <w:r w:rsidRPr="002B78A1">
        <w:rPr>
          <w:rStyle w:val="DraftingNote"/>
          <w:b w:val="0"/>
          <w:color w:val="auto"/>
          <w:sz w:val="26"/>
          <w:u w:val="none"/>
        </w:rPr>
        <w:t xml:space="preserve"> </w:t>
      </w:r>
      <w:r w:rsidR="009A7A2B" w:rsidRPr="002B78A1">
        <w:rPr>
          <w:rStyle w:val="DraftingNote"/>
          <w:b w:val="0"/>
          <w:color w:val="auto"/>
          <w:sz w:val="26"/>
          <w:u w:val="none"/>
        </w:rPr>
        <w:t>T</w:t>
      </w:r>
      <w:r w:rsidR="00114899" w:rsidRPr="002B78A1">
        <w:rPr>
          <w:rStyle w:val="DraftingNote"/>
          <w:b w:val="0"/>
          <w:color w:val="auto"/>
          <w:sz w:val="26"/>
          <w:u w:val="none"/>
        </w:rPr>
        <w:t xml:space="preserve">he selection </w:t>
      </w:r>
      <w:r w:rsidR="007419D8">
        <w:rPr>
          <w:rStyle w:val="DraftingNote"/>
          <w:b w:val="0"/>
          <w:color w:val="auto"/>
          <w:sz w:val="26"/>
          <w:u w:val="none"/>
        </w:rPr>
        <w:t>of individuals in the original HILDA sample has some flow</w:t>
      </w:r>
      <w:r w:rsidR="007419D8">
        <w:rPr>
          <w:rStyle w:val="DraftingNote"/>
          <w:b w:val="0"/>
          <w:color w:val="auto"/>
          <w:sz w:val="26"/>
          <w:u w:val="none"/>
        </w:rPr>
        <w:noBreakHyphen/>
        <w:t>on effects for the sub</w:t>
      </w:r>
      <w:r w:rsidR="007419D8">
        <w:rPr>
          <w:rStyle w:val="DraftingNote"/>
          <w:b w:val="0"/>
          <w:color w:val="auto"/>
          <w:sz w:val="26"/>
          <w:u w:val="none"/>
        </w:rPr>
        <w:noBreakHyphen/>
        <w:t xml:space="preserve">sample. </w:t>
      </w:r>
      <w:r w:rsidR="00114899" w:rsidRPr="002B78A1">
        <w:rPr>
          <w:rStyle w:val="DraftingNote"/>
          <w:b w:val="0"/>
          <w:color w:val="auto"/>
          <w:sz w:val="26"/>
          <w:u w:val="none"/>
        </w:rPr>
        <w:t xml:space="preserve">The average duration of unemployment is </w:t>
      </w:r>
      <w:r w:rsidR="00402BB8">
        <w:rPr>
          <w:rStyle w:val="DraftingNote"/>
          <w:b w:val="0"/>
          <w:color w:val="auto"/>
          <w:sz w:val="26"/>
          <w:u w:val="none"/>
        </w:rPr>
        <w:t>shorter</w:t>
      </w:r>
      <w:r w:rsidR="00114899" w:rsidRPr="002B78A1">
        <w:rPr>
          <w:rStyle w:val="DraftingNote"/>
          <w:b w:val="0"/>
          <w:color w:val="auto"/>
          <w:sz w:val="26"/>
          <w:u w:val="none"/>
        </w:rPr>
        <w:t xml:space="preserve"> in HILDA and </w:t>
      </w:r>
      <w:r w:rsidRPr="002B78A1">
        <w:rPr>
          <w:rStyle w:val="DraftingNote"/>
          <w:b w:val="0"/>
          <w:color w:val="auto"/>
          <w:sz w:val="26"/>
          <w:u w:val="none"/>
        </w:rPr>
        <w:t xml:space="preserve">the </w:t>
      </w:r>
      <w:r w:rsidR="00114899" w:rsidRPr="002B78A1">
        <w:rPr>
          <w:rStyle w:val="DraftingNote"/>
          <w:b w:val="0"/>
          <w:color w:val="auto"/>
          <w:sz w:val="26"/>
          <w:u w:val="none"/>
        </w:rPr>
        <w:t>sub</w:t>
      </w:r>
      <w:r w:rsidR="00114899" w:rsidRPr="002B78A1">
        <w:rPr>
          <w:rStyle w:val="DraftingNote"/>
          <w:b w:val="0"/>
          <w:color w:val="auto"/>
          <w:sz w:val="26"/>
          <w:u w:val="none"/>
        </w:rPr>
        <w:noBreakHyphen/>
        <w:t xml:space="preserve">sample than the </w:t>
      </w:r>
      <w:r w:rsidR="007419D8">
        <w:rPr>
          <w:rStyle w:val="DraftingNote"/>
          <w:b w:val="0"/>
          <w:color w:val="auto"/>
          <w:sz w:val="26"/>
          <w:u w:val="none"/>
        </w:rPr>
        <w:t>AB</w:t>
      </w:r>
      <w:r w:rsidR="00114899" w:rsidRPr="002B78A1">
        <w:rPr>
          <w:rStyle w:val="DraftingNote"/>
          <w:b w:val="0"/>
          <w:color w:val="auto"/>
          <w:sz w:val="26"/>
          <w:u w:val="none"/>
        </w:rPr>
        <w:t>S</w:t>
      </w:r>
      <w:r w:rsidR="007419D8">
        <w:rPr>
          <w:rStyle w:val="DraftingNote"/>
          <w:b w:val="0"/>
          <w:color w:val="auto"/>
          <w:sz w:val="26"/>
          <w:u w:val="none"/>
        </w:rPr>
        <w:t xml:space="preserve"> statistics</w:t>
      </w:r>
      <w:r w:rsidR="00616EFF">
        <w:rPr>
          <w:rStyle w:val="DraftingNote"/>
          <w:b w:val="0"/>
          <w:color w:val="auto"/>
          <w:sz w:val="26"/>
          <w:u w:val="none"/>
        </w:rPr>
        <w:t xml:space="preserve"> indicate</w:t>
      </w:r>
      <w:r w:rsidR="007419D8">
        <w:rPr>
          <w:rStyle w:val="DraftingNote"/>
          <w:b w:val="0"/>
          <w:color w:val="auto"/>
          <w:sz w:val="26"/>
          <w:u w:val="none"/>
        </w:rPr>
        <w:t>. T</w:t>
      </w:r>
      <w:r w:rsidR="00D32510">
        <w:rPr>
          <w:rStyle w:val="DraftingNote"/>
          <w:b w:val="0"/>
          <w:color w:val="auto"/>
          <w:sz w:val="26"/>
          <w:u w:val="none"/>
        </w:rPr>
        <w:t xml:space="preserve">his divergence </w:t>
      </w:r>
      <w:r w:rsidR="00511485">
        <w:rPr>
          <w:rStyle w:val="DraftingNote"/>
          <w:b w:val="0"/>
          <w:color w:val="auto"/>
          <w:sz w:val="26"/>
          <w:u w:val="none"/>
        </w:rPr>
        <w:t>may</w:t>
      </w:r>
      <w:r w:rsidR="007419D8">
        <w:rPr>
          <w:rStyle w:val="DraftingNote"/>
          <w:b w:val="0"/>
          <w:color w:val="auto"/>
          <w:sz w:val="26"/>
          <w:u w:val="none"/>
        </w:rPr>
        <w:t xml:space="preserve"> be a result of the selection of the HILDA sample, leading to fewer people with longer unemployment durations in the samples</w:t>
      </w:r>
      <w:r w:rsidR="00264D14">
        <w:rPr>
          <w:rStyle w:val="DraftingNote"/>
          <w:b w:val="0"/>
          <w:color w:val="auto"/>
          <w:sz w:val="26"/>
          <w:u w:val="none"/>
        </w:rPr>
        <w:t>.</w:t>
      </w:r>
      <w:r w:rsidR="00264D14">
        <w:rPr>
          <w:rStyle w:val="FootnoteReference"/>
        </w:rPr>
        <w:footnoteReference w:id="14"/>
      </w:r>
      <w:r w:rsidR="00511485">
        <w:rPr>
          <w:rStyle w:val="DraftingNote"/>
          <w:b w:val="0"/>
          <w:color w:val="auto"/>
          <w:sz w:val="26"/>
          <w:u w:val="none"/>
        </w:rPr>
        <w:t xml:space="preserve"> </w:t>
      </w:r>
      <w:r w:rsidR="007419D8">
        <w:rPr>
          <w:rStyle w:val="DraftingNote"/>
          <w:b w:val="0"/>
          <w:color w:val="auto"/>
          <w:sz w:val="26"/>
          <w:u w:val="none"/>
        </w:rPr>
        <w:t>Among the employed, tenure in current job appears lon</w:t>
      </w:r>
      <w:r w:rsidR="007A2F6F">
        <w:rPr>
          <w:rStyle w:val="DraftingNote"/>
          <w:b w:val="0"/>
          <w:color w:val="auto"/>
          <w:sz w:val="26"/>
          <w:u w:val="none"/>
        </w:rPr>
        <w:t>ger in the HILDA sample and sub</w:t>
      </w:r>
      <w:r w:rsidR="007A2F6F">
        <w:rPr>
          <w:rStyle w:val="DraftingNote"/>
          <w:b w:val="0"/>
          <w:color w:val="auto"/>
          <w:sz w:val="26"/>
          <w:u w:val="none"/>
        </w:rPr>
        <w:noBreakHyphen/>
        <w:t xml:space="preserve">sample than the ABS </w:t>
      </w:r>
      <w:r w:rsidR="000C1A1A">
        <w:rPr>
          <w:rStyle w:val="DraftingNote"/>
          <w:b w:val="0"/>
          <w:color w:val="auto"/>
          <w:sz w:val="26"/>
          <w:u w:val="none"/>
        </w:rPr>
        <w:t xml:space="preserve">data </w:t>
      </w:r>
      <w:r w:rsidR="00511485">
        <w:rPr>
          <w:rStyle w:val="DraftingNote"/>
          <w:b w:val="0"/>
          <w:color w:val="auto"/>
          <w:sz w:val="26"/>
          <w:u w:val="none"/>
        </w:rPr>
        <w:t xml:space="preserve">— </w:t>
      </w:r>
      <w:r w:rsidR="007A2F6F">
        <w:rPr>
          <w:rStyle w:val="DraftingNote"/>
          <w:b w:val="0"/>
          <w:color w:val="auto"/>
          <w:sz w:val="26"/>
          <w:u w:val="none"/>
        </w:rPr>
        <w:t xml:space="preserve">there is a higher proportion of individuals who have spent five years or longer in their current job. This is likely due to sample selection in HILDA, and weighting the figures </w:t>
      </w:r>
      <w:r w:rsidR="000C1A1A">
        <w:rPr>
          <w:rStyle w:val="DraftingNote"/>
          <w:b w:val="0"/>
          <w:color w:val="auto"/>
          <w:sz w:val="26"/>
          <w:u w:val="none"/>
        </w:rPr>
        <w:t xml:space="preserve">(not shown) </w:t>
      </w:r>
      <w:r w:rsidR="007A2F6F">
        <w:rPr>
          <w:rStyle w:val="DraftingNote"/>
          <w:b w:val="0"/>
          <w:color w:val="auto"/>
          <w:sz w:val="26"/>
          <w:u w:val="none"/>
        </w:rPr>
        <w:t>does not bring the sub</w:t>
      </w:r>
      <w:r w:rsidR="007A2F6F">
        <w:rPr>
          <w:rStyle w:val="DraftingNote"/>
          <w:b w:val="0"/>
          <w:color w:val="auto"/>
          <w:sz w:val="26"/>
          <w:u w:val="none"/>
        </w:rPr>
        <w:noBreakHyphen/>
        <w:t>sample result much closer to the ABS statistics.</w:t>
      </w:r>
    </w:p>
    <w:p w:rsidR="00F470DC" w:rsidRPr="002B78A1" w:rsidRDefault="00736C23" w:rsidP="002B78A1">
      <w:pPr>
        <w:pStyle w:val="BodyText"/>
        <w:rPr>
          <w:rStyle w:val="DraftingNote"/>
          <w:b w:val="0"/>
          <w:color w:val="auto"/>
          <w:sz w:val="26"/>
          <w:u w:val="none"/>
        </w:rPr>
      </w:pPr>
      <w:r w:rsidRPr="002B78A1">
        <w:rPr>
          <w:rStyle w:val="DraftingNote"/>
          <w:b w:val="0"/>
          <w:color w:val="auto"/>
          <w:sz w:val="26"/>
          <w:u w:val="none"/>
        </w:rPr>
        <w:t>Watson and Wooden (200</w:t>
      </w:r>
      <w:r w:rsidR="00616EFF">
        <w:rPr>
          <w:rStyle w:val="DraftingNote"/>
          <w:b w:val="0"/>
          <w:color w:val="auto"/>
          <w:sz w:val="26"/>
          <w:u w:val="none"/>
        </w:rPr>
        <w:t>2</w:t>
      </w:r>
      <w:r w:rsidRPr="002B78A1">
        <w:rPr>
          <w:rStyle w:val="DraftingNote"/>
          <w:b w:val="0"/>
          <w:color w:val="auto"/>
          <w:sz w:val="26"/>
          <w:u w:val="none"/>
        </w:rPr>
        <w:t xml:space="preserve">, p. 24) </w:t>
      </w:r>
      <w:r w:rsidR="00C029BA">
        <w:rPr>
          <w:rStyle w:val="DraftingNote"/>
          <w:b w:val="0"/>
          <w:color w:val="auto"/>
          <w:sz w:val="26"/>
          <w:u w:val="none"/>
        </w:rPr>
        <w:t xml:space="preserve">also </w:t>
      </w:r>
      <w:r w:rsidRPr="002B78A1">
        <w:rPr>
          <w:rStyle w:val="DraftingNote"/>
          <w:b w:val="0"/>
          <w:color w:val="auto"/>
          <w:sz w:val="26"/>
          <w:u w:val="none"/>
        </w:rPr>
        <w:t>found average unemployment duration in the wave 1 HILDA sample to be below the ABS benchmark, but found other estimates</w:t>
      </w:r>
      <w:r w:rsidR="00E13AAE">
        <w:rPr>
          <w:rStyle w:val="DraftingNote"/>
          <w:b w:val="0"/>
          <w:color w:val="auto"/>
          <w:sz w:val="26"/>
          <w:u w:val="none"/>
        </w:rPr>
        <w:t xml:space="preserve"> (including job tenure)</w:t>
      </w:r>
      <w:r w:rsidRPr="002B78A1">
        <w:rPr>
          <w:rStyle w:val="DraftingNote"/>
          <w:b w:val="0"/>
          <w:color w:val="auto"/>
          <w:sz w:val="26"/>
          <w:u w:val="none"/>
        </w:rPr>
        <w:t xml:space="preserve"> generally did </w:t>
      </w:r>
      <w:r w:rsidR="00C02FE6" w:rsidRPr="002B78A1">
        <w:rPr>
          <w:rStyle w:val="DraftingNote"/>
          <w:b w:val="0"/>
          <w:color w:val="auto"/>
          <w:sz w:val="26"/>
          <w:u w:val="none"/>
        </w:rPr>
        <w:t xml:space="preserve">meet </w:t>
      </w:r>
      <w:r w:rsidRPr="002B78A1">
        <w:rPr>
          <w:rStyle w:val="DraftingNote"/>
          <w:b w:val="0"/>
          <w:color w:val="auto"/>
          <w:sz w:val="26"/>
          <w:u w:val="none"/>
        </w:rPr>
        <w:t xml:space="preserve">their respective benchmarks: </w:t>
      </w:r>
    </w:p>
    <w:p w:rsidR="00F470DC" w:rsidRPr="002B78A1" w:rsidRDefault="00F470DC" w:rsidP="002B78A1">
      <w:pPr>
        <w:pStyle w:val="Quote"/>
        <w:rPr>
          <w:rStyle w:val="DraftingNote"/>
          <w:b w:val="0"/>
          <w:color w:val="auto"/>
          <w:u w:val="none"/>
        </w:rPr>
      </w:pPr>
      <w:r w:rsidRPr="002B78A1">
        <w:rPr>
          <w:rStyle w:val="DraftingNote"/>
          <w:b w:val="0"/>
          <w:color w:val="auto"/>
          <w:u w:val="none"/>
        </w:rPr>
        <w:t xml:space="preserve">For the most part … the HILDA </w:t>
      </w:r>
      <w:r w:rsidR="00054727">
        <w:rPr>
          <w:rStyle w:val="DraftingNote"/>
          <w:b w:val="0"/>
          <w:color w:val="auto"/>
          <w:u w:val="none"/>
        </w:rPr>
        <w:t>S</w:t>
      </w:r>
      <w:r w:rsidRPr="002B78A1">
        <w:rPr>
          <w:rStyle w:val="DraftingNote"/>
          <w:b w:val="0"/>
          <w:color w:val="auto"/>
          <w:u w:val="none"/>
        </w:rPr>
        <w:t>urvey data are generating estimates in line with ABS sources</w:t>
      </w:r>
      <w:r w:rsidR="00CF6C75">
        <w:rPr>
          <w:rStyle w:val="DraftingNote"/>
          <w:b w:val="0"/>
          <w:color w:val="auto"/>
          <w:u w:val="none"/>
        </w:rPr>
        <w:t xml:space="preserve"> </w:t>
      </w:r>
      <w:r w:rsidRPr="002B78A1">
        <w:rPr>
          <w:rStyle w:val="DraftingNote"/>
          <w:b w:val="0"/>
          <w:color w:val="auto"/>
          <w:u w:val="none"/>
        </w:rPr>
        <w:t xml:space="preserve">… estimates of key labour market indicators, such as the </w:t>
      </w:r>
      <w:r w:rsidR="00CF6C75">
        <w:rPr>
          <w:rStyle w:val="DraftingNote"/>
          <w:b w:val="0"/>
          <w:color w:val="auto"/>
          <w:u w:val="none"/>
        </w:rPr>
        <w:br/>
      </w:r>
      <w:r w:rsidRPr="002B78A1">
        <w:rPr>
          <w:rStyle w:val="DraftingNote"/>
          <w:b w:val="0"/>
          <w:color w:val="auto"/>
          <w:u w:val="none"/>
        </w:rPr>
        <w:t>employment</w:t>
      </w:r>
      <w:r w:rsidR="00124B55" w:rsidRPr="002B78A1">
        <w:rPr>
          <w:rStyle w:val="DraftingNote"/>
          <w:b w:val="0"/>
          <w:color w:val="auto"/>
          <w:u w:val="none"/>
        </w:rPr>
        <w:t>–</w:t>
      </w:r>
      <w:r w:rsidRPr="002B78A1">
        <w:rPr>
          <w:rStyle w:val="DraftingNote"/>
          <w:b w:val="0"/>
          <w:color w:val="auto"/>
          <w:u w:val="none"/>
        </w:rPr>
        <w:t xml:space="preserve">population ratio and the unemployment rate, derived from the HILDA Survey data are quite close to ABS estimates from October 2001. Perhaps the most noticeable difference concerns unemployment duration … </w:t>
      </w:r>
    </w:p>
    <w:p w:rsidR="000C1A1A" w:rsidRDefault="00736C23" w:rsidP="002B78A1">
      <w:pPr>
        <w:pStyle w:val="BodyText"/>
        <w:rPr>
          <w:rStyle w:val="DraftingNote"/>
          <w:b w:val="0"/>
          <w:color w:val="auto"/>
          <w:sz w:val="26"/>
          <w:u w:val="none"/>
        </w:rPr>
      </w:pPr>
      <w:r w:rsidRPr="002B78A1">
        <w:rPr>
          <w:rStyle w:val="DraftingNote"/>
          <w:b w:val="0"/>
          <w:color w:val="auto"/>
          <w:sz w:val="26"/>
          <w:u w:val="none"/>
        </w:rPr>
        <w:t xml:space="preserve">With regard to the </w:t>
      </w:r>
      <w:r w:rsidR="00C02FE6" w:rsidRPr="002B78A1">
        <w:rPr>
          <w:rStyle w:val="DraftingNote"/>
          <w:b w:val="0"/>
          <w:color w:val="auto"/>
          <w:sz w:val="26"/>
          <w:u w:val="none"/>
        </w:rPr>
        <w:t xml:space="preserve">HILDA </w:t>
      </w:r>
      <w:r w:rsidRPr="002B78A1">
        <w:rPr>
          <w:rStyle w:val="DraftingNote"/>
          <w:b w:val="0"/>
          <w:color w:val="auto"/>
          <w:sz w:val="26"/>
          <w:u w:val="none"/>
        </w:rPr>
        <w:t>sub</w:t>
      </w:r>
      <w:r w:rsidRPr="002B78A1">
        <w:rPr>
          <w:rStyle w:val="DraftingNote"/>
          <w:b w:val="0"/>
          <w:color w:val="auto"/>
          <w:sz w:val="26"/>
          <w:u w:val="none"/>
        </w:rPr>
        <w:noBreakHyphen/>
        <w:t xml:space="preserve">sample </w:t>
      </w:r>
      <w:r w:rsidR="00C02FE6" w:rsidRPr="002B78A1">
        <w:rPr>
          <w:rStyle w:val="DraftingNote"/>
          <w:b w:val="0"/>
          <w:color w:val="auto"/>
          <w:sz w:val="26"/>
          <w:u w:val="none"/>
        </w:rPr>
        <w:t>used in this analysis</w:t>
      </w:r>
      <w:r w:rsidRPr="002B78A1">
        <w:rPr>
          <w:rStyle w:val="DraftingNote"/>
          <w:b w:val="0"/>
          <w:color w:val="auto"/>
          <w:sz w:val="26"/>
          <w:u w:val="none"/>
        </w:rPr>
        <w:t xml:space="preserve">, some of the statistics are fairly close to the ABS </w:t>
      </w:r>
      <w:r w:rsidR="00C02FE6" w:rsidRPr="002B78A1">
        <w:rPr>
          <w:rStyle w:val="DraftingNote"/>
          <w:b w:val="0"/>
          <w:color w:val="auto"/>
          <w:sz w:val="26"/>
          <w:u w:val="none"/>
        </w:rPr>
        <w:t>benchmarks, but there are other</w:t>
      </w:r>
      <w:r w:rsidRPr="002B78A1">
        <w:rPr>
          <w:rStyle w:val="DraftingNote"/>
          <w:b w:val="0"/>
          <w:color w:val="auto"/>
          <w:sz w:val="26"/>
          <w:u w:val="none"/>
        </w:rPr>
        <w:t xml:space="preserve">s that are not close. As with the full HILDA </w:t>
      </w:r>
      <w:r w:rsidR="00C02FE6" w:rsidRPr="002B78A1">
        <w:rPr>
          <w:rStyle w:val="DraftingNote"/>
          <w:b w:val="0"/>
          <w:color w:val="auto"/>
          <w:sz w:val="26"/>
          <w:u w:val="none"/>
        </w:rPr>
        <w:t xml:space="preserve">wave 1 </w:t>
      </w:r>
      <w:r w:rsidRPr="002B78A1">
        <w:rPr>
          <w:rStyle w:val="DraftingNote"/>
          <w:b w:val="0"/>
          <w:color w:val="auto"/>
          <w:sz w:val="26"/>
          <w:u w:val="none"/>
        </w:rPr>
        <w:t xml:space="preserve">sample, the biggest difference between the two sets of statistics is for unemployment duration. </w:t>
      </w:r>
      <w:r w:rsidR="00C02FE6" w:rsidRPr="002B78A1">
        <w:rPr>
          <w:rStyle w:val="DraftingNote"/>
          <w:b w:val="0"/>
          <w:color w:val="auto"/>
          <w:sz w:val="26"/>
          <w:u w:val="none"/>
        </w:rPr>
        <w:t>Spells of unemployment should be longer than they appear to be in the HILDA sub</w:t>
      </w:r>
      <w:r w:rsidR="00C02FE6" w:rsidRPr="002B78A1">
        <w:rPr>
          <w:rStyle w:val="DraftingNote"/>
          <w:b w:val="0"/>
          <w:color w:val="auto"/>
          <w:sz w:val="26"/>
          <w:u w:val="none"/>
        </w:rPr>
        <w:noBreakHyphen/>
        <w:t xml:space="preserve">sample data. </w:t>
      </w:r>
    </w:p>
    <w:p w:rsidR="00736C23" w:rsidRPr="002B78A1" w:rsidRDefault="00C02FE6" w:rsidP="002B78A1">
      <w:pPr>
        <w:pStyle w:val="BodyText"/>
        <w:rPr>
          <w:rStyle w:val="DraftingNote"/>
          <w:b w:val="0"/>
          <w:color w:val="auto"/>
          <w:sz w:val="26"/>
          <w:u w:val="none"/>
        </w:rPr>
      </w:pPr>
      <w:r w:rsidRPr="002B78A1">
        <w:rPr>
          <w:rStyle w:val="DraftingNote"/>
          <w:b w:val="0"/>
          <w:color w:val="auto"/>
          <w:sz w:val="26"/>
          <w:u w:val="none"/>
        </w:rPr>
        <w:t xml:space="preserve">The result of the benchmarking exercise </w:t>
      </w:r>
      <w:r w:rsidR="00736C23" w:rsidRPr="002B78A1">
        <w:rPr>
          <w:rStyle w:val="DraftingNote"/>
          <w:b w:val="0"/>
          <w:color w:val="auto"/>
          <w:sz w:val="26"/>
          <w:u w:val="none"/>
        </w:rPr>
        <w:t xml:space="preserve">indicates that sample selection and attrition may bias the results of this analysis. </w:t>
      </w:r>
    </w:p>
    <w:p w:rsidR="00114899" w:rsidRPr="002B78A1" w:rsidRDefault="00114899" w:rsidP="002B78A1">
      <w:pPr>
        <w:pStyle w:val="BodyText"/>
      </w:pPr>
      <w:r w:rsidRPr="002B78A1">
        <w:rPr>
          <w:rStyle w:val="DraftingNote"/>
          <w:b w:val="0"/>
          <w:color w:val="auto"/>
          <w:sz w:val="26"/>
          <w:u w:val="none"/>
        </w:rPr>
        <w:t>The benchmarking also confirms that the weights would not re</w:t>
      </w:r>
      <w:r w:rsidR="00AA0B75">
        <w:rPr>
          <w:rStyle w:val="DraftingNote"/>
          <w:b w:val="0"/>
          <w:color w:val="auto"/>
          <w:sz w:val="26"/>
          <w:u w:val="none"/>
        </w:rPr>
        <w:t>-</w:t>
      </w:r>
      <w:r w:rsidRPr="002B78A1">
        <w:rPr>
          <w:rStyle w:val="DraftingNote"/>
          <w:b w:val="0"/>
          <w:color w:val="auto"/>
          <w:sz w:val="26"/>
          <w:u w:val="none"/>
        </w:rPr>
        <w:t>align the sub</w:t>
      </w:r>
      <w:r w:rsidRPr="002B78A1">
        <w:rPr>
          <w:rStyle w:val="DraftingNote"/>
          <w:b w:val="0"/>
          <w:color w:val="auto"/>
          <w:sz w:val="26"/>
          <w:u w:val="none"/>
        </w:rPr>
        <w:noBreakHyphen/>
        <w:t xml:space="preserve">sample to the initial HILDA sample. (In the case of average unemployment duration, the weighted average is actually further away from the ABS average than the unweighted average is.) Not weighting the results is consistent with the approach taken by </w:t>
      </w:r>
      <w:r w:rsidR="00983155" w:rsidRPr="002B78A1">
        <w:rPr>
          <w:rStyle w:val="DraftingNote"/>
          <w:b w:val="0"/>
          <w:color w:val="auto"/>
          <w:sz w:val="26"/>
          <w:u w:val="none"/>
        </w:rPr>
        <w:t xml:space="preserve">many studies in this area including </w:t>
      </w:r>
      <w:r w:rsidRPr="002B78A1">
        <w:rPr>
          <w:rStyle w:val="DraftingNote"/>
          <w:b w:val="0"/>
          <w:color w:val="auto"/>
          <w:sz w:val="26"/>
          <w:u w:val="none"/>
        </w:rPr>
        <w:t>Yu et al. (2012</w:t>
      </w:r>
      <w:r w:rsidR="00983155" w:rsidRPr="002B78A1">
        <w:rPr>
          <w:rStyle w:val="DraftingNote"/>
          <w:b w:val="0"/>
          <w:color w:val="auto"/>
          <w:sz w:val="26"/>
          <w:u w:val="none"/>
        </w:rPr>
        <w:t>, p. 14</w:t>
      </w:r>
      <w:r w:rsidRPr="002B78A1">
        <w:rPr>
          <w:rStyle w:val="DraftingNote"/>
          <w:b w:val="0"/>
          <w:color w:val="auto"/>
          <w:sz w:val="26"/>
          <w:u w:val="none"/>
        </w:rPr>
        <w:t>)</w:t>
      </w:r>
      <w:r w:rsidR="0036160A" w:rsidRPr="002B78A1">
        <w:rPr>
          <w:rStyle w:val="DraftingNote"/>
          <w:b w:val="0"/>
          <w:color w:val="auto"/>
          <w:sz w:val="26"/>
          <w:u w:val="none"/>
        </w:rPr>
        <w:t xml:space="preserve">, who argue </w:t>
      </w:r>
      <w:r w:rsidRPr="002B78A1">
        <w:rPr>
          <w:rStyle w:val="DraftingNote"/>
          <w:b w:val="0"/>
          <w:color w:val="auto"/>
          <w:sz w:val="26"/>
          <w:u w:val="none"/>
        </w:rPr>
        <w:t xml:space="preserve">that </w:t>
      </w:r>
      <w:r w:rsidR="0028572A">
        <w:rPr>
          <w:rStyle w:val="DraftingNote"/>
          <w:b w:val="0"/>
          <w:color w:val="auto"/>
          <w:sz w:val="26"/>
          <w:u w:val="none"/>
        </w:rPr>
        <w:lastRenderedPageBreak/>
        <w:t xml:space="preserve">using unweighted data where there is potential for biased results </w:t>
      </w:r>
      <w:r w:rsidR="002D4183">
        <w:rPr>
          <w:rStyle w:val="DraftingNote"/>
          <w:b w:val="0"/>
          <w:color w:val="auto"/>
          <w:sz w:val="26"/>
          <w:u w:val="none"/>
        </w:rPr>
        <w:t>is only an issue</w:t>
      </w:r>
      <w:r w:rsidR="000C6240" w:rsidRPr="002B78A1">
        <w:rPr>
          <w:rStyle w:val="DraftingNote"/>
          <w:b w:val="0"/>
          <w:color w:val="auto"/>
          <w:sz w:val="26"/>
          <w:u w:val="none"/>
        </w:rPr>
        <w:t xml:space="preserve"> </w:t>
      </w:r>
      <w:r w:rsidRPr="002B78A1">
        <w:rPr>
          <w:rStyle w:val="DraftingNote"/>
          <w:b w:val="0"/>
          <w:color w:val="auto"/>
          <w:sz w:val="26"/>
          <w:u w:val="none"/>
        </w:rPr>
        <w:t>‘</w:t>
      </w:r>
      <w:r w:rsidRPr="00985B83">
        <w:rPr>
          <w:rStyle w:val="DraftingNote"/>
          <w:b w:val="0"/>
          <w:i/>
          <w:color w:val="auto"/>
          <w:sz w:val="26"/>
          <w:u w:val="none"/>
        </w:rPr>
        <w:t>if</w:t>
      </w:r>
      <w:r w:rsidRPr="002B78A1">
        <w:rPr>
          <w:rStyle w:val="DraftingNote"/>
          <w:b w:val="0"/>
          <w:color w:val="auto"/>
          <w:sz w:val="26"/>
          <w:u w:val="none"/>
        </w:rPr>
        <w:t xml:space="preserve"> we seek to generalise our analysis to those of a representative population</w:t>
      </w:r>
      <w:r w:rsidR="00C6017F" w:rsidRPr="002B78A1">
        <w:t>’</w:t>
      </w:r>
      <w:r w:rsidR="00983155" w:rsidRPr="002B78A1">
        <w:rPr>
          <w:rStyle w:val="DraftingNote"/>
          <w:b w:val="0"/>
          <w:color w:val="auto"/>
          <w:sz w:val="26"/>
          <w:u w:val="none"/>
        </w:rPr>
        <w:t>.</w:t>
      </w:r>
      <w:r w:rsidRPr="002B78A1">
        <w:t xml:space="preserve"> </w:t>
      </w:r>
    </w:p>
    <w:p w:rsidR="00114899" w:rsidRDefault="00114899" w:rsidP="00114899">
      <w:pPr>
        <w:pStyle w:val="Heading3"/>
      </w:pPr>
      <w:r>
        <w:t>Recall bias</w:t>
      </w:r>
    </w:p>
    <w:p w:rsidR="00114899" w:rsidRPr="00E36076" w:rsidRDefault="00114899" w:rsidP="00E36076">
      <w:pPr>
        <w:pStyle w:val="BodyText"/>
      </w:pPr>
      <w:r w:rsidRPr="00E36076">
        <w:rPr>
          <w:lang w:eastAsia="en-US"/>
        </w:rPr>
        <w:t>As explained in section</w:t>
      </w:r>
      <w:r w:rsidR="007978A1" w:rsidRPr="00E36076">
        <w:rPr>
          <w:lang w:eastAsia="en-US"/>
        </w:rPr>
        <w:t> </w:t>
      </w:r>
      <w:proofErr w:type="spellStart"/>
      <w:r w:rsidR="00805798" w:rsidRPr="00E36076">
        <w:rPr>
          <w:lang w:eastAsia="en-US"/>
        </w:rPr>
        <w:t>A.1</w:t>
      </w:r>
      <w:proofErr w:type="spellEnd"/>
      <w:r w:rsidRPr="00E36076">
        <w:t xml:space="preserve">, when individuals are surveyed, they are asked to recall their labour market status and enrolment in education during the previous </w:t>
      </w:r>
      <w:r w:rsidR="00CF6C75">
        <w:br/>
      </w:r>
      <w:r w:rsidRPr="00E36076">
        <w:t xml:space="preserve">14–18 months. </w:t>
      </w:r>
      <w:r w:rsidR="009A7A2B" w:rsidRPr="00E36076">
        <w:t>T</w:t>
      </w:r>
      <w:r w:rsidRPr="00E36076">
        <w:t xml:space="preserve">he further back someone is asked to recall, the less accurate their memory </w:t>
      </w:r>
      <w:r w:rsidR="009A7A2B" w:rsidRPr="00E36076">
        <w:t>may</w:t>
      </w:r>
      <w:r w:rsidRPr="00E36076">
        <w:t xml:space="preserve"> be. </w:t>
      </w:r>
    </w:p>
    <w:p w:rsidR="00114899" w:rsidRPr="00E36076" w:rsidRDefault="00114899" w:rsidP="00E36076">
      <w:pPr>
        <w:pStyle w:val="BodyText"/>
        <w:rPr>
          <w:lang w:eastAsia="en-US"/>
        </w:rPr>
      </w:pPr>
      <w:r w:rsidRPr="00E36076">
        <w:t xml:space="preserve">Studies have considered the </w:t>
      </w:r>
      <w:r w:rsidR="00050280">
        <w:t>evidence</w:t>
      </w:r>
      <w:r w:rsidRPr="00E36076">
        <w:t xml:space="preserve"> of inaccurate recall on calendar data (box</w:t>
      </w:r>
      <w:r w:rsidR="007978A1" w:rsidRPr="00E36076">
        <w:t> </w:t>
      </w:r>
      <w:proofErr w:type="spellStart"/>
      <w:r w:rsidR="00805798" w:rsidRPr="00E36076">
        <w:t>A.1</w:t>
      </w:r>
      <w:proofErr w:type="spellEnd"/>
      <w:r w:rsidRPr="00E36076">
        <w:rPr>
          <w:lang w:eastAsia="en-US"/>
        </w:rPr>
        <w:t>).</w:t>
      </w:r>
    </w:p>
    <w:p w:rsidR="00114899" w:rsidRDefault="00114899" w:rsidP="00114899">
      <w:pPr>
        <w:pStyle w:val="BoxSpaceAbov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114899" w:rsidTr="00DD7A4B">
        <w:tc>
          <w:tcPr>
            <w:tcW w:w="8771" w:type="dxa"/>
            <w:tcBorders>
              <w:top w:val="single" w:sz="6" w:space="0" w:color="auto"/>
              <w:bottom w:val="nil"/>
            </w:tcBorders>
          </w:tcPr>
          <w:p w:rsidR="00114899" w:rsidRDefault="00114899" w:rsidP="00DD7A4B">
            <w:pPr>
              <w:pStyle w:val="BoxTitle"/>
            </w:pPr>
            <w:r>
              <w:rPr>
                <w:b w:val="0"/>
              </w:rPr>
              <w:t xml:space="preserve">Box </w:t>
            </w:r>
            <w:bookmarkStart w:id="13" w:name="OLE_LINK1"/>
            <w:proofErr w:type="spellStart"/>
            <w:r w:rsidR="00805798">
              <w:rPr>
                <w:b w:val="0"/>
              </w:rPr>
              <w:t>A.</w:t>
            </w:r>
            <w:r w:rsidR="00476C58">
              <w:rPr>
                <w:b w:val="0"/>
                <w:noProof/>
              </w:rPr>
              <w:t>1</w:t>
            </w:r>
            <w:bookmarkEnd w:id="13"/>
            <w:proofErr w:type="spellEnd"/>
            <w:r>
              <w:tab/>
              <w:t>Evidence of recall bias in longitudinal surveys</w:t>
            </w:r>
          </w:p>
        </w:tc>
      </w:tr>
      <w:tr w:rsidR="00114899" w:rsidTr="00DD7A4B">
        <w:trPr>
          <w:cantSplit/>
        </w:trPr>
        <w:tc>
          <w:tcPr>
            <w:tcW w:w="8771" w:type="dxa"/>
            <w:tcBorders>
              <w:top w:val="nil"/>
              <w:left w:val="single" w:sz="6" w:space="0" w:color="auto"/>
              <w:bottom w:val="nil"/>
              <w:right w:val="single" w:sz="6" w:space="0" w:color="auto"/>
            </w:tcBorders>
          </w:tcPr>
          <w:p w:rsidR="00114899" w:rsidRPr="00E36076" w:rsidRDefault="00114899" w:rsidP="00E36076">
            <w:pPr>
              <w:pStyle w:val="Box"/>
            </w:pPr>
            <w:proofErr w:type="spellStart"/>
            <w:r w:rsidRPr="00E36076">
              <w:t>Quintini</w:t>
            </w:r>
            <w:proofErr w:type="spellEnd"/>
            <w:r w:rsidRPr="00E36076">
              <w:t xml:space="preserve"> and </w:t>
            </w:r>
            <w:proofErr w:type="spellStart"/>
            <w:r w:rsidRPr="00E36076">
              <w:t>Manfredi</w:t>
            </w:r>
            <w:proofErr w:type="spellEnd"/>
            <w:r w:rsidRPr="00E36076">
              <w:t xml:space="preserve"> (2009) </w:t>
            </w:r>
            <w:r w:rsidR="00213C5D">
              <w:t xml:space="preserve">analysed </w:t>
            </w:r>
            <w:r w:rsidR="00213C5D" w:rsidRPr="00E36076">
              <w:t xml:space="preserve">calendar and survey data from different sources </w:t>
            </w:r>
            <w:r w:rsidR="00213C5D">
              <w:t xml:space="preserve">and </w:t>
            </w:r>
            <w:r w:rsidRPr="00E36076">
              <w:t xml:space="preserve">found vastly different measures of </w:t>
            </w:r>
            <w:r w:rsidR="00213C5D">
              <w:t xml:space="preserve">the </w:t>
            </w:r>
            <w:r w:rsidRPr="00E36076">
              <w:t xml:space="preserve">average time taken </w:t>
            </w:r>
            <w:r w:rsidR="00213C5D">
              <w:t xml:space="preserve">by Spanish youths </w:t>
            </w:r>
            <w:r w:rsidRPr="00E36076">
              <w:t xml:space="preserve">to </w:t>
            </w:r>
            <w:r w:rsidR="00213C5D">
              <w:t>find a job after leaving education</w:t>
            </w:r>
            <w:r w:rsidRPr="00E36076">
              <w:t>. The calendar data indicated that</w:t>
            </w:r>
            <w:r w:rsidR="00100B32">
              <w:t>,</w:t>
            </w:r>
            <w:r w:rsidRPr="00E36076">
              <w:t xml:space="preserve"> on average, Spanish youth</w:t>
            </w:r>
            <w:r w:rsidR="00DE0B7F" w:rsidRPr="00E36076">
              <w:t>s</w:t>
            </w:r>
            <w:r w:rsidRPr="00E36076">
              <w:t xml:space="preserve"> take two years to find their first job after finishing education, whereas the survey data indicated that it takes six months. </w:t>
            </w:r>
          </w:p>
          <w:p w:rsidR="00114899" w:rsidRPr="00E36076" w:rsidRDefault="00114899" w:rsidP="00E36076">
            <w:pPr>
              <w:pStyle w:val="Box"/>
            </w:pPr>
            <w:r w:rsidRPr="00E36076">
              <w:t xml:space="preserve">The authors suggested </w:t>
            </w:r>
            <w:r w:rsidR="0036160A" w:rsidRPr="00E36076">
              <w:t>that y</w:t>
            </w:r>
            <w:r w:rsidRPr="00E36076">
              <w:t>outh</w:t>
            </w:r>
            <w:r w:rsidR="00DE0B7F" w:rsidRPr="00E36076">
              <w:t>s</w:t>
            </w:r>
            <w:r w:rsidRPr="00E36076">
              <w:t xml:space="preserve"> may be able to estimate how long the transition to the labour market took them for a survey, but find it difficult to give detailed information concerning the timing of each part</w:t>
            </w:r>
            <w:r w:rsidR="00C6017F">
              <w:noBreakHyphen/>
            </w:r>
            <w:r w:rsidRPr="00E36076">
              <w:t xml:space="preserve">time or casual job they had prior to finishing their education and beginning their career for a calendar. </w:t>
            </w:r>
          </w:p>
          <w:p w:rsidR="00114899" w:rsidRPr="00E36076" w:rsidRDefault="00114899" w:rsidP="00E36076">
            <w:pPr>
              <w:pStyle w:val="Box"/>
            </w:pPr>
            <w:r w:rsidRPr="00E36076">
              <w:t xml:space="preserve">Another potential explanation is that they do not view this information as important as these jobs may be irrelevant to their career path. Alternatively, they are not motivated to remember or to provide this information. </w:t>
            </w:r>
          </w:p>
          <w:p w:rsidR="00114899" w:rsidRPr="00E36076" w:rsidRDefault="00114899" w:rsidP="00E36076">
            <w:pPr>
              <w:pStyle w:val="Box"/>
            </w:pPr>
            <w:r w:rsidRPr="00E36076">
              <w:t xml:space="preserve">In a study of transitions based on the British Household Panel Survey, </w:t>
            </w:r>
            <w:proofErr w:type="spellStart"/>
            <w:r w:rsidRPr="00E36076">
              <w:t>Malo</w:t>
            </w:r>
            <w:proofErr w:type="spellEnd"/>
            <w:r w:rsidRPr="00E36076">
              <w:t xml:space="preserve"> and Muñoz</w:t>
            </w:r>
            <w:r w:rsidR="00C6017F">
              <w:noBreakHyphen/>
            </w:r>
            <w:proofErr w:type="spellStart"/>
            <w:r w:rsidRPr="00E36076">
              <w:t>Bullón</w:t>
            </w:r>
            <w:proofErr w:type="spellEnd"/>
            <w:r w:rsidRPr="00E36076">
              <w:t xml:space="preserve"> (2003) indicated that recall bias would affect the accuracy of their results in theory, but also </w:t>
            </w:r>
            <w:r w:rsidR="00B46391" w:rsidRPr="00E36076">
              <w:t xml:space="preserve">argued </w:t>
            </w:r>
            <w:r w:rsidRPr="00E36076">
              <w:t>that previous research on this panel indicated that recall errors were usually random, with the exception of short</w:t>
            </w:r>
            <w:r w:rsidR="00213C5D">
              <w:t>-</w:t>
            </w:r>
            <w:r w:rsidRPr="00E36076">
              <w:t>duration events, such as unemployment.</w:t>
            </w:r>
          </w:p>
          <w:p w:rsidR="00114899" w:rsidRPr="00E36076" w:rsidRDefault="00114899" w:rsidP="00E36076">
            <w:pPr>
              <w:pStyle w:val="Box"/>
            </w:pPr>
            <w:r w:rsidRPr="00E36076">
              <w:t xml:space="preserve">Watson (2009) </w:t>
            </w:r>
            <w:r w:rsidR="00957E11" w:rsidRPr="00E36076">
              <w:t>includes</w:t>
            </w:r>
            <w:r w:rsidRPr="00E36076">
              <w:t xml:space="preserve"> a more extensive review of the types of recall errors that may lead to unreliable (biased) results, the reasons why they occur and factors that have been found to be linked to recall errors. </w:t>
            </w:r>
          </w:p>
        </w:tc>
      </w:tr>
      <w:tr w:rsidR="00114899" w:rsidTr="00DD7A4B">
        <w:trPr>
          <w:cantSplit/>
        </w:trPr>
        <w:tc>
          <w:tcPr>
            <w:tcW w:w="8771" w:type="dxa"/>
            <w:tcBorders>
              <w:top w:val="nil"/>
              <w:left w:val="single" w:sz="6" w:space="0" w:color="auto"/>
              <w:bottom w:val="single" w:sz="6" w:space="0" w:color="auto"/>
              <w:right w:val="single" w:sz="6" w:space="0" w:color="auto"/>
            </w:tcBorders>
          </w:tcPr>
          <w:p w:rsidR="00114899" w:rsidRDefault="00114899" w:rsidP="00DD7A4B">
            <w:pPr>
              <w:pStyle w:val="Box"/>
              <w:spacing w:before="0" w:line="120" w:lineRule="exact"/>
            </w:pPr>
          </w:p>
        </w:tc>
      </w:tr>
      <w:tr w:rsidR="00114899" w:rsidRPr="000863A5" w:rsidTr="00DD7A4B">
        <w:tc>
          <w:tcPr>
            <w:tcW w:w="8771" w:type="dxa"/>
            <w:tcBorders>
              <w:top w:val="nil"/>
              <w:left w:val="nil"/>
              <w:bottom w:val="nil"/>
              <w:right w:val="nil"/>
            </w:tcBorders>
          </w:tcPr>
          <w:p w:rsidR="00114899" w:rsidRPr="00626D32" w:rsidRDefault="00114899" w:rsidP="00DD7A4B">
            <w:pPr>
              <w:pStyle w:val="BoxSpaceBelow"/>
            </w:pPr>
          </w:p>
        </w:tc>
      </w:tr>
    </w:tbl>
    <w:p w:rsidR="00114899" w:rsidRDefault="00114899" w:rsidP="00114899">
      <w:pPr>
        <w:pStyle w:val="Heading4"/>
      </w:pPr>
      <w:r>
        <w:t xml:space="preserve">Recall errors in </w:t>
      </w:r>
      <w:r w:rsidR="000108A2">
        <w:t xml:space="preserve">the </w:t>
      </w:r>
      <w:r>
        <w:t>HILDA calendar data</w:t>
      </w:r>
    </w:p>
    <w:p w:rsidR="00114899" w:rsidRDefault="00114899" w:rsidP="00114899">
      <w:pPr>
        <w:pStyle w:val="BodyText"/>
      </w:pPr>
      <w:r>
        <w:t xml:space="preserve">Overlaps in </w:t>
      </w:r>
      <w:proofErr w:type="spellStart"/>
      <w:r>
        <w:t>HILDA’s</w:t>
      </w:r>
      <w:proofErr w:type="spellEnd"/>
      <w:r>
        <w:t xml:space="preserve"> calendar allow identification and analysis of differences in what individuals recall. An individual’s activity spells are assumed to be recalled </w:t>
      </w:r>
      <w:r>
        <w:lastRenderedPageBreak/>
        <w:t xml:space="preserve">perfectly if they can be matched in the overlapping periods exactly. In the first six overlapping periods in the HILDA calendar, </w:t>
      </w:r>
      <w:r w:rsidR="00213C5D">
        <w:t>exact matches were found for</w:t>
      </w:r>
      <w:r>
        <w:t>:</w:t>
      </w:r>
    </w:p>
    <w:p w:rsidR="00114899" w:rsidRDefault="00114899" w:rsidP="00114899">
      <w:pPr>
        <w:pStyle w:val="ListBullet"/>
      </w:pPr>
      <w:r>
        <w:t xml:space="preserve">83 per cent of job spells </w:t>
      </w:r>
    </w:p>
    <w:p w:rsidR="00114899" w:rsidRDefault="00114899" w:rsidP="00114899">
      <w:pPr>
        <w:pStyle w:val="ListBullet"/>
      </w:pPr>
      <w:r>
        <w:t xml:space="preserve">85 per cent of </w:t>
      </w:r>
      <w:proofErr w:type="spellStart"/>
      <w:r>
        <w:t>NILF</w:t>
      </w:r>
      <w:proofErr w:type="spellEnd"/>
      <w:r>
        <w:t xml:space="preserve"> spells</w:t>
      </w:r>
    </w:p>
    <w:p w:rsidR="00114899" w:rsidRDefault="00114899" w:rsidP="00114899">
      <w:pPr>
        <w:pStyle w:val="ListBullet"/>
      </w:pPr>
      <w:r>
        <w:t>24 per cent of unemployment spells</w:t>
      </w:r>
    </w:p>
    <w:p w:rsidR="00114899" w:rsidRDefault="00114899" w:rsidP="00114899">
      <w:pPr>
        <w:pStyle w:val="ListBullet"/>
      </w:pPr>
      <w:r>
        <w:t>66 per cent of full</w:t>
      </w:r>
      <w:r w:rsidR="00C6017F">
        <w:noBreakHyphen/>
      </w:r>
      <w:r>
        <w:t>time education spells and 40 per cent of part</w:t>
      </w:r>
      <w:r w:rsidR="00C6017F">
        <w:noBreakHyphen/>
      </w:r>
      <w:r>
        <w:t xml:space="preserve">time education spells (Watson 2009). </w:t>
      </w:r>
    </w:p>
    <w:p w:rsidR="00114899" w:rsidRDefault="00114899" w:rsidP="00114899">
      <w:pPr>
        <w:pStyle w:val="BodyText"/>
      </w:pPr>
      <w:r>
        <w:t xml:space="preserve">Spells that were not perfectly matched </w:t>
      </w:r>
      <w:r w:rsidR="00B46391">
        <w:t xml:space="preserve">could either be: </w:t>
      </w:r>
      <w:r>
        <w:t>forgotten (not</w:t>
      </w:r>
      <w:r w:rsidR="00B46391">
        <w:t xml:space="preserve"> recorded</w:t>
      </w:r>
      <w:r>
        <w:t xml:space="preserve"> in </w:t>
      </w:r>
      <w:r w:rsidR="00957E11">
        <w:t xml:space="preserve">the </w:t>
      </w:r>
      <w:r>
        <w:t>later wave), remembered (not</w:t>
      </w:r>
      <w:r w:rsidR="00957E11">
        <w:t xml:space="preserve"> recorded</w:t>
      </w:r>
      <w:r>
        <w:t xml:space="preserve"> in </w:t>
      </w:r>
      <w:r w:rsidR="00957E11">
        <w:t xml:space="preserve">the </w:t>
      </w:r>
      <w:r>
        <w:t>earlier wave), or mistimed (beginnings and/or endings did not match in the overlaps). Most commonly</w:t>
      </w:r>
      <w:r w:rsidRPr="0028233E">
        <w:t xml:space="preserve">, inconsistencies arose because an individual reported a spell in the first calendar, but </w:t>
      </w:r>
      <w:r>
        <w:t xml:space="preserve">‘forgot’ </w:t>
      </w:r>
      <w:r w:rsidRPr="0028233E">
        <w:t>in the second calendar</w:t>
      </w:r>
      <w:r w:rsidRPr="00124B55">
        <w:t>.</w:t>
      </w:r>
      <w:r>
        <w:t xml:space="preserve"> This implies </w:t>
      </w:r>
      <w:r w:rsidRPr="0028233E">
        <w:t>that individuals are less likely to remember a</w:t>
      </w:r>
      <w:r>
        <w:t>n activity</w:t>
      </w:r>
      <w:r w:rsidRPr="0028233E">
        <w:t xml:space="preserve"> spell </w:t>
      </w:r>
      <w:r>
        <w:t>as the time since that spell increases</w:t>
      </w:r>
      <w:r w:rsidRPr="0028233E">
        <w:t>.</w:t>
      </w:r>
    </w:p>
    <w:p w:rsidR="00114899" w:rsidRDefault="00114899" w:rsidP="00114899">
      <w:pPr>
        <w:pStyle w:val="BodyText"/>
      </w:pPr>
      <w:r>
        <w:t xml:space="preserve">As mentioned earlier, the HILDA calendar was designed </w:t>
      </w:r>
      <w:r w:rsidR="00B46391">
        <w:t>to avoid</w:t>
      </w:r>
      <w:r>
        <w:t xml:space="preserve"> any gaps in the data. If respondent</w:t>
      </w:r>
      <w:r w:rsidR="00124B55">
        <w:t>s</w:t>
      </w:r>
      <w:r>
        <w:t xml:space="preserve"> w</w:t>
      </w:r>
      <w:r w:rsidR="00124B55">
        <w:t>ere</w:t>
      </w:r>
      <w:r>
        <w:t xml:space="preserve"> uncertain of their activity at a point in time, they made a calculated guess with the help of their interviewer. This design feature may have contributed to inconsistencies in </w:t>
      </w:r>
      <w:r w:rsidR="00B46391">
        <w:t xml:space="preserve">overlapping </w:t>
      </w:r>
      <w:r>
        <w:t xml:space="preserve">calendar data (Watson 2009). </w:t>
      </w:r>
    </w:p>
    <w:p w:rsidR="00114899" w:rsidRDefault="00114899" w:rsidP="00114899">
      <w:pPr>
        <w:pStyle w:val="Heading4"/>
      </w:pPr>
      <w:r>
        <w:t xml:space="preserve">Removing overlaps in </w:t>
      </w:r>
      <w:r w:rsidR="00FE6A0F">
        <w:t xml:space="preserve">the </w:t>
      </w:r>
      <w:r>
        <w:t>HILDA calendar data</w:t>
      </w:r>
    </w:p>
    <w:p w:rsidR="00114899" w:rsidRPr="00114899" w:rsidRDefault="00114899" w:rsidP="00114899">
      <w:pPr>
        <w:pStyle w:val="BodyText"/>
      </w:pPr>
      <w:r w:rsidRPr="00E36076">
        <w:t>The approach taken to remove overlapping calendar data by using data from 1 July in each wave uses data that is recalled back to the furthest point in time from the time of interview (see figure </w:t>
      </w:r>
      <w:proofErr w:type="spellStart"/>
      <w:r w:rsidR="00805798" w:rsidRPr="00E36076">
        <w:t>A.2</w:t>
      </w:r>
      <w:proofErr w:type="spellEnd"/>
      <w:r w:rsidRPr="00E36076">
        <w:rPr>
          <w:lang w:eastAsia="en-US"/>
        </w:rPr>
        <w:t xml:space="preserve">). As discussed in Watson (2009), there are other methods to remove overlaps in the calendar data that would result in using data that </w:t>
      </w:r>
      <w:r w:rsidR="009A7A2B" w:rsidRPr="00E36076">
        <w:rPr>
          <w:lang w:eastAsia="en-US"/>
        </w:rPr>
        <w:t xml:space="preserve">are </w:t>
      </w:r>
      <w:r w:rsidRPr="00E36076">
        <w:rPr>
          <w:lang w:eastAsia="en-US"/>
        </w:rPr>
        <w:t>closer to the time of interview, and therefore less affected by recall errors. However,</w:t>
      </w:r>
      <w:r w:rsidRPr="00114899">
        <w:t xml:space="preserve"> these approaches are considerably more difficult to implement as they depend on interview dates, and these dates differ across individuals as well as survey years. </w:t>
      </w:r>
    </w:p>
    <w:p w:rsidR="00114899" w:rsidRPr="000E3D8B" w:rsidRDefault="00114899" w:rsidP="00114899">
      <w:pPr>
        <w:pStyle w:val="BodyText"/>
      </w:pPr>
      <w:r>
        <w:t xml:space="preserve">The dataset used in this paper </w:t>
      </w:r>
      <w:r w:rsidR="009A7A2B">
        <w:t xml:space="preserve">may </w:t>
      </w:r>
      <w:r>
        <w:t>therefore underestimate the number of spells (and overestimate spell duration) at the start of each financial year in particular</w:t>
      </w:r>
      <w:r w:rsidRPr="000E3D8B">
        <w:t xml:space="preserve">. </w:t>
      </w:r>
      <w:r>
        <w:t>S</w:t>
      </w:r>
      <w:r w:rsidRPr="000E3D8B">
        <w:t>pells of unemployment and part</w:t>
      </w:r>
      <w:r w:rsidR="00C6017F">
        <w:noBreakHyphen/>
      </w:r>
      <w:r w:rsidRPr="000E3D8B">
        <w:t xml:space="preserve">time education are more likely to be </w:t>
      </w:r>
      <w:r>
        <w:t xml:space="preserve">biased as a result of </w:t>
      </w:r>
      <w:r w:rsidRPr="000E3D8B">
        <w:t xml:space="preserve">recall errors during these months. </w:t>
      </w:r>
      <w:r w:rsidR="0075263C">
        <w:t>For example, if an individual forgot to record a spell of unemployment that occurred more than a year earlier (during the overlap period), the number of spells in the corresponding sequence is underestimated and the length of an adjoining spell is overestimated.</w:t>
      </w:r>
    </w:p>
    <w:p w:rsidR="00114899" w:rsidRDefault="00114899" w:rsidP="00114899">
      <w:pPr>
        <w:pStyle w:val="Heading4"/>
      </w:pPr>
      <w:r>
        <w:lastRenderedPageBreak/>
        <w:t xml:space="preserve">Factors linked to recall errors in </w:t>
      </w:r>
      <w:r w:rsidR="00FE6A0F">
        <w:t xml:space="preserve">the </w:t>
      </w:r>
      <w:r>
        <w:t>HILDA calendar data</w:t>
      </w:r>
    </w:p>
    <w:p w:rsidR="00114899" w:rsidRDefault="00114899" w:rsidP="00114899">
      <w:pPr>
        <w:pStyle w:val="BodyText"/>
      </w:pPr>
      <w:r>
        <w:t>The probability of making different types of recall errors w</w:t>
      </w:r>
      <w:r w:rsidR="009065EA">
        <w:t>as</w:t>
      </w:r>
      <w:r>
        <w:t xml:space="preserve"> found to be linked to spell length, </w:t>
      </w:r>
      <w:r w:rsidR="00B46391">
        <w:t xml:space="preserve">the </w:t>
      </w:r>
      <w:r>
        <w:t>complexity of patterns of activities and to the characteristics of the individual (box </w:t>
      </w:r>
      <w:proofErr w:type="spellStart"/>
      <w:r w:rsidR="00805798">
        <w:t>A.2</w:t>
      </w:r>
      <w:proofErr w:type="spellEnd"/>
      <w:r>
        <w:t xml:space="preserve">). </w:t>
      </w:r>
    </w:p>
    <w:p w:rsidR="00114899" w:rsidRDefault="00114899" w:rsidP="00114899">
      <w:pPr>
        <w:pStyle w:val="BodyText"/>
      </w:pPr>
      <w:r>
        <w:t xml:space="preserve">As these factors vary by pathway, these findings could have implications for the results of this study. First, pathways characterised by a complex sequence of labour market activities with spells of shorter duration are more likely to be affected by recall errors than pathways </w:t>
      </w:r>
      <w:r w:rsidR="00F96B08">
        <w:t>that</w:t>
      </w:r>
      <w:r>
        <w:t xml:space="preserve"> are more stable. This implies that some of the less complicated pathways (for example the </w:t>
      </w:r>
      <w:r w:rsidRPr="00D318D9">
        <w:rPr>
          <w:i/>
        </w:rPr>
        <w:t xml:space="preserve">Prolonged </w:t>
      </w:r>
      <w:proofErr w:type="spellStart"/>
      <w:r w:rsidRPr="00D318D9">
        <w:rPr>
          <w:i/>
        </w:rPr>
        <w:t>NILF</w:t>
      </w:r>
      <w:proofErr w:type="spellEnd"/>
      <w:r>
        <w:t xml:space="preserve"> pathways for adults, and the </w:t>
      </w:r>
      <w:proofErr w:type="spellStart"/>
      <w:r w:rsidRPr="00D318D9">
        <w:rPr>
          <w:i/>
        </w:rPr>
        <w:t>NILF</w:t>
      </w:r>
      <w:proofErr w:type="spellEnd"/>
      <w:r>
        <w:t xml:space="preserve">, </w:t>
      </w:r>
      <w:r w:rsidRPr="00D318D9">
        <w:rPr>
          <w:i/>
        </w:rPr>
        <w:t>Early</w:t>
      </w:r>
      <w:r>
        <w:t xml:space="preserve"> </w:t>
      </w:r>
      <w:r w:rsidR="00213C5D">
        <w:rPr>
          <w:i/>
        </w:rPr>
        <w:t>W</w:t>
      </w:r>
      <w:r w:rsidR="00213C5D" w:rsidRPr="00D318D9">
        <w:rPr>
          <w:i/>
        </w:rPr>
        <w:t xml:space="preserve">ork to </w:t>
      </w:r>
      <w:proofErr w:type="spellStart"/>
      <w:r w:rsidR="00213C5D" w:rsidRPr="00D318D9">
        <w:rPr>
          <w:i/>
        </w:rPr>
        <w:t>NILF</w:t>
      </w:r>
      <w:proofErr w:type="spellEnd"/>
      <w:r w:rsidR="00213C5D">
        <w:t xml:space="preserve"> </w:t>
      </w:r>
      <w:r>
        <w:t xml:space="preserve">and </w:t>
      </w:r>
      <w:r w:rsidRPr="00D318D9">
        <w:rPr>
          <w:i/>
        </w:rPr>
        <w:t xml:space="preserve">Later </w:t>
      </w:r>
      <w:r w:rsidR="00F719EE">
        <w:rPr>
          <w:i/>
        </w:rPr>
        <w:t>W</w:t>
      </w:r>
      <w:r w:rsidRPr="00D318D9">
        <w:rPr>
          <w:i/>
        </w:rPr>
        <w:t xml:space="preserve">ork to </w:t>
      </w:r>
      <w:proofErr w:type="spellStart"/>
      <w:r w:rsidRPr="00D318D9">
        <w:rPr>
          <w:i/>
        </w:rPr>
        <w:t>NILF</w:t>
      </w:r>
      <w:proofErr w:type="spellEnd"/>
      <w:r>
        <w:t xml:space="preserve"> pathways for seniors), are less likely to be affected by recall errors than other pathways.</w:t>
      </w:r>
    </w:p>
    <w:p w:rsidR="00114899" w:rsidRDefault="00114899" w:rsidP="00114899">
      <w:pPr>
        <w:pStyle w:val="BodyText"/>
      </w:pPr>
      <w:r>
        <w:t>Adult and senior pathways that include spells of education are more likely to be affected by recall errors than youth pathways</w:t>
      </w:r>
      <w:r w:rsidR="008D4B12">
        <w:t xml:space="preserve"> </w:t>
      </w:r>
      <w:r>
        <w:t xml:space="preserve">because education is a </w:t>
      </w:r>
      <w:r w:rsidR="008D4B12">
        <w:t xml:space="preserve">less </w:t>
      </w:r>
      <w:r>
        <w:t>common activity for th</w:t>
      </w:r>
      <w:r w:rsidR="008D4B12">
        <w:t>e</w:t>
      </w:r>
      <w:r>
        <w:t xml:space="preserve"> older age groups. </w:t>
      </w:r>
    </w:p>
    <w:p w:rsidR="00114899" w:rsidRDefault="00114899" w:rsidP="00114899">
      <w:pPr>
        <w:pStyle w:val="BodyText"/>
      </w:pPr>
      <w:r>
        <w:t>Pathways with a higher proportion of individuals with a high level of education (diploma or above) are less likely to be affected by errors recalling spells of full</w:t>
      </w:r>
      <w:r>
        <w:noBreakHyphen/>
        <w:t>time education than pathways with a higher proportion of individuals with relatively less education (</w:t>
      </w:r>
      <w:r w:rsidR="00213C5D">
        <w:t>Y</w:t>
      </w:r>
      <w:r>
        <w:t xml:space="preserve">ear 11 or below). </w:t>
      </w:r>
    </w:p>
    <w:p w:rsidR="00114899" w:rsidRDefault="00114899" w:rsidP="00114899">
      <w:pPr>
        <w:pStyle w:val="BodyText"/>
      </w:pPr>
      <w:r>
        <w:t>For youth</w:t>
      </w:r>
      <w:r w:rsidR="00DE0B7F">
        <w:t>s</w:t>
      </w:r>
      <w:r>
        <w:t xml:space="preserve"> and young adults, </w:t>
      </w:r>
      <w:r w:rsidR="009065EA">
        <w:rPr>
          <w:i/>
        </w:rPr>
        <w:t>P</w:t>
      </w:r>
      <w:r w:rsidRPr="00D318D9">
        <w:rPr>
          <w:i/>
        </w:rPr>
        <w:t xml:space="preserve">rolonged </w:t>
      </w:r>
      <w:proofErr w:type="spellStart"/>
      <w:r w:rsidRPr="00D318D9">
        <w:rPr>
          <w:i/>
        </w:rPr>
        <w:t>NILF</w:t>
      </w:r>
      <w:proofErr w:type="spellEnd"/>
      <w:r>
        <w:t xml:space="preserve"> pathways</w:t>
      </w:r>
      <w:r w:rsidDel="005703E0">
        <w:t xml:space="preserve"> </w:t>
      </w:r>
      <w:r>
        <w:t xml:space="preserve">are followed by individuals who have relatively lower levels of education compared to other pathways for their respective age segments. These pathways are therefore more likely to be affected by errors recalling spells of education. The </w:t>
      </w:r>
      <w:r w:rsidR="00F719EE">
        <w:rPr>
          <w:i/>
        </w:rPr>
        <w:t>Churning with W</w:t>
      </w:r>
      <w:r w:rsidRPr="005703E0">
        <w:rPr>
          <w:i/>
        </w:rPr>
        <w:t>ork</w:t>
      </w:r>
      <w:r>
        <w:t xml:space="preserve"> pathway for youth</w:t>
      </w:r>
      <w:r w:rsidR="00DE0B7F">
        <w:t>s</w:t>
      </w:r>
      <w:r w:rsidR="007555C9">
        <w:t xml:space="preserve"> </w:t>
      </w:r>
      <w:r>
        <w:t xml:space="preserve">also includes a small percentage of individuals with high levels of education </w:t>
      </w:r>
      <w:r w:rsidR="006307CE">
        <w:t xml:space="preserve">in 2010 </w:t>
      </w:r>
      <w:r>
        <w:t xml:space="preserve">relative to the other three youth pathways. For young adults, </w:t>
      </w:r>
      <w:r w:rsidR="006307CE">
        <w:t xml:space="preserve">this </w:t>
      </w:r>
      <w:r>
        <w:t xml:space="preserve">also </w:t>
      </w:r>
      <w:r w:rsidR="006307CE">
        <w:t>applies to</w:t>
      </w:r>
      <w:r>
        <w:t xml:space="preserve"> the </w:t>
      </w:r>
      <w:proofErr w:type="spellStart"/>
      <w:r w:rsidRPr="005703E0">
        <w:rPr>
          <w:i/>
        </w:rPr>
        <w:t>NILF</w:t>
      </w:r>
      <w:proofErr w:type="spellEnd"/>
      <w:r w:rsidRPr="005703E0">
        <w:rPr>
          <w:i/>
        </w:rPr>
        <w:t xml:space="preserve"> to </w:t>
      </w:r>
      <w:r w:rsidR="00F719EE">
        <w:rPr>
          <w:i/>
        </w:rPr>
        <w:t>W</w:t>
      </w:r>
      <w:r w:rsidRPr="005703E0">
        <w:rPr>
          <w:i/>
        </w:rPr>
        <w:t>ork</w:t>
      </w:r>
      <w:r>
        <w:t xml:space="preserve"> pathway. </w:t>
      </w:r>
    </w:p>
    <w:p w:rsidR="00114899" w:rsidRDefault="00114899" w:rsidP="00114899">
      <w:pPr>
        <w:pStyle w:val="BodyText"/>
      </w:pPr>
      <w:r>
        <w:t xml:space="preserve">For mature adults, the </w:t>
      </w:r>
      <w:r w:rsidRPr="005703E0">
        <w:rPr>
          <w:i/>
        </w:rPr>
        <w:t xml:space="preserve">Prolonged </w:t>
      </w:r>
      <w:proofErr w:type="spellStart"/>
      <w:r w:rsidRPr="005703E0">
        <w:rPr>
          <w:i/>
        </w:rPr>
        <w:t>NILF</w:t>
      </w:r>
      <w:proofErr w:type="spellEnd"/>
      <w:r>
        <w:t xml:space="preserve"> and </w:t>
      </w:r>
      <w:r w:rsidRPr="005703E0">
        <w:rPr>
          <w:i/>
        </w:rPr>
        <w:t xml:space="preserve">Work to </w:t>
      </w:r>
      <w:proofErr w:type="spellStart"/>
      <w:r w:rsidRPr="005703E0">
        <w:rPr>
          <w:i/>
        </w:rPr>
        <w:t>NILF</w:t>
      </w:r>
      <w:proofErr w:type="spellEnd"/>
      <w:r>
        <w:t xml:space="preserve"> pathways are more likely to have errors in education spells</w:t>
      </w:r>
      <w:r w:rsidR="006307CE">
        <w:t>,</w:t>
      </w:r>
      <w:r>
        <w:t xml:space="preserve"> and for seniors the </w:t>
      </w:r>
      <w:proofErr w:type="spellStart"/>
      <w:r w:rsidRPr="005703E0">
        <w:rPr>
          <w:i/>
        </w:rPr>
        <w:t>NILF</w:t>
      </w:r>
      <w:proofErr w:type="spellEnd"/>
      <w:r>
        <w:t xml:space="preserve"> and </w:t>
      </w:r>
      <w:r w:rsidRPr="005703E0">
        <w:rPr>
          <w:i/>
        </w:rPr>
        <w:t xml:space="preserve">Early </w:t>
      </w:r>
      <w:r w:rsidR="00F719EE">
        <w:rPr>
          <w:i/>
        </w:rPr>
        <w:t>W</w:t>
      </w:r>
      <w:r w:rsidRPr="005703E0">
        <w:rPr>
          <w:i/>
        </w:rPr>
        <w:t xml:space="preserve">ork to </w:t>
      </w:r>
      <w:proofErr w:type="spellStart"/>
      <w:r w:rsidRPr="005703E0">
        <w:rPr>
          <w:i/>
        </w:rPr>
        <w:t>NILF</w:t>
      </w:r>
      <w:proofErr w:type="spellEnd"/>
      <w:r>
        <w:t xml:space="preserve"> pathways are less likely to reflect full</w:t>
      </w:r>
      <w:r w:rsidR="00C6017F">
        <w:noBreakHyphen/>
      </w:r>
      <w:r>
        <w:t xml:space="preserve">time education spells accurately. </w:t>
      </w:r>
    </w:p>
    <w:p w:rsidR="00114899" w:rsidRDefault="00114899" w:rsidP="00114899">
      <w:pPr>
        <w:pStyle w:val="BoxSpaceAbov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114899" w:rsidTr="00DD7A4B">
        <w:tc>
          <w:tcPr>
            <w:tcW w:w="8771" w:type="dxa"/>
            <w:tcBorders>
              <w:top w:val="single" w:sz="6" w:space="0" w:color="auto"/>
              <w:bottom w:val="nil"/>
            </w:tcBorders>
          </w:tcPr>
          <w:p w:rsidR="00114899" w:rsidRDefault="00114899" w:rsidP="00DD7A4B">
            <w:pPr>
              <w:pStyle w:val="BoxTitle"/>
            </w:pPr>
            <w:r>
              <w:rPr>
                <w:b w:val="0"/>
              </w:rPr>
              <w:t xml:space="preserve">Box </w:t>
            </w:r>
            <w:bookmarkStart w:id="14" w:name="OLE_LINK7"/>
            <w:proofErr w:type="spellStart"/>
            <w:r w:rsidR="00805798">
              <w:rPr>
                <w:b w:val="0"/>
              </w:rPr>
              <w:t>A.</w:t>
            </w:r>
            <w:r w:rsidR="00476C58">
              <w:rPr>
                <w:b w:val="0"/>
                <w:noProof/>
              </w:rPr>
              <w:t>2</w:t>
            </w:r>
            <w:bookmarkEnd w:id="14"/>
            <w:proofErr w:type="spellEnd"/>
            <w:r>
              <w:tab/>
              <w:t>Overlaps and recall errors in HILDA calendar data</w:t>
            </w:r>
          </w:p>
        </w:tc>
      </w:tr>
      <w:tr w:rsidR="00114899" w:rsidTr="00DD7A4B">
        <w:trPr>
          <w:cantSplit/>
        </w:trPr>
        <w:tc>
          <w:tcPr>
            <w:tcW w:w="8771" w:type="dxa"/>
            <w:tcBorders>
              <w:top w:val="nil"/>
              <w:left w:val="single" w:sz="6" w:space="0" w:color="auto"/>
              <w:bottom w:val="nil"/>
              <w:right w:val="single" w:sz="6" w:space="0" w:color="auto"/>
            </w:tcBorders>
          </w:tcPr>
          <w:p w:rsidR="00114899" w:rsidRDefault="00114899" w:rsidP="00DD7A4B">
            <w:pPr>
              <w:pStyle w:val="Box"/>
            </w:pPr>
            <w:r>
              <w:t xml:space="preserve">Watson (2009) studied patterns of recall errors </w:t>
            </w:r>
            <w:r w:rsidR="00385F4A" w:rsidRPr="00385F4A">
              <w:t xml:space="preserve">— forgetting, remembering and mistiming </w:t>
            </w:r>
            <w:r w:rsidR="00385F4A">
              <w:t xml:space="preserve">of activity spells </w:t>
            </w:r>
            <w:r w:rsidR="00385F4A" w:rsidRPr="00385F4A">
              <w:t xml:space="preserve">— </w:t>
            </w:r>
            <w:r>
              <w:t>in the overlapping sections of the HILDA calendar. In that study, the most important</w:t>
            </w:r>
            <w:r w:rsidR="00134EC8">
              <w:t xml:space="preserve"> determinant of recall errors in</w:t>
            </w:r>
            <w:r>
              <w:t xml:space="preserve"> labour force status was whether the individual was in the same activity at the time of the interview and the time being recalled. </w:t>
            </w:r>
            <w:r w:rsidR="008662BD">
              <w:t xml:space="preserve">For example, individuals who were employed at the time of </w:t>
            </w:r>
            <w:r w:rsidR="00385F4A">
              <w:t>the interview</w:t>
            </w:r>
            <w:r w:rsidR="008662BD">
              <w:t xml:space="preserve"> had a mean predicted probability of forgetting a</w:t>
            </w:r>
            <w:r w:rsidR="006307CE">
              <w:t xml:space="preserve"> job spell of nearly 8 per cent,</w:t>
            </w:r>
            <w:r w:rsidR="008662BD">
              <w:t xml:space="preserve"> </w:t>
            </w:r>
            <w:r w:rsidR="006307CE">
              <w:t>w</w:t>
            </w:r>
            <w:r w:rsidR="008662BD">
              <w:t xml:space="preserve">hereas individuals who were unemployed or </w:t>
            </w:r>
            <w:proofErr w:type="spellStart"/>
            <w:r w:rsidR="008662BD">
              <w:t>NILF</w:t>
            </w:r>
            <w:proofErr w:type="spellEnd"/>
            <w:r w:rsidR="008662BD">
              <w:t xml:space="preserve"> at the time of interview had a </w:t>
            </w:r>
            <w:r w:rsidR="00385F4A">
              <w:t xml:space="preserve">higher </w:t>
            </w:r>
            <w:r w:rsidR="008662BD">
              <w:t xml:space="preserve">mean predicted probability of forgetting a job spell </w:t>
            </w:r>
            <w:r w:rsidR="00385F4A">
              <w:t>(</w:t>
            </w:r>
            <w:r w:rsidR="008662BD">
              <w:t>a</w:t>
            </w:r>
            <w:r w:rsidR="00385F4A">
              <w:t>bout</w:t>
            </w:r>
            <w:r w:rsidR="008662BD">
              <w:t xml:space="preserve"> 30 per cent</w:t>
            </w:r>
            <w:r w:rsidR="00385F4A">
              <w:t>)</w:t>
            </w:r>
            <w:r w:rsidR="008662BD">
              <w:t>.</w:t>
            </w:r>
          </w:p>
          <w:p w:rsidR="00114899" w:rsidRPr="00E36076" w:rsidRDefault="00114899" w:rsidP="00E36076">
            <w:pPr>
              <w:pStyle w:val="Box"/>
            </w:pPr>
            <w:r w:rsidRPr="00E36076">
              <w:t>In general, recall errors for spe</w:t>
            </w:r>
            <w:r w:rsidR="006307CE">
              <w:t>lls of employment, unemployment</w:t>
            </w:r>
            <w:r w:rsidRPr="00E36076">
              <w:t xml:space="preserve"> and </w:t>
            </w:r>
            <w:proofErr w:type="spellStart"/>
            <w:r w:rsidRPr="00E36076">
              <w:t>NILF</w:t>
            </w:r>
            <w:proofErr w:type="spellEnd"/>
            <w:r w:rsidR="008662BD">
              <w:t>,</w:t>
            </w:r>
            <w:r w:rsidRPr="00E36076">
              <w:t xml:space="preserve"> were more likely the shorter the spell duration and the more complex the pattern of activity. </w:t>
            </w:r>
            <w:r w:rsidR="00385F4A">
              <w:t>However, u</w:t>
            </w:r>
            <w:r w:rsidRPr="00E36076">
              <w:t xml:space="preserve">nemployment and </w:t>
            </w:r>
            <w:proofErr w:type="spellStart"/>
            <w:r w:rsidRPr="00E36076">
              <w:t>NILF</w:t>
            </w:r>
            <w:proofErr w:type="spellEnd"/>
            <w:r w:rsidRPr="00E36076">
              <w:t xml:space="preserve"> spells were </w:t>
            </w:r>
            <w:r w:rsidR="00385F4A">
              <w:t>less</w:t>
            </w:r>
            <w:r w:rsidRPr="00E36076">
              <w:t xml:space="preserve"> likely to be forgotten when activity patterns were more complicated.</w:t>
            </w:r>
          </w:p>
          <w:p w:rsidR="00114899" w:rsidRDefault="00385F4A" w:rsidP="00DD7A4B">
            <w:pPr>
              <w:pStyle w:val="Box"/>
            </w:pPr>
            <w:r>
              <w:t>E</w:t>
            </w:r>
            <w:r w:rsidR="00114899">
              <w:t xml:space="preserve">rrors in recalling shorter education spells were </w:t>
            </w:r>
            <w:r>
              <w:t>more</w:t>
            </w:r>
            <w:r w:rsidR="00114899">
              <w:t xml:space="preserve"> likely than for spells of longer duration. However, recalling more complex patterns of activities was linked to a </w:t>
            </w:r>
            <w:r>
              <w:t>lower</w:t>
            </w:r>
            <w:r w:rsidR="00114899">
              <w:t xml:space="preserve"> probability of forgetting or remembering a spell of education, </w:t>
            </w:r>
            <w:r>
              <w:t>but</w:t>
            </w:r>
            <w:r w:rsidR="00114899">
              <w:t xml:space="preserve"> a </w:t>
            </w:r>
            <w:r>
              <w:t>higher</w:t>
            </w:r>
            <w:r w:rsidR="00114899">
              <w:t xml:space="preserve"> probability of </w:t>
            </w:r>
            <w:r>
              <w:t>mistiming a spell of education.</w:t>
            </w:r>
          </w:p>
          <w:p w:rsidR="00114899" w:rsidRDefault="00114899" w:rsidP="00DD7A4B">
            <w:pPr>
              <w:pStyle w:val="Box"/>
            </w:pPr>
            <w:r>
              <w:t>Individuals with higher levels of education were less likely to forget o</w:t>
            </w:r>
            <w:r w:rsidR="00385F4A">
              <w:t>r remember spells of education.</w:t>
            </w:r>
          </w:p>
          <w:p w:rsidR="00114899" w:rsidRDefault="00114899" w:rsidP="00DD7A4B">
            <w:pPr>
              <w:pStyle w:val="Box"/>
            </w:pPr>
            <w:r w:rsidRPr="0028233E">
              <w:t xml:space="preserve">Individuals </w:t>
            </w:r>
            <w:r>
              <w:t>we</w:t>
            </w:r>
            <w:r w:rsidRPr="0028233E">
              <w:t xml:space="preserve">re more likely to make errors in reporting spells </w:t>
            </w:r>
            <w:r w:rsidR="00385F4A">
              <w:t xml:space="preserve">of any activity </w:t>
            </w:r>
            <w:r w:rsidRPr="0028233E">
              <w:t xml:space="preserve">that </w:t>
            </w:r>
            <w:r>
              <w:t xml:space="preserve">were </w:t>
            </w:r>
            <w:r w:rsidR="00385F4A">
              <w:t>less common among</w:t>
            </w:r>
            <w:r w:rsidRPr="0028233E">
              <w:t xml:space="preserve"> people of their age</w:t>
            </w:r>
            <w:r>
              <w:t xml:space="preserve"> group</w:t>
            </w:r>
            <w:r w:rsidRPr="0028233E">
              <w:t>. For example, people</w:t>
            </w:r>
            <w:r w:rsidR="00385F4A">
              <w:t xml:space="preserve"> </w:t>
            </w:r>
            <w:r>
              <w:t>aged 55 or over</w:t>
            </w:r>
            <w:r w:rsidR="00385F4A">
              <w:t xml:space="preserve"> — who tend to be retired —</w:t>
            </w:r>
            <w:r w:rsidRPr="0028233E">
              <w:t xml:space="preserve"> reported spells of </w:t>
            </w:r>
            <w:proofErr w:type="spellStart"/>
            <w:r w:rsidRPr="0028233E">
              <w:t>NILF</w:t>
            </w:r>
            <w:proofErr w:type="spellEnd"/>
            <w:r w:rsidRPr="0028233E">
              <w:t xml:space="preserve"> more accurately than they reported spells of unemployment or employment. </w:t>
            </w:r>
            <w:r>
              <w:t xml:space="preserve">Similarly, </w:t>
            </w:r>
            <w:r w:rsidR="00385F4A">
              <w:t xml:space="preserve">people </w:t>
            </w:r>
            <w:r>
              <w:t xml:space="preserve">aged 15–24 years </w:t>
            </w:r>
            <w:r w:rsidR="00385F4A">
              <w:t xml:space="preserve">— for whom study is common — </w:t>
            </w:r>
            <w:r>
              <w:t xml:space="preserve">were less likely than </w:t>
            </w:r>
            <w:r w:rsidR="00385F4A">
              <w:t>older</w:t>
            </w:r>
            <w:r>
              <w:t xml:space="preserve"> people to make mistakes recalling spells of </w:t>
            </w:r>
            <w:r w:rsidR="00385F4A">
              <w:t>(</w:t>
            </w:r>
            <w:r>
              <w:t>full</w:t>
            </w:r>
            <w:r w:rsidR="00C6017F">
              <w:noBreakHyphen/>
            </w:r>
            <w:r>
              <w:t>time</w:t>
            </w:r>
            <w:r w:rsidR="00385F4A">
              <w:t>)</w:t>
            </w:r>
            <w:r>
              <w:t xml:space="preserve"> education. </w:t>
            </w:r>
          </w:p>
          <w:p w:rsidR="00114899" w:rsidRDefault="00114899" w:rsidP="00DD7A4B">
            <w:pPr>
              <w:pStyle w:val="Box"/>
            </w:pPr>
            <w:r>
              <w:t xml:space="preserve">Individuals tended to make consistent errors in forgetting or remembering spells across </w:t>
            </w:r>
            <w:r w:rsidR="000012D6">
              <w:t xml:space="preserve">the </w:t>
            </w:r>
            <w:r>
              <w:t>waves.</w:t>
            </w:r>
          </w:p>
          <w:p w:rsidR="00114899" w:rsidRDefault="00114899" w:rsidP="00C976B2">
            <w:pPr>
              <w:pStyle w:val="Box"/>
            </w:pPr>
            <w:r>
              <w:t>I</w:t>
            </w:r>
            <w:r w:rsidRPr="00776A5E">
              <w:t>t is important to consider that</w:t>
            </w:r>
            <w:r>
              <w:t xml:space="preserve"> Watson’s study considered recall errors</w:t>
            </w:r>
            <w:r w:rsidR="008D4B12">
              <w:t xml:space="preserve"> </w:t>
            </w:r>
            <w:r>
              <w:t>within the overlaps.</w:t>
            </w:r>
            <w:r w:rsidRPr="00776A5E">
              <w:t xml:space="preserve"> </w:t>
            </w:r>
            <w:r>
              <w:t>R</w:t>
            </w:r>
            <w:r w:rsidRPr="00776A5E">
              <w:t xml:space="preserve">ecall </w:t>
            </w:r>
            <w:r>
              <w:t>error</w:t>
            </w:r>
            <w:r w:rsidRPr="00776A5E">
              <w:t xml:space="preserve">s </w:t>
            </w:r>
            <w:r>
              <w:t>are</w:t>
            </w:r>
            <w:r w:rsidRPr="00776A5E">
              <w:t xml:space="preserve"> less likely </w:t>
            </w:r>
            <w:r>
              <w:t>in</w:t>
            </w:r>
            <w:r w:rsidR="00C976B2">
              <w:t xml:space="preserve"> the</w:t>
            </w:r>
            <w:r w:rsidRPr="00776A5E">
              <w:t xml:space="preserve"> non</w:t>
            </w:r>
            <w:r w:rsidR="00C6017F">
              <w:noBreakHyphen/>
            </w:r>
            <w:r w:rsidRPr="00776A5E">
              <w:t xml:space="preserve">overlapping </w:t>
            </w:r>
            <w:r>
              <w:t>months</w:t>
            </w:r>
            <w:r w:rsidR="00C976B2">
              <w:t xml:space="preserve"> between surveys</w:t>
            </w:r>
            <w:r w:rsidRPr="00776A5E">
              <w:t xml:space="preserve"> </w:t>
            </w:r>
            <w:r w:rsidR="00C976B2">
              <w:t>because</w:t>
            </w:r>
            <w:r>
              <w:t xml:space="preserve"> there is less time between the survey and the period </w:t>
            </w:r>
            <w:r w:rsidR="00C976B2">
              <w:t>being recalled</w:t>
            </w:r>
            <w:r>
              <w:t>.</w:t>
            </w:r>
            <w:r w:rsidR="008D4B12" w:rsidDel="008D4B12">
              <w:rPr>
                <w:rStyle w:val="FootnoteReference"/>
              </w:rPr>
              <w:t xml:space="preserve"> </w:t>
            </w:r>
          </w:p>
        </w:tc>
      </w:tr>
      <w:tr w:rsidR="00114899" w:rsidTr="00DD7A4B">
        <w:trPr>
          <w:cantSplit/>
        </w:trPr>
        <w:tc>
          <w:tcPr>
            <w:tcW w:w="8771" w:type="dxa"/>
            <w:tcBorders>
              <w:top w:val="nil"/>
              <w:left w:val="single" w:sz="6" w:space="0" w:color="auto"/>
              <w:bottom w:val="nil"/>
              <w:right w:val="single" w:sz="6" w:space="0" w:color="auto"/>
            </w:tcBorders>
          </w:tcPr>
          <w:p w:rsidR="00114899" w:rsidRDefault="00114899" w:rsidP="00DD7A4B">
            <w:pPr>
              <w:pStyle w:val="BoxSource"/>
            </w:pPr>
            <w:r>
              <w:rPr>
                <w:i/>
              </w:rPr>
              <w:t>Source</w:t>
            </w:r>
            <w:r w:rsidRPr="00167F06">
              <w:t xml:space="preserve">: </w:t>
            </w:r>
            <w:r>
              <w:t>Watson (2009).</w:t>
            </w:r>
          </w:p>
        </w:tc>
      </w:tr>
      <w:tr w:rsidR="00114899" w:rsidTr="00DD7A4B">
        <w:trPr>
          <w:cantSplit/>
        </w:trPr>
        <w:tc>
          <w:tcPr>
            <w:tcW w:w="8771" w:type="dxa"/>
            <w:tcBorders>
              <w:top w:val="nil"/>
              <w:left w:val="single" w:sz="6" w:space="0" w:color="auto"/>
              <w:bottom w:val="single" w:sz="6" w:space="0" w:color="auto"/>
              <w:right w:val="single" w:sz="6" w:space="0" w:color="auto"/>
            </w:tcBorders>
          </w:tcPr>
          <w:p w:rsidR="00114899" w:rsidRDefault="00114899" w:rsidP="00DD7A4B">
            <w:pPr>
              <w:pStyle w:val="Box"/>
              <w:spacing w:before="0" w:line="120" w:lineRule="exact"/>
            </w:pPr>
          </w:p>
        </w:tc>
      </w:tr>
      <w:tr w:rsidR="00114899" w:rsidRPr="000863A5" w:rsidTr="00DD7A4B">
        <w:tc>
          <w:tcPr>
            <w:tcW w:w="8771" w:type="dxa"/>
            <w:tcBorders>
              <w:top w:val="nil"/>
              <w:left w:val="nil"/>
              <w:bottom w:val="nil"/>
              <w:right w:val="nil"/>
            </w:tcBorders>
          </w:tcPr>
          <w:p w:rsidR="00114899" w:rsidRPr="00626D32" w:rsidRDefault="00114899" w:rsidP="00DD7A4B">
            <w:pPr>
              <w:pStyle w:val="BoxSpaceBelow"/>
            </w:pPr>
          </w:p>
        </w:tc>
      </w:tr>
    </w:tbl>
    <w:p w:rsidR="00114899" w:rsidRDefault="00114899" w:rsidP="00114899">
      <w:pPr>
        <w:pStyle w:val="Heading3"/>
      </w:pPr>
      <w:r>
        <w:t xml:space="preserve">Other potential sources of bias </w:t>
      </w:r>
    </w:p>
    <w:p w:rsidR="00114899" w:rsidRPr="00E36076" w:rsidRDefault="00114899" w:rsidP="00E36076">
      <w:pPr>
        <w:pStyle w:val="BodyText"/>
      </w:pPr>
      <w:r w:rsidRPr="00E36076">
        <w:t>The dataset used in this study includes ten years of data. It is not possible to see how long an individual has been in an activity prior to the start of the period, and likewise, it is not possible to know how long an individual will remain in an activity beyond the observation period. The data are</w:t>
      </w:r>
      <w:r w:rsidR="006307CE">
        <w:t>,</w:t>
      </w:r>
      <w:r w:rsidRPr="00E36076">
        <w:t xml:space="preserve"> therefore</w:t>
      </w:r>
      <w:r w:rsidR="006307CE">
        <w:t>,</w:t>
      </w:r>
      <w:r w:rsidRPr="00E36076">
        <w:t xml:space="preserve"> left and right censored, and this will tend to shorten the average duration of the activities affected, as the</w:t>
      </w:r>
      <w:r w:rsidR="006307CE">
        <w:t xml:space="preserve"> duration measures</w:t>
      </w:r>
      <w:r w:rsidRPr="00E36076">
        <w:t xml:space="preserve"> </w:t>
      </w:r>
      <w:r w:rsidR="006307CE">
        <w:t>are not adjusted for censoring.</w:t>
      </w:r>
    </w:p>
    <w:p w:rsidR="00114899" w:rsidRPr="00E36076" w:rsidRDefault="00114899" w:rsidP="00E36076">
      <w:pPr>
        <w:pStyle w:val="BodyText"/>
      </w:pPr>
      <w:r w:rsidRPr="00E36076">
        <w:lastRenderedPageBreak/>
        <w:t>Another potential source of bias in the results</w:t>
      </w:r>
      <w:r w:rsidR="00C976B2" w:rsidRPr="00E36076">
        <w:t xml:space="preserve"> of this analysis</w:t>
      </w:r>
      <w:r w:rsidRPr="00E36076">
        <w:t xml:space="preserve"> is the use of time of survey data to impute possible reasons why individuals are in particular activities between surveys. This may not be reasonable for individuals who have had changes in activities between surveys. However, it is unlikely that many of the characteristics of interest (the number of children, for example), are likely to be significantly </w:t>
      </w:r>
      <w:r w:rsidR="000108A2" w:rsidRPr="00E36076">
        <w:t>out of step</w:t>
      </w:r>
      <w:r w:rsidRPr="00E36076">
        <w:t xml:space="preserve"> between two waves. </w:t>
      </w:r>
    </w:p>
    <w:p w:rsidR="00114899" w:rsidRPr="00114899" w:rsidRDefault="00114899" w:rsidP="00E36076">
      <w:pPr>
        <w:pStyle w:val="BodyText"/>
      </w:pPr>
      <w:r w:rsidRPr="00E36076">
        <w:t xml:space="preserve">Similarly, it would be unreliable to impute annual income based on income reported at the time of </w:t>
      </w:r>
      <w:r w:rsidR="006307CE">
        <w:t xml:space="preserve">the </w:t>
      </w:r>
      <w:r w:rsidRPr="00E36076">
        <w:t xml:space="preserve">survey </w:t>
      </w:r>
      <w:r w:rsidRPr="00114899">
        <w:t xml:space="preserve">for someone who frequently cycles in and out of employment. </w:t>
      </w:r>
      <w:r w:rsidR="008D4B12">
        <w:t xml:space="preserve">On the other hand, </w:t>
      </w:r>
      <w:r w:rsidRPr="00114899">
        <w:t>for individuals who are in steady employment, it could be reasonable to impute income data in this way</w:t>
      </w:r>
      <w:r w:rsidRPr="00E36076">
        <w:rPr>
          <w:lang w:eastAsia="en-US"/>
        </w:rPr>
        <w:t xml:space="preserve">. </w:t>
      </w:r>
    </w:p>
    <w:p w:rsidR="00114899" w:rsidRPr="002B78A1" w:rsidRDefault="00114899" w:rsidP="002B78A1">
      <w:pPr>
        <w:pStyle w:val="Heading3"/>
        <w:rPr>
          <w:rStyle w:val="DraftingNote"/>
          <w:b/>
          <w:color w:val="auto"/>
          <w:sz w:val="26"/>
          <w:u w:val="none"/>
        </w:rPr>
      </w:pPr>
      <w:r w:rsidRPr="002B78A1">
        <w:rPr>
          <w:rStyle w:val="DraftingNote"/>
          <w:b/>
          <w:color w:val="auto"/>
          <w:sz w:val="26"/>
          <w:u w:val="none"/>
        </w:rPr>
        <w:t>What are the possible impacts</w:t>
      </w:r>
      <w:r w:rsidR="006307CE">
        <w:rPr>
          <w:rStyle w:val="DraftingNote"/>
          <w:b/>
          <w:color w:val="auto"/>
          <w:sz w:val="26"/>
          <w:u w:val="none"/>
        </w:rPr>
        <w:t xml:space="preserve"> of bias</w:t>
      </w:r>
      <w:r w:rsidRPr="002B78A1">
        <w:rPr>
          <w:rStyle w:val="DraftingNote"/>
          <w:b/>
          <w:color w:val="auto"/>
          <w:sz w:val="26"/>
          <w:u w:val="none"/>
        </w:rPr>
        <w:t>?</w:t>
      </w:r>
    </w:p>
    <w:p w:rsidR="00114899" w:rsidRPr="00114899" w:rsidRDefault="00114899" w:rsidP="00114899">
      <w:pPr>
        <w:pStyle w:val="BodyText"/>
      </w:pPr>
      <w:r w:rsidRPr="002B78A1">
        <w:t>The above discussion has revealed that there are some sources of bias that are likely to affect the results of this analysis. Table</w:t>
      </w:r>
      <w:r w:rsidR="003B56C4" w:rsidRPr="002B78A1">
        <w:t> </w:t>
      </w:r>
      <w:proofErr w:type="spellStart"/>
      <w:r w:rsidR="00805798" w:rsidRPr="002B78A1">
        <w:t>A.2</w:t>
      </w:r>
      <w:proofErr w:type="spellEnd"/>
      <w:r w:rsidRPr="002B78A1">
        <w:t xml:space="preserve"> </w:t>
      </w:r>
      <w:r w:rsidRPr="00E36076">
        <w:rPr>
          <w:lang w:eastAsia="en-US"/>
        </w:rPr>
        <w:t>summarises these impacts where they differ by pathway within an age segment. It therefore does not show the impact of having a sub</w:t>
      </w:r>
      <w:r w:rsidRPr="00E36076">
        <w:rPr>
          <w:lang w:eastAsia="en-US"/>
        </w:rPr>
        <w:noBreakHyphen/>
        <w:t>sample with relatively too few youth</w:t>
      </w:r>
      <w:r w:rsidR="005F53A7" w:rsidRPr="00E36076">
        <w:rPr>
          <w:lang w:eastAsia="en-US"/>
        </w:rPr>
        <w:t>s</w:t>
      </w:r>
      <w:r w:rsidRPr="00E36076">
        <w:rPr>
          <w:lang w:eastAsia="en-US"/>
        </w:rPr>
        <w:t xml:space="preserve"> and seniors compared to the HILDA sample in wave 1. </w:t>
      </w:r>
      <w:r w:rsidR="008D4B12" w:rsidRPr="00E36076">
        <w:rPr>
          <w:lang w:eastAsia="en-US"/>
        </w:rPr>
        <w:t xml:space="preserve">In addition, </w:t>
      </w:r>
      <w:r w:rsidR="008D4B12">
        <w:t xml:space="preserve">it </w:t>
      </w:r>
      <w:r w:rsidRPr="00114899">
        <w:t xml:space="preserve">does </w:t>
      </w:r>
      <w:r w:rsidR="008D4B12">
        <w:t>no</w:t>
      </w:r>
      <w:r w:rsidRPr="00114899">
        <w:t xml:space="preserve">t attempt to capture the impacts of imputing data based on </w:t>
      </w:r>
      <w:proofErr w:type="spellStart"/>
      <w:r w:rsidR="006307CE">
        <w:t>TOS</w:t>
      </w:r>
      <w:proofErr w:type="spellEnd"/>
      <w:r w:rsidRPr="00114899">
        <w:t xml:space="preserve"> data, or the effect of censoring. </w:t>
      </w:r>
      <w:proofErr w:type="spellStart"/>
      <w:r w:rsidRPr="00114899">
        <w:t>T</w:t>
      </w:r>
      <w:r w:rsidR="006307CE">
        <w:t>OS</w:t>
      </w:r>
      <w:proofErr w:type="spellEnd"/>
      <w:r w:rsidRPr="00114899">
        <w:t xml:space="preserve"> data do not </w:t>
      </w:r>
      <w:r w:rsidR="007555C9">
        <w:t>affect</w:t>
      </w:r>
      <w:r w:rsidRPr="00114899">
        <w:t xml:space="preserve"> the pathways observed, but </w:t>
      </w:r>
      <w:r w:rsidR="007555C9">
        <w:t>do</w:t>
      </w:r>
      <w:r w:rsidRPr="00114899">
        <w:t xml:space="preserve"> affect the explanations of the patterns of activities in the different pathways.</w:t>
      </w:r>
    </w:p>
    <w:p w:rsidR="00114899" w:rsidRPr="002B78A1" w:rsidRDefault="00114899" w:rsidP="002B78A1">
      <w:pPr>
        <w:pStyle w:val="BodyText"/>
        <w:rPr>
          <w:rStyle w:val="DraftingNote"/>
          <w:b w:val="0"/>
          <w:color w:val="auto"/>
          <w:sz w:val="26"/>
          <w:u w:val="none"/>
        </w:rPr>
      </w:pPr>
      <w:r w:rsidRPr="002B78A1">
        <w:rPr>
          <w:rStyle w:val="DraftingNote"/>
          <w:b w:val="0"/>
          <w:color w:val="auto"/>
          <w:sz w:val="26"/>
          <w:u w:val="none"/>
        </w:rPr>
        <w:t>Censoring does not affect the size of the pathways, or the appearance of the pathways for the ten year</w:t>
      </w:r>
      <w:r w:rsidR="007555C9" w:rsidRPr="002B78A1">
        <w:rPr>
          <w:rStyle w:val="DraftingNote"/>
          <w:b w:val="0"/>
          <w:color w:val="auto"/>
          <w:sz w:val="26"/>
          <w:u w:val="none"/>
        </w:rPr>
        <w:t>s</w:t>
      </w:r>
      <w:r w:rsidRPr="002B78A1">
        <w:rPr>
          <w:rStyle w:val="DraftingNote"/>
          <w:b w:val="0"/>
          <w:color w:val="auto"/>
          <w:sz w:val="26"/>
          <w:u w:val="none"/>
        </w:rPr>
        <w:t xml:space="preserve"> consider</w:t>
      </w:r>
      <w:r w:rsidR="008D4B12" w:rsidRPr="002B78A1">
        <w:rPr>
          <w:rStyle w:val="DraftingNote"/>
          <w:b w:val="0"/>
          <w:color w:val="auto"/>
          <w:sz w:val="26"/>
          <w:u w:val="none"/>
        </w:rPr>
        <w:t>ed</w:t>
      </w:r>
      <w:r w:rsidRPr="002B78A1">
        <w:rPr>
          <w:rStyle w:val="DraftingNote"/>
          <w:b w:val="0"/>
          <w:color w:val="auto"/>
          <w:sz w:val="26"/>
          <w:u w:val="none"/>
        </w:rPr>
        <w:t xml:space="preserve">. It affects the descriptive analysis of the pathways by </w:t>
      </w:r>
      <w:r w:rsidR="00296DF8" w:rsidRPr="002B78A1">
        <w:rPr>
          <w:rStyle w:val="DraftingNote"/>
          <w:b w:val="0"/>
          <w:color w:val="auto"/>
          <w:sz w:val="26"/>
          <w:u w:val="none"/>
        </w:rPr>
        <w:t>censoring</w:t>
      </w:r>
      <w:r w:rsidRPr="002B78A1">
        <w:rPr>
          <w:rStyle w:val="DraftingNote"/>
          <w:b w:val="0"/>
          <w:color w:val="auto"/>
          <w:sz w:val="26"/>
          <w:u w:val="none"/>
        </w:rPr>
        <w:t xml:space="preserve"> spells at the start and the end of the observation period. For pathways that are characterised by spells of short duration, this </w:t>
      </w:r>
      <w:r w:rsidR="007555C9" w:rsidRPr="002B78A1">
        <w:rPr>
          <w:rStyle w:val="DraftingNote"/>
          <w:b w:val="0"/>
          <w:color w:val="auto"/>
          <w:sz w:val="26"/>
          <w:u w:val="none"/>
        </w:rPr>
        <w:t>does not</w:t>
      </w:r>
      <w:r w:rsidRPr="002B78A1">
        <w:rPr>
          <w:rStyle w:val="DraftingNote"/>
          <w:b w:val="0"/>
          <w:color w:val="auto"/>
          <w:sz w:val="26"/>
          <w:u w:val="none"/>
        </w:rPr>
        <w:t xml:space="preserve"> have a significant impact on average spell lengths. However, it is something to </w:t>
      </w:r>
      <w:r w:rsidR="008D4B12" w:rsidRPr="002B78A1">
        <w:rPr>
          <w:rStyle w:val="DraftingNote"/>
          <w:b w:val="0"/>
          <w:color w:val="auto"/>
          <w:sz w:val="26"/>
          <w:u w:val="none"/>
        </w:rPr>
        <w:t xml:space="preserve">bear </w:t>
      </w:r>
      <w:r w:rsidRPr="002B78A1">
        <w:rPr>
          <w:rStyle w:val="DraftingNote"/>
          <w:b w:val="0"/>
          <w:color w:val="auto"/>
          <w:sz w:val="26"/>
          <w:u w:val="none"/>
        </w:rPr>
        <w:t>in mind when considering longer spells at the start or the end</w:t>
      </w:r>
      <w:r w:rsidR="006307CE">
        <w:rPr>
          <w:rStyle w:val="DraftingNote"/>
          <w:b w:val="0"/>
          <w:color w:val="auto"/>
          <w:sz w:val="26"/>
          <w:u w:val="none"/>
        </w:rPr>
        <w:t xml:space="preserve"> of the ten-year period</w:t>
      </w:r>
      <w:r w:rsidRPr="002B78A1">
        <w:rPr>
          <w:rStyle w:val="DraftingNote"/>
          <w:b w:val="0"/>
          <w:color w:val="auto"/>
          <w:sz w:val="26"/>
          <w:u w:val="none"/>
        </w:rPr>
        <w:t xml:space="preserve">, and especially those that span the whole </w:t>
      </w:r>
      <w:r w:rsidR="001962C8">
        <w:rPr>
          <w:rStyle w:val="DraftingNote"/>
          <w:b w:val="0"/>
          <w:color w:val="auto"/>
          <w:sz w:val="26"/>
          <w:u w:val="none"/>
        </w:rPr>
        <w:t xml:space="preserve">ten </w:t>
      </w:r>
      <w:r w:rsidRPr="002B78A1">
        <w:rPr>
          <w:rStyle w:val="DraftingNote"/>
          <w:b w:val="0"/>
          <w:color w:val="auto"/>
          <w:sz w:val="26"/>
          <w:u w:val="none"/>
        </w:rPr>
        <w:t>years. This will m</w:t>
      </w:r>
      <w:r w:rsidR="008D4B12" w:rsidRPr="002B78A1">
        <w:rPr>
          <w:rStyle w:val="DraftingNote"/>
          <w:b w:val="0"/>
          <w:color w:val="auto"/>
          <w:sz w:val="26"/>
          <w:u w:val="none"/>
        </w:rPr>
        <w:t>ain</w:t>
      </w:r>
      <w:r w:rsidRPr="002B78A1">
        <w:rPr>
          <w:rStyle w:val="DraftingNote"/>
          <w:b w:val="0"/>
          <w:color w:val="auto"/>
          <w:sz w:val="26"/>
          <w:u w:val="none"/>
        </w:rPr>
        <w:t xml:space="preserve">ly affect individuals in the </w:t>
      </w:r>
      <w:r w:rsidRPr="002B78A1">
        <w:rPr>
          <w:rStyle w:val="DraftingNote"/>
          <w:b w:val="0"/>
          <w:i/>
          <w:color w:val="auto"/>
          <w:sz w:val="26"/>
          <w:u w:val="none"/>
        </w:rPr>
        <w:t>Work</w:t>
      </w:r>
      <w:r w:rsidRPr="002B78A1">
        <w:rPr>
          <w:rStyle w:val="DraftingNote"/>
          <w:b w:val="0"/>
          <w:color w:val="auto"/>
          <w:sz w:val="26"/>
          <w:u w:val="none"/>
        </w:rPr>
        <w:t xml:space="preserve"> pathways, and the </w:t>
      </w:r>
      <w:r w:rsidRPr="002B78A1">
        <w:rPr>
          <w:rStyle w:val="DraftingNote"/>
          <w:b w:val="0"/>
          <w:i/>
          <w:color w:val="auto"/>
          <w:sz w:val="26"/>
          <w:u w:val="none"/>
        </w:rPr>
        <w:t xml:space="preserve">Prolonged </w:t>
      </w:r>
      <w:proofErr w:type="spellStart"/>
      <w:r w:rsidRPr="002B78A1">
        <w:rPr>
          <w:rStyle w:val="DraftingNote"/>
          <w:b w:val="0"/>
          <w:i/>
          <w:color w:val="auto"/>
          <w:sz w:val="26"/>
          <w:u w:val="none"/>
        </w:rPr>
        <w:t>NILF</w:t>
      </w:r>
      <w:proofErr w:type="spellEnd"/>
      <w:r w:rsidRPr="002B78A1">
        <w:rPr>
          <w:rStyle w:val="DraftingNote"/>
          <w:b w:val="0"/>
          <w:color w:val="auto"/>
          <w:sz w:val="26"/>
          <w:u w:val="none"/>
        </w:rPr>
        <w:t xml:space="preserve"> and </w:t>
      </w:r>
      <w:proofErr w:type="spellStart"/>
      <w:r w:rsidRPr="002B78A1">
        <w:rPr>
          <w:rStyle w:val="DraftingNote"/>
          <w:b w:val="0"/>
          <w:i/>
          <w:color w:val="auto"/>
          <w:sz w:val="26"/>
          <w:u w:val="none"/>
        </w:rPr>
        <w:t>NILF</w:t>
      </w:r>
      <w:proofErr w:type="spellEnd"/>
      <w:r w:rsidRPr="002B78A1">
        <w:rPr>
          <w:rStyle w:val="DraftingNote"/>
          <w:b w:val="0"/>
          <w:color w:val="auto"/>
          <w:sz w:val="26"/>
          <w:u w:val="none"/>
        </w:rPr>
        <w:t xml:space="preserve"> pathways.</w:t>
      </w:r>
    </w:p>
    <w:p w:rsidR="0002549D" w:rsidRDefault="0002549D" w:rsidP="0002549D">
      <w:pPr>
        <w:pStyle w:val="TableTitle"/>
      </w:pPr>
      <w:r>
        <w:rPr>
          <w:b w:val="0"/>
        </w:rPr>
        <w:lastRenderedPageBreak/>
        <w:t xml:space="preserve">Table </w:t>
      </w:r>
      <w:bookmarkStart w:id="15" w:name="OLE_LINK11"/>
      <w:proofErr w:type="spellStart"/>
      <w:r w:rsidR="00805798">
        <w:rPr>
          <w:b w:val="0"/>
        </w:rPr>
        <w:t>A.</w:t>
      </w:r>
      <w:r w:rsidR="00476C58">
        <w:rPr>
          <w:b w:val="0"/>
          <w:noProof/>
        </w:rPr>
        <w:t>2</w:t>
      </w:r>
      <w:bookmarkEnd w:id="15"/>
      <w:proofErr w:type="spellEnd"/>
      <w:r>
        <w:tab/>
        <w:t>Summary of potential impacts of bias on pathway characteristics</w:t>
      </w:r>
    </w:p>
    <w:p w:rsidR="0002549D" w:rsidRDefault="0002549D" w:rsidP="0002549D">
      <w:pPr>
        <w:pStyle w:val="Subtitle"/>
      </w:pPr>
      <w:r>
        <w:t>By pathway</w:t>
      </w:r>
    </w:p>
    <w:tbl>
      <w:tblPr>
        <w:tblW w:w="5000" w:type="pct"/>
        <w:tblLayout w:type="fixed"/>
        <w:tblCellMar>
          <w:left w:w="0" w:type="dxa"/>
          <w:right w:w="0" w:type="dxa"/>
        </w:tblCellMar>
        <w:tblLook w:val="0000" w:firstRow="0" w:lastRow="0" w:firstColumn="0" w:lastColumn="0" w:noHBand="0" w:noVBand="0"/>
      </w:tblPr>
      <w:tblGrid>
        <w:gridCol w:w="2552"/>
        <w:gridCol w:w="2410"/>
        <w:gridCol w:w="1134"/>
        <w:gridCol w:w="1274"/>
        <w:gridCol w:w="1419"/>
      </w:tblGrid>
      <w:tr w:rsidR="00144AB9" w:rsidTr="00144AB9">
        <w:tc>
          <w:tcPr>
            <w:tcW w:w="1452" w:type="pct"/>
            <w:tcBorders>
              <w:top w:val="single" w:sz="6" w:space="0" w:color="auto"/>
            </w:tcBorders>
            <w:vAlign w:val="bottom"/>
          </w:tcPr>
          <w:p w:rsidR="00144AB9" w:rsidRDefault="00144AB9" w:rsidP="00385F4A">
            <w:pPr>
              <w:pStyle w:val="TableColumnHeading"/>
              <w:jc w:val="left"/>
            </w:pPr>
          </w:p>
        </w:tc>
        <w:tc>
          <w:tcPr>
            <w:tcW w:w="3548" w:type="pct"/>
            <w:gridSpan w:val="4"/>
            <w:tcBorders>
              <w:top w:val="single" w:sz="6" w:space="0" w:color="auto"/>
              <w:bottom w:val="single" w:sz="6" w:space="0" w:color="auto"/>
            </w:tcBorders>
            <w:vAlign w:val="bottom"/>
          </w:tcPr>
          <w:p w:rsidR="00144AB9" w:rsidRDefault="00144AB9" w:rsidP="00144AB9">
            <w:pPr>
              <w:pStyle w:val="TableColumnHeading"/>
              <w:ind w:right="0" w:firstLine="279"/>
              <w:jc w:val="center"/>
            </w:pPr>
            <w:r>
              <w:t>Source of bias</w:t>
            </w:r>
          </w:p>
        </w:tc>
      </w:tr>
      <w:tr w:rsidR="0002549D" w:rsidTr="00144AB9">
        <w:tc>
          <w:tcPr>
            <w:tcW w:w="1452" w:type="pct"/>
            <w:tcBorders>
              <w:bottom w:val="single" w:sz="6" w:space="0" w:color="auto"/>
            </w:tcBorders>
            <w:vAlign w:val="bottom"/>
          </w:tcPr>
          <w:p w:rsidR="0002549D" w:rsidRDefault="0002549D" w:rsidP="00867CE8">
            <w:pPr>
              <w:pStyle w:val="TableColumnHeading"/>
              <w:jc w:val="left"/>
              <w:rPr>
                <w:szCs w:val="22"/>
                <w:lang w:eastAsia="en-US"/>
              </w:rPr>
            </w:pPr>
            <w:r>
              <w:t>Pathway</w:t>
            </w:r>
          </w:p>
        </w:tc>
        <w:tc>
          <w:tcPr>
            <w:tcW w:w="1371" w:type="pct"/>
            <w:tcBorders>
              <w:top w:val="single" w:sz="6" w:space="0" w:color="auto"/>
              <w:bottom w:val="single" w:sz="6" w:space="0" w:color="auto"/>
            </w:tcBorders>
            <w:vAlign w:val="bottom"/>
          </w:tcPr>
          <w:p w:rsidR="0002549D" w:rsidRDefault="0002549D" w:rsidP="00144AB9">
            <w:pPr>
              <w:pStyle w:val="TableColumnHeading"/>
              <w:jc w:val="left"/>
            </w:pPr>
            <w:r>
              <w:t>Data aggregation rules</w:t>
            </w:r>
            <w:r w:rsidRPr="00687938">
              <w:rPr>
                <w:rStyle w:val="NoteLabel"/>
                <w:i w:val="0"/>
              </w:rPr>
              <w:t>a</w:t>
            </w:r>
          </w:p>
        </w:tc>
        <w:tc>
          <w:tcPr>
            <w:tcW w:w="645" w:type="pct"/>
            <w:tcBorders>
              <w:top w:val="single" w:sz="6" w:space="0" w:color="auto"/>
              <w:bottom w:val="single" w:sz="6" w:space="0" w:color="auto"/>
            </w:tcBorders>
            <w:vAlign w:val="bottom"/>
          </w:tcPr>
          <w:p w:rsidR="0002549D" w:rsidRPr="00D747CE" w:rsidRDefault="0002549D" w:rsidP="00144AB9">
            <w:pPr>
              <w:pStyle w:val="TableColumnHeading"/>
              <w:spacing w:line="200" w:lineRule="exact"/>
              <w:jc w:val="left"/>
              <w:rPr>
                <w:rStyle w:val="NoteLabel"/>
                <w:b w:val="0"/>
                <w:szCs w:val="22"/>
                <w:lang w:eastAsia="en-US"/>
              </w:rPr>
            </w:pPr>
            <w:r>
              <w:t>Sample selection</w:t>
            </w:r>
            <w:r w:rsidRPr="00687938">
              <w:rPr>
                <w:rStyle w:val="NoteLabel"/>
                <w:i w:val="0"/>
              </w:rPr>
              <w:t>b</w:t>
            </w:r>
          </w:p>
        </w:tc>
        <w:tc>
          <w:tcPr>
            <w:tcW w:w="725" w:type="pct"/>
            <w:tcBorders>
              <w:top w:val="single" w:sz="6" w:space="0" w:color="auto"/>
              <w:bottom w:val="single" w:sz="6" w:space="0" w:color="auto"/>
            </w:tcBorders>
            <w:vAlign w:val="bottom"/>
          </w:tcPr>
          <w:p w:rsidR="0002549D" w:rsidRPr="00F90164" w:rsidRDefault="0002549D" w:rsidP="00754315">
            <w:pPr>
              <w:pStyle w:val="TableColumnHeading"/>
              <w:jc w:val="left"/>
              <w:rPr>
                <w:rStyle w:val="NoteLabel"/>
                <w:b w:val="0"/>
                <w:szCs w:val="22"/>
                <w:lang w:eastAsia="en-US"/>
              </w:rPr>
            </w:pPr>
            <w:r>
              <w:t>Attrition</w:t>
            </w:r>
            <w:r w:rsidRPr="00687938">
              <w:rPr>
                <w:rStyle w:val="NoteLabel"/>
                <w:i w:val="0"/>
              </w:rPr>
              <w:t>c</w:t>
            </w:r>
          </w:p>
        </w:tc>
        <w:tc>
          <w:tcPr>
            <w:tcW w:w="807" w:type="pct"/>
            <w:tcBorders>
              <w:top w:val="single" w:sz="6" w:space="0" w:color="auto"/>
              <w:bottom w:val="single" w:sz="6" w:space="0" w:color="auto"/>
            </w:tcBorders>
            <w:vAlign w:val="bottom"/>
          </w:tcPr>
          <w:p w:rsidR="0002549D" w:rsidRPr="00953DF5" w:rsidRDefault="0002549D" w:rsidP="009D5D45">
            <w:pPr>
              <w:pStyle w:val="TableColumnHeading"/>
              <w:ind w:right="0" w:firstLine="279"/>
              <w:jc w:val="left"/>
              <w:rPr>
                <w:rStyle w:val="NoteLabel"/>
                <w:b w:val="0"/>
                <w:szCs w:val="22"/>
                <w:lang w:eastAsia="en-US"/>
              </w:rPr>
            </w:pPr>
            <w:r>
              <w:t>Recall</w:t>
            </w:r>
            <w:r w:rsidRPr="00687938">
              <w:rPr>
                <w:rStyle w:val="NoteLabel"/>
                <w:i w:val="0"/>
              </w:rPr>
              <w:t>d</w:t>
            </w:r>
          </w:p>
        </w:tc>
      </w:tr>
      <w:tr w:rsidR="0002549D" w:rsidRPr="00A96ED0" w:rsidTr="00365F5E">
        <w:trPr>
          <w:trHeight w:val="347"/>
        </w:trPr>
        <w:tc>
          <w:tcPr>
            <w:tcW w:w="1452" w:type="pct"/>
            <w:tcBorders>
              <w:top w:val="single" w:sz="6" w:space="0" w:color="auto"/>
              <w:bottom w:val="dotted" w:sz="4" w:space="0" w:color="auto"/>
            </w:tcBorders>
            <w:vAlign w:val="bottom"/>
          </w:tcPr>
          <w:p w:rsidR="0002549D" w:rsidRPr="00A96ED0" w:rsidRDefault="0002549D" w:rsidP="006E6AF6">
            <w:pPr>
              <w:pStyle w:val="TableBodyText"/>
              <w:jc w:val="left"/>
              <w:rPr>
                <w:sz w:val="18"/>
                <w:szCs w:val="18"/>
              </w:rPr>
            </w:pPr>
            <w:r w:rsidRPr="00A96ED0">
              <w:rPr>
                <w:sz w:val="18"/>
                <w:szCs w:val="18"/>
              </w:rPr>
              <w:t xml:space="preserve">Education to </w:t>
            </w:r>
            <w:r w:rsidR="00DE0B7F">
              <w:rPr>
                <w:sz w:val="18"/>
                <w:szCs w:val="18"/>
              </w:rPr>
              <w:t>W</w:t>
            </w:r>
            <w:r w:rsidRPr="00A96ED0">
              <w:rPr>
                <w:sz w:val="18"/>
                <w:szCs w:val="18"/>
              </w:rPr>
              <w:t>ork (Youths)</w:t>
            </w:r>
          </w:p>
        </w:tc>
        <w:tc>
          <w:tcPr>
            <w:tcW w:w="1371" w:type="pct"/>
            <w:tcBorders>
              <w:top w:val="single" w:sz="6" w:space="0" w:color="auto"/>
              <w:bottom w:val="dotted" w:sz="4" w:space="0" w:color="auto"/>
            </w:tcBorders>
            <w:vAlign w:val="bottom"/>
          </w:tcPr>
          <w:p w:rsidR="0002549D" w:rsidRPr="00A96ED0" w:rsidRDefault="0002549D" w:rsidP="00754315">
            <w:pPr>
              <w:pStyle w:val="TableBodyText"/>
              <w:jc w:val="left"/>
              <w:rPr>
                <w:rStyle w:val="NoteLabel"/>
                <w:b w:val="0"/>
                <w:szCs w:val="18"/>
              </w:rPr>
            </w:pPr>
            <w:r w:rsidRPr="00A96ED0">
              <w:rPr>
                <w:rStyle w:val="NoteLabel"/>
                <w:b w:val="0"/>
                <w:szCs w:val="18"/>
              </w:rPr>
              <w:t>+</w:t>
            </w:r>
            <w:proofErr w:type="spellStart"/>
            <w:r w:rsidRPr="00A96ED0">
              <w:rPr>
                <w:rStyle w:val="NoteLabel"/>
                <w:b w:val="0"/>
                <w:szCs w:val="18"/>
              </w:rPr>
              <w:t>Unemp</w:t>
            </w:r>
            <w:proofErr w:type="spellEnd"/>
            <w:r w:rsidRPr="00A96ED0">
              <w:rPr>
                <w:rStyle w:val="NoteLabel"/>
                <w:b w:val="0"/>
                <w:szCs w:val="18"/>
              </w:rPr>
              <w:t>/</w:t>
            </w:r>
            <w:proofErr w:type="spellStart"/>
            <w:r w:rsidRPr="00A96ED0">
              <w:rPr>
                <w:rStyle w:val="NoteLabel"/>
                <w:b w:val="0"/>
                <w:szCs w:val="18"/>
              </w:rPr>
              <w:t>NILF</w:t>
            </w:r>
            <w:proofErr w:type="spellEnd"/>
            <w:r w:rsidRPr="00A96ED0">
              <w:rPr>
                <w:rStyle w:val="NoteLabel"/>
                <w:b w:val="0"/>
                <w:szCs w:val="18"/>
              </w:rPr>
              <w:t xml:space="preserve"> &amp; -</w:t>
            </w:r>
            <w:r w:rsidR="00F719EE">
              <w:rPr>
                <w:rStyle w:val="NoteLabel"/>
                <w:b w:val="0"/>
                <w:szCs w:val="18"/>
              </w:rPr>
              <w:t>s</w:t>
            </w:r>
            <w:r w:rsidRPr="00A96ED0">
              <w:rPr>
                <w:rStyle w:val="NoteLabel"/>
                <w:b w:val="0"/>
                <w:szCs w:val="18"/>
              </w:rPr>
              <w:t>tudy</w:t>
            </w:r>
          </w:p>
        </w:tc>
        <w:tc>
          <w:tcPr>
            <w:tcW w:w="645" w:type="pct"/>
            <w:tcBorders>
              <w:top w:val="single" w:sz="6" w:space="0" w:color="auto"/>
              <w:bottom w:val="dotted" w:sz="4" w:space="0" w:color="auto"/>
            </w:tcBorders>
            <w:vAlign w:val="bottom"/>
          </w:tcPr>
          <w:p w:rsidR="0002549D" w:rsidRPr="009D5D45" w:rsidRDefault="0002549D" w:rsidP="009D5D45">
            <w:pPr>
              <w:pStyle w:val="TableBodyText"/>
              <w:ind w:left="284"/>
              <w:jc w:val="left"/>
              <w:rPr>
                <w:rStyle w:val="NoteLabel"/>
                <w:b w:val="0"/>
                <w:szCs w:val="18"/>
              </w:rPr>
            </w:pPr>
          </w:p>
        </w:tc>
        <w:tc>
          <w:tcPr>
            <w:tcW w:w="725" w:type="pct"/>
            <w:tcBorders>
              <w:top w:val="single" w:sz="6" w:space="0" w:color="auto"/>
              <w:bottom w:val="dotted" w:sz="4" w:space="0" w:color="auto"/>
            </w:tcBorders>
            <w:vAlign w:val="bottom"/>
          </w:tcPr>
          <w:p w:rsidR="0002549D" w:rsidRPr="00A96ED0" w:rsidRDefault="0002549D" w:rsidP="009D5D45">
            <w:pPr>
              <w:pStyle w:val="TableBodyText"/>
              <w:ind w:left="283"/>
              <w:jc w:val="left"/>
              <w:rPr>
                <w:i/>
                <w:sz w:val="18"/>
                <w:szCs w:val="18"/>
              </w:rPr>
            </w:pPr>
            <w:r w:rsidRPr="00A96ED0">
              <w:rPr>
                <w:sz w:val="18"/>
                <w:szCs w:val="18"/>
              </w:rPr>
              <w:sym w:font="Wingdings 2" w:char="F050"/>
            </w:r>
          </w:p>
        </w:tc>
        <w:tc>
          <w:tcPr>
            <w:tcW w:w="807" w:type="pct"/>
            <w:tcBorders>
              <w:top w:val="single" w:sz="6" w:space="0" w:color="auto"/>
              <w:bottom w:val="dotted" w:sz="4" w:space="0" w:color="auto"/>
            </w:tcBorders>
            <w:vAlign w:val="bottom"/>
          </w:tcPr>
          <w:p w:rsidR="0002549D" w:rsidRPr="00A96ED0" w:rsidRDefault="0002549D" w:rsidP="009D5D45">
            <w:pPr>
              <w:pStyle w:val="TableBodyText"/>
              <w:ind w:left="143" w:right="0"/>
              <w:jc w:val="left"/>
              <w:rPr>
                <w:i/>
                <w:sz w:val="18"/>
                <w:szCs w:val="18"/>
              </w:rPr>
            </w:pPr>
          </w:p>
        </w:tc>
      </w:tr>
      <w:tr w:rsidR="0002549D" w:rsidRPr="00A96ED0" w:rsidTr="00365F5E">
        <w:tc>
          <w:tcPr>
            <w:tcW w:w="1452" w:type="pct"/>
            <w:tcBorders>
              <w:top w:val="dotted" w:sz="4" w:space="0" w:color="auto"/>
              <w:bottom w:val="dotted" w:sz="4" w:space="0" w:color="auto"/>
            </w:tcBorders>
            <w:vAlign w:val="bottom"/>
          </w:tcPr>
          <w:p w:rsidR="0002549D" w:rsidRPr="00A96ED0" w:rsidRDefault="0002549D" w:rsidP="006E6AF6">
            <w:pPr>
              <w:pStyle w:val="TableBodyText"/>
              <w:jc w:val="left"/>
              <w:rPr>
                <w:sz w:val="18"/>
                <w:szCs w:val="18"/>
              </w:rPr>
            </w:pPr>
            <w:r w:rsidRPr="00A96ED0">
              <w:rPr>
                <w:sz w:val="18"/>
                <w:szCs w:val="18"/>
              </w:rPr>
              <w:t xml:space="preserve">Work and Study to </w:t>
            </w:r>
            <w:r w:rsidR="00DE0B7F">
              <w:rPr>
                <w:sz w:val="18"/>
                <w:szCs w:val="18"/>
              </w:rPr>
              <w:t>W</w:t>
            </w:r>
            <w:r w:rsidRPr="00A96ED0">
              <w:rPr>
                <w:sz w:val="18"/>
                <w:szCs w:val="18"/>
              </w:rPr>
              <w:t>ork (Youths)</w:t>
            </w:r>
          </w:p>
        </w:tc>
        <w:tc>
          <w:tcPr>
            <w:tcW w:w="1371" w:type="pct"/>
            <w:tcBorders>
              <w:top w:val="dotted" w:sz="4" w:space="0" w:color="auto"/>
              <w:bottom w:val="dotted" w:sz="4" w:space="0" w:color="auto"/>
            </w:tcBorders>
            <w:vAlign w:val="bottom"/>
          </w:tcPr>
          <w:p w:rsidR="0002549D" w:rsidRPr="00A96ED0" w:rsidRDefault="0002549D" w:rsidP="00754315">
            <w:pPr>
              <w:pStyle w:val="TableBodyText"/>
              <w:jc w:val="left"/>
              <w:rPr>
                <w:rStyle w:val="NoteLabel"/>
                <w:b w:val="0"/>
                <w:szCs w:val="18"/>
              </w:rPr>
            </w:pPr>
            <w:r>
              <w:rPr>
                <w:rStyle w:val="NoteLabel"/>
                <w:b w:val="0"/>
                <w:szCs w:val="18"/>
              </w:rPr>
              <w:br/>
            </w:r>
            <w:r w:rsidRPr="00A96ED0">
              <w:rPr>
                <w:rStyle w:val="NoteLabel"/>
                <w:b w:val="0"/>
                <w:szCs w:val="18"/>
              </w:rPr>
              <w:t>+</w:t>
            </w:r>
            <w:proofErr w:type="spellStart"/>
            <w:r w:rsidRPr="00A96ED0">
              <w:rPr>
                <w:rStyle w:val="NoteLabel"/>
                <w:b w:val="0"/>
                <w:szCs w:val="18"/>
              </w:rPr>
              <w:t>Unemp</w:t>
            </w:r>
            <w:proofErr w:type="spellEnd"/>
            <w:r w:rsidRPr="00A96ED0">
              <w:rPr>
                <w:rStyle w:val="NoteLabel"/>
                <w:b w:val="0"/>
                <w:szCs w:val="18"/>
              </w:rPr>
              <w:t>/</w:t>
            </w:r>
            <w:proofErr w:type="spellStart"/>
            <w:r w:rsidRPr="00A96ED0">
              <w:rPr>
                <w:rStyle w:val="NoteLabel"/>
                <w:b w:val="0"/>
                <w:szCs w:val="18"/>
              </w:rPr>
              <w:t>NILF</w:t>
            </w:r>
            <w:proofErr w:type="spellEnd"/>
            <w:r w:rsidRPr="00A96ED0">
              <w:rPr>
                <w:rStyle w:val="NoteLabel"/>
                <w:b w:val="0"/>
                <w:szCs w:val="18"/>
              </w:rPr>
              <w:t xml:space="preserve"> &amp; -</w:t>
            </w:r>
            <w:r w:rsidR="00F719EE">
              <w:rPr>
                <w:rStyle w:val="NoteLabel"/>
                <w:b w:val="0"/>
                <w:szCs w:val="18"/>
              </w:rPr>
              <w:t>s</w:t>
            </w:r>
            <w:r w:rsidRPr="00A96ED0">
              <w:rPr>
                <w:rStyle w:val="NoteLabel"/>
                <w:b w:val="0"/>
                <w:szCs w:val="18"/>
              </w:rPr>
              <w:t>tudy</w:t>
            </w:r>
          </w:p>
        </w:tc>
        <w:tc>
          <w:tcPr>
            <w:tcW w:w="645" w:type="pct"/>
            <w:tcBorders>
              <w:top w:val="dotted" w:sz="4" w:space="0" w:color="auto"/>
              <w:bottom w:val="dotted" w:sz="4" w:space="0" w:color="auto"/>
            </w:tcBorders>
            <w:vAlign w:val="bottom"/>
          </w:tcPr>
          <w:p w:rsidR="0002549D" w:rsidRPr="00A96ED0" w:rsidRDefault="0002549D" w:rsidP="009D5D45">
            <w:pPr>
              <w:pStyle w:val="TableBodyText"/>
              <w:ind w:left="284"/>
              <w:jc w:val="left"/>
              <w:rPr>
                <w:sz w:val="18"/>
                <w:szCs w:val="18"/>
                <w:lang w:eastAsia="en-US"/>
              </w:rPr>
            </w:pPr>
          </w:p>
        </w:tc>
        <w:tc>
          <w:tcPr>
            <w:tcW w:w="725" w:type="pct"/>
            <w:tcBorders>
              <w:top w:val="dotted" w:sz="4" w:space="0" w:color="auto"/>
              <w:bottom w:val="dotted" w:sz="4" w:space="0" w:color="auto"/>
            </w:tcBorders>
            <w:vAlign w:val="bottom"/>
          </w:tcPr>
          <w:p w:rsidR="0002549D" w:rsidRPr="00A96ED0" w:rsidRDefault="0002549D" w:rsidP="009D5D45">
            <w:pPr>
              <w:pStyle w:val="TableBodyText"/>
              <w:ind w:left="283"/>
              <w:jc w:val="left"/>
              <w:rPr>
                <w:i/>
                <w:sz w:val="18"/>
                <w:szCs w:val="18"/>
              </w:rPr>
            </w:pPr>
            <w:r>
              <w:rPr>
                <w:sz w:val="18"/>
                <w:szCs w:val="18"/>
              </w:rPr>
              <w:br/>
            </w:r>
            <w:r w:rsidRPr="00A96ED0">
              <w:rPr>
                <w:sz w:val="18"/>
                <w:szCs w:val="18"/>
              </w:rPr>
              <w:sym w:font="Wingdings 2" w:char="F050"/>
            </w:r>
          </w:p>
        </w:tc>
        <w:tc>
          <w:tcPr>
            <w:tcW w:w="807" w:type="pct"/>
            <w:tcBorders>
              <w:top w:val="dotted" w:sz="4" w:space="0" w:color="auto"/>
              <w:bottom w:val="dotted" w:sz="4" w:space="0" w:color="auto"/>
            </w:tcBorders>
            <w:vAlign w:val="bottom"/>
          </w:tcPr>
          <w:p w:rsidR="0002549D" w:rsidRPr="00A96ED0" w:rsidRDefault="0002549D" w:rsidP="009D5D45">
            <w:pPr>
              <w:pStyle w:val="TableBodyText"/>
              <w:ind w:left="143" w:right="0"/>
              <w:jc w:val="left"/>
              <w:rPr>
                <w:i/>
                <w:sz w:val="18"/>
                <w:szCs w:val="18"/>
              </w:rPr>
            </w:pPr>
          </w:p>
        </w:tc>
      </w:tr>
      <w:tr w:rsidR="0002549D" w:rsidRPr="00A96ED0" w:rsidTr="00365F5E">
        <w:tc>
          <w:tcPr>
            <w:tcW w:w="1452" w:type="pct"/>
            <w:tcBorders>
              <w:top w:val="dotted" w:sz="4" w:space="0" w:color="auto"/>
              <w:bottom w:val="dotted" w:sz="4" w:space="0" w:color="auto"/>
            </w:tcBorders>
            <w:shd w:val="clear" w:color="auto" w:fill="auto"/>
            <w:vAlign w:val="bottom"/>
          </w:tcPr>
          <w:p w:rsidR="0002549D" w:rsidRPr="00A96ED0" w:rsidRDefault="0002549D" w:rsidP="006E6AF6">
            <w:pPr>
              <w:pStyle w:val="TableBodyText"/>
              <w:jc w:val="left"/>
              <w:rPr>
                <w:sz w:val="18"/>
                <w:szCs w:val="18"/>
              </w:rPr>
            </w:pPr>
            <w:r w:rsidRPr="00A96ED0">
              <w:rPr>
                <w:sz w:val="18"/>
                <w:szCs w:val="18"/>
              </w:rPr>
              <w:t xml:space="preserve">Churning with </w:t>
            </w:r>
            <w:r w:rsidR="00DE0B7F">
              <w:rPr>
                <w:sz w:val="18"/>
                <w:szCs w:val="18"/>
              </w:rPr>
              <w:t>W</w:t>
            </w:r>
            <w:r w:rsidRPr="00A96ED0">
              <w:rPr>
                <w:sz w:val="18"/>
                <w:szCs w:val="18"/>
              </w:rPr>
              <w:t>ork (Youths)</w:t>
            </w:r>
          </w:p>
        </w:tc>
        <w:tc>
          <w:tcPr>
            <w:tcW w:w="1371" w:type="pct"/>
            <w:tcBorders>
              <w:top w:val="dotted" w:sz="4" w:space="0" w:color="auto"/>
              <w:bottom w:val="dotted" w:sz="4" w:space="0" w:color="auto"/>
            </w:tcBorders>
            <w:vAlign w:val="bottom"/>
          </w:tcPr>
          <w:p w:rsidR="0002549D" w:rsidRPr="00A96ED0" w:rsidRDefault="0002549D" w:rsidP="00754315">
            <w:pPr>
              <w:pStyle w:val="TableBodyText"/>
              <w:jc w:val="left"/>
              <w:rPr>
                <w:sz w:val="18"/>
                <w:szCs w:val="18"/>
              </w:rPr>
            </w:pPr>
          </w:p>
        </w:tc>
        <w:tc>
          <w:tcPr>
            <w:tcW w:w="645" w:type="pct"/>
            <w:tcBorders>
              <w:top w:val="dotted" w:sz="4" w:space="0" w:color="auto"/>
              <w:bottom w:val="dotted" w:sz="4" w:space="0" w:color="auto"/>
            </w:tcBorders>
            <w:vAlign w:val="bottom"/>
          </w:tcPr>
          <w:p w:rsidR="0002549D" w:rsidRPr="00A96ED0" w:rsidRDefault="0002549D" w:rsidP="009D5D45">
            <w:pPr>
              <w:pStyle w:val="TableBodyText"/>
              <w:ind w:left="284"/>
              <w:jc w:val="left"/>
              <w:rPr>
                <w:sz w:val="18"/>
                <w:szCs w:val="18"/>
                <w:lang w:eastAsia="en-US"/>
              </w:rPr>
            </w:pPr>
          </w:p>
        </w:tc>
        <w:tc>
          <w:tcPr>
            <w:tcW w:w="725" w:type="pct"/>
            <w:tcBorders>
              <w:top w:val="dotted" w:sz="4" w:space="0" w:color="auto"/>
              <w:bottom w:val="dotted" w:sz="4" w:space="0" w:color="auto"/>
            </w:tcBorders>
            <w:vAlign w:val="bottom"/>
          </w:tcPr>
          <w:p w:rsidR="0002549D" w:rsidRPr="00A96ED0" w:rsidRDefault="0002549D" w:rsidP="009D5D45">
            <w:pPr>
              <w:pStyle w:val="TableBodyText"/>
              <w:ind w:left="283"/>
              <w:jc w:val="left"/>
              <w:rPr>
                <w:sz w:val="18"/>
                <w:szCs w:val="18"/>
                <w:lang w:eastAsia="en-US"/>
              </w:rPr>
            </w:pPr>
          </w:p>
        </w:tc>
        <w:tc>
          <w:tcPr>
            <w:tcW w:w="807" w:type="pct"/>
            <w:tcBorders>
              <w:top w:val="dotted" w:sz="4" w:space="0" w:color="auto"/>
              <w:bottom w:val="dotted" w:sz="4" w:space="0" w:color="auto"/>
            </w:tcBorders>
            <w:vAlign w:val="bottom"/>
          </w:tcPr>
          <w:p w:rsidR="0002549D" w:rsidRPr="00A96ED0" w:rsidRDefault="0002549D" w:rsidP="009D5D45">
            <w:pPr>
              <w:pStyle w:val="TableBodyText"/>
              <w:ind w:left="143" w:right="0"/>
              <w:jc w:val="left"/>
              <w:rPr>
                <w:i/>
                <w:sz w:val="18"/>
                <w:szCs w:val="18"/>
              </w:rPr>
            </w:pPr>
            <w:r w:rsidRPr="00A96ED0">
              <w:rPr>
                <w:sz w:val="18"/>
                <w:szCs w:val="18"/>
              </w:rPr>
              <w:sym w:font="Wingdings 2" w:char="F050"/>
            </w:r>
            <w:r w:rsidRPr="00A96ED0">
              <w:rPr>
                <w:sz w:val="18"/>
                <w:szCs w:val="18"/>
              </w:rPr>
              <w:t xml:space="preserve"> more spells</w:t>
            </w:r>
          </w:p>
        </w:tc>
      </w:tr>
      <w:tr w:rsidR="0002549D" w:rsidRPr="00A96ED0" w:rsidTr="00365F5E">
        <w:tc>
          <w:tcPr>
            <w:tcW w:w="1452" w:type="pct"/>
            <w:tcBorders>
              <w:top w:val="dotted" w:sz="4" w:space="0" w:color="auto"/>
            </w:tcBorders>
            <w:shd w:val="clear" w:color="auto" w:fill="auto"/>
            <w:vAlign w:val="bottom"/>
          </w:tcPr>
          <w:p w:rsidR="0002549D" w:rsidRPr="00A96ED0" w:rsidRDefault="0002549D" w:rsidP="006E6AF6">
            <w:pPr>
              <w:pStyle w:val="TableBodyText"/>
              <w:ind w:left="284" w:hanging="278"/>
              <w:jc w:val="left"/>
              <w:rPr>
                <w:sz w:val="18"/>
                <w:szCs w:val="18"/>
              </w:rPr>
            </w:pPr>
            <w:r w:rsidRPr="00A96ED0">
              <w:rPr>
                <w:sz w:val="18"/>
                <w:szCs w:val="18"/>
              </w:rPr>
              <w:t xml:space="preserve">Work, with or without </w:t>
            </w:r>
            <w:r w:rsidR="00DE0B7F">
              <w:rPr>
                <w:sz w:val="18"/>
                <w:szCs w:val="18"/>
              </w:rPr>
              <w:t>S</w:t>
            </w:r>
            <w:r w:rsidRPr="00A96ED0">
              <w:rPr>
                <w:sz w:val="18"/>
                <w:szCs w:val="18"/>
              </w:rPr>
              <w:t>tudy</w:t>
            </w:r>
            <w:r>
              <w:rPr>
                <w:sz w:val="18"/>
                <w:szCs w:val="18"/>
              </w:rPr>
              <w:br/>
              <w:t>Youths</w:t>
            </w:r>
          </w:p>
        </w:tc>
        <w:tc>
          <w:tcPr>
            <w:tcW w:w="1371" w:type="pct"/>
            <w:tcBorders>
              <w:top w:val="dotted" w:sz="4" w:space="0" w:color="auto"/>
            </w:tcBorders>
            <w:vAlign w:val="bottom"/>
          </w:tcPr>
          <w:p w:rsidR="0002549D" w:rsidRPr="00A96ED0" w:rsidRDefault="0002549D" w:rsidP="00754315">
            <w:pPr>
              <w:pStyle w:val="TableBodyText"/>
              <w:jc w:val="left"/>
              <w:rPr>
                <w:rStyle w:val="NoteLabel"/>
                <w:b w:val="0"/>
                <w:szCs w:val="18"/>
              </w:rPr>
            </w:pPr>
            <w:r>
              <w:rPr>
                <w:rStyle w:val="NoteLabel"/>
                <w:b w:val="0"/>
                <w:szCs w:val="18"/>
              </w:rPr>
              <w:br/>
            </w:r>
            <w:r w:rsidRPr="00A96ED0">
              <w:rPr>
                <w:rStyle w:val="NoteLabel"/>
                <w:b w:val="0"/>
                <w:szCs w:val="18"/>
              </w:rPr>
              <w:t>+</w:t>
            </w:r>
            <w:proofErr w:type="spellStart"/>
            <w:r w:rsidRPr="00A96ED0">
              <w:rPr>
                <w:rStyle w:val="NoteLabel"/>
                <w:b w:val="0"/>
                <w:szCs w:val="18"/>
              </w:rPr>
              <w:t>Unemp</w:t>
            </w:r>
            <w:proofErr w:type="spellEnd"/>
            <w:r w:rsidRPr="00A96ED0">
              <w:rPr>
                <w:rStyle w:val="NoteLabel"/>
                <w:b w:val="0"/>
                <w:szCs w:val="18"/>
              </w:rPr>
              <w:t>/</w:t>
            </w:r>
            <w:proofErr w:type="spellStart"/>
            <w:r w:rsidRPr="00A96ED0">
              <w:rPr>
                <w:rStyle w:val="NoteLabel"/>
                <w:b w:val="0"/>
                <w:szCs w:val="18"/>
              </w:rPr>
              <w:t>NILF</w:t>
            </w:r>
            <w:proofErr w:type="spellEnd"/>
            <w:r w:rsidRPr="00A96ED0">
              <w:rPr>
                <w:rStyle w:val="NoteLabel"/>
                <w:b w:val="0"/>
                <w:szCs w:val="18"/>
              </w:rPr>
              <w:t xml:space="preserve"> &amp; -</w:t>
            </w:r>
            <w:r w:rsidR="00F719EE">
              <w:rPr>
                <w:rStyle w:val="NoteLabel"/>
                <w:b w:val="0"/>
                <w:szCs w:val="18"/>
              </w:rPr>
              <w:t>s</w:t>
            </w:r>
            <w:r w:rsidRPr="00A96ED0">
              <w:rPr>
                <w:rStyle w:val="NoteLabel"/>
                <w:b w:val="0"/>
                <w:szCs w:val="18"/>
              </w:rPr>
              <w:t>tudy</w:t>
            </w:r>
          </w:p>
        </w:tc>
        <w:tc>
          <w:tcPr>
            <w:tcW w:w="645" w:type="pct"/>
            <w:tcBorders>
              <w:top w:val="dotted" w:sz="4" w:space="0" w:color="auto"/>
            </w:tcBorders>
            <w:vAlign w:val="bottom"/>
          </w:tcPr>
          <w:p w:rsidR="0002549D" w:rsidRPr="00A96ED0" w:rsidRDefault="0002549D" w:rsidP="009D5D45">
            <w:pPr>
              <w:pStyle w:val="TableBodyText"/>
              <w:ind w:left="284"/>
              <w:jc w:val="left"/>
              <w:rPr>
                <w:sz w:val="18"/>
                <w:szCs w:val="18"/>
                <w:lang w:eastAsia="en-US"/>
              </w:rPr>
            </w:pPr>
          </w:p>
        </w:tc>
        <w:tc>
          <w:tcPr>
            <w:tcW w:w="725" w:type="pct"/>
            <w:tcBorders>
              <w:top w:val="dotted" w:sz="4" w:space="0" w:color="auto"/>
            </w:tcBorders>
            <w:vAlign w:val="bottom"/>
          </w:tcPr>
          <w:p w:rsidR="0002549D" w:rsidRPr="00A96ED0" w:rsidRDefault="0002549D" w:rsidP="009D5D45">
            <w:pPr>
              <w:pStyle w:val="TableBodyText"/>
              <w:ind w:left="283"/>
              <w:jc w:val="left"/>
              <w:rPr>
                <w:sz w:val="18"/>
                <w:szCs w:val="18"/>
                <w:lang w:eastAsia="en-US"/>
              </w:rPr>
            </w:pPr>
          </w:p>
        </w:tc>
        <w:tc>
          <w:tcPr>
            <w:tcW w:w="807" w:type="pct"/>
            <w:tcBorders>
              <w:top w:val="dotted" w:sz="4" w:space="0" w:color="auto"/>
            </w:tcBorders>
            <w:vAlign w:val="bottom"/>
          </w:tcPr>
          <w:p w:rsidR="0002549D" w:rsidRPr="00A96ED0" w:rsidRDefault="0002549D" w:rsidP="009D5D45">
            <w:pPr>
              <w:pStyle w:val="TableBodyText"/>
              <w:ind w:left="143" w:right="0"/>
              <w:jc w:val="left"/>
              <w:rPr>
                <w:sz w:val="18"/>
                <w:szCs w:val="18"/>
                <w:lang w:eastAsia="en-US"/>
              </w:rPr>
            </w:pPr>
          </w:p>
        </w:tc>
      </w:tr>
      <w:tr w:rsidR="0002549D" w:rsidRPr="00A96ED0" w:rsidTr="00365F5E">
        <w:tc>
          <w:tcPr>
            <w:tcW w:w="1452" w:type="pct"/>
            <w:tcBorders>
              <w:bottom w:val="dotted" w:sz="4" w:space="0" w:color="auto"/>
            </w:tcBorders>
            <w:shd w:val="clear" w:color="auto" w:fill="auto"/>
            <w:vAlign w:val="bottom"/>
          </w:tcPr>
          <w:p w:rsidR="0002549D" w:rsidRPr="00A96ED0" w:rsidRDefault="0002549D" w:rsidP="006E6AF6">
            <w:pPr>
              <w:pStyle w:val="TableBodyText"/>
              <w:ind w:firstLine="278"/>
              <w:jc w:val="left"/>
              <w:rPr>
                <w:sz w:val="18"/>
                <w:szCs w:val="18"/>
              </w:rPr>
            </w:pPr>
            <w:r w:rsidRPr="00A96ED0">
              <w:rPr>
                <w:sz w:val="18"/>
                <w:szCs w:val="18"/>
              </w:rPr>
              <w:t>Young adults</w:t>
            </w:r>
          </w:p>
        </w:tc>
        <w:tc>
          <w:tcPr>
            <w:tcW w:w="1371" w:type="pct"/>
            <w:tcBorders>
              <w:bottom w:val="dotted" w:sz="4" w:space="0" w:color="auto"/>
            </w:tcBorders>
            <w:vAlign w:val="bottom"/>
          </w:tcPr>
          <w:p w:rsidR="0002549D" w:rsidRPr="00A96ED0" w:rsidRDefault="0002549D" w:rsidP="00754315">
            <w:pPr>
              <w:pStyle w:val="TableBodyText"/>
              <w:jc w:val="left"/>
              <w:rPr>
                <w:rStyle w:val="NoteLabel"/>
                <w:b w:val="0"/>
                <w:szCs w:val="18"/>
              </w:rPr>
            </w:pPr>
            <w:r w:rsidRPr="00A96ED0">
              <w:rPr>
                <w:rStyle w:val="NoteLabel"/>
                <w:b w:val="0"/>
                <w:szCs w:val="18"/>
              </w:rPr>
              <w:t>+</w:t>
            </w:r>
            <w:proofErr w:type="spellStart"/>
            <w:r w:rsidRPr="00A96ED0">
              <w:rPr>
                <w:rStyle w:val="NoteLabel"/>
                <w:b w:val="0"/>
                <w:szCs w:val="18"/>
              </w:rPr>
              <w:t>Unemp</w:t>
            </w:r>
            <w:proofErr w:type="spellEnd"/>
            <w:r w:rsidRPr="00A96ED0">
              <w:rPr>
                <w:rStyle w:val="NoteLabel"/>
                <w:b w:val="0"/>
                <w:szCs w:val="18"/>
              </w:rPr>
              <w:t>/</w:t>
            </w:r>
            <w:proofErr w:type="spellStart"/>
            <w:r w:rsidRPr="00A96ED0">
              <w:rPr>
                <w:rStyle w:val="NoteLabel"/>
                <w:b w:val="0"/>
                <w:szCs w:val="18"/>
              </w:rPr>
              <w:t>NILF</w:t>
            </w:r>
            <w:proofErr w:type="spellEnd"/>
            <w:r w:rsidRPr="00A96ED0">
              <w:rPr>
                <w:rStyle w:val="NoteLabel"/>
                <w:b w:val="0"/>
                <w:szCs w:val="18"/>
              </w:rPr>
              <w:t xml:space="preserve"> &amp; -</w:t>
            </w:r>
            <w:r w:rsidR="00F719EE">
              <w:rPr>
                <w:rStyle w:val="NoteLabel"/>
                <w:b w:val="0"/>
                <w:szCs w:val="18"/>
              </w:rPr>
              <w:t>s</w:t>
            </w:r>
            <w:r w:rsidRPr="00A96ED0">
              <w:rPr>
                <w:rStyle w:val="NoteLabel"/>
                <w:b w:val="0"/>
                <w:szCs w:val="18"/>
              </w:rPr>
              <w:t>tudy</w:t>
            </w:r>
          </w:p>
        </w:tc>
        <w:tc>
          <w:tcPr>
            <w:tcW w:w="645" w:type="pct"/>
            <w:tcBorders>
              <w:bottom w:val="dotted" w:sz="4" w:space="0" w:color="auto"/>
            </w:tcBorders>
            <w:vAlign w:val="bottom"/>
          </w:tcPr>
          <w:p w:rsidR="0002549D" w:rsidRPr="00A96ED0" w:rsidRDefault="0002549D" w:rsidP="009D5D45">
            <w:pPr>
              <w:pStyle w:val="TableBodyText"/>
              <w:ind w:left="284"/>
              <w:jc w:val="left"/>
              <w:rPr>
                <w:sz w:val="18"/>
                <w:szCs w:val="18"/>
                <w:lang w:eastAsia="en-US"/>
              </w:rPr>
            </w:pPr>
          </w:p>
        </w:tc>
        <w:tc>
          <w:tcPr>
            <w:tcW w:w="725" w:type="pct"/>
            <w:tcBorders>
              <w:bottom w:val="dotted" w:sz="4" w:space="0" w:color="auto"/>
            </w:tcBorders>
            <w:vAlign w:val="bottom"/>
          </w:tcPr>
          <w:p w:rsidR="0002549D" w:rsidRPr="00A96ED0" w:rsidRDefault="0002549D" w:rsidP="009D5D45">
            <w:pPr>
              <w:pStyle w:val="TableBodyText"/>
              <w:ind w:left="283"/>
              <w:jc w:val="left"/>
              <w:rPr>
                <w:sz w:val="18"/>
                <w:szCs w:val="18"/>
                <w:lang w:eastAsia="en-US"/>
              </w:rPr>
            </w:pPr>
          </w:p>
        </w:tc>
        <w:tc>
          <w:tcPr>
            <w:tcW w:w="807" w:type="pct"/>
            <w:tcBorders>
              <w:bottom w:val="dotted" w:sz="4" w:space="0" w:color="auto"/>
            </w:tcBorders>
            <w:vAlign w:val="bottom"/>
          </w:tcPr>
          <w:p w:rsidR="0002549D" w:rsidRPr="00A96ED0" w:rsidRDefault="0002549D" w:rsidP="009D5D45">
            <w:pPr>
              <w:pStyle w:val="TableBodyText"/>
              <w:ind w:left="143" w:right="0"/>
              <w:jc w:val="left"/>
              <w:rPr>
                <w:sz w:val="18"/>
                <w:szCs w:val="18"/>
                <w:lang w:eastAsia="en-US"/>
              </w:rPr>
            </w:pPr>
          </w:p>
        </w:tc>
      </w:tr>
      <w:tr w:rsidR="0002549D" w:rsidRPr="00A96ED0" w:rsidTr="00365F5E">
        <w:tc>
          <w:tcPr>
            <w:tcW w:w="1452" w:type="pct"/>
            <w:tcBorders>
              <w:top w:val="dotted" w:sz="4" w:space="0" w:color="auto"/>
            </w:tcBorders>
            <w:shd w:val="clear" w:color="auto" w:fill="auto"/>
            <w:vAlign w:val="bottom"/>
          </w:tcPr>
          <w:p w:rsidR="0002549D" w:rsidRPr="00A96ED0" w:rsidRDefault="0002549D" w:rsidP="006E6AF6">
            <w:pPr>
              <w:pStyle w:val="TableBodyText"/>
              <w:ind w:left="284" w:hanging="278"/>
              <w:jc w:val="left"/>
              <w:rPr>
                <w:sz w:val="18"/>
                <w:szCs w:val="18"/>
              </w:rPr>
            </w:pPr>
            <w:r w:rsidRPr="00A96ED0">
              <w:rPr>
                <w:sz w:val="18"/>
                <w:szCs w:val="18"/>
              </w:rPr>
              <w:t>Work</w:t>
            </w:r>
            <w:r>
              <w:rPr>
                <w:sz w:val="18"/>
                <w:szCs w:val="18"/>
              </w:rPr>
              <w:br/>
            </w:r>
            <w:r w:rsidRPr="00A96ED0">
              <w:rPr>
                <w:sz w:val="18"/>
                <w:szCs w:val="18"/>
              </w:rPr>
              <w:t>Young adults</w:t>
            </w:r>
          </w:p>
        </w:tc>
        <w:tc>
          <w:tcPr>
            <w:tcW w:w="1371" w:type="pct"/>
            <w:tcBorders>
              <w:top w:val="dotted" w:sz="4" w:space="0" w:color="auto"/>
            </w:tcBorders>
            <w:vAlign w:val="bottom"/>
          </w:tcPr>
          <w:p w:rsidR="0002549D" w:rsidRPr="00A96ED0" w:rsidRDefault="0002549D" w:rsidP="00754315">
            <w:pPr>
              <w:pStyle w:val="TableBodyText"/>
              <w:jc w:val="left"/>
              <w:rPr>
                <w:sz w:val="18"/>
                <w:szCs w:val="18"/>
              </w:rPr>
            </w:pPr>
            <w:r>
              <w:rPr>
                <w:rStyle w:val="NoteLabel"/>
                <w:b w:val="0"/>
                <w:szCs w:val="18"/>
              </w:rPr>
              <w:br/>
            </w:r>
            <w:r w:rsidRPr="00A96ED0">
              <w:rPr>
                <w:rStyle w:val="NoteLabel"/>
                <w:b w:val="0"/>
                <w:szCs w:val="18"/>
              </w:rPr>
              <w:t>+</w:t>
            </w:r>
            <w:proofErr w:type="spellStart"/>
            <w:r w:rsidRPr="00A96ED0">
              <w:rPr>
                <w:rStyle w:val="NoteLabel"/>
                <w:b w:val="0"/>
                <w:szCs w:val="18"/>
              </w:rPr>
              <w:t>Unemp</w:t>
            </w:r>
            <w:proofErr w:type="spellEnd"/>
            <w:r w:rsidRPr="00A96ED0">
              <w:rPr>
                <w:rStyle w:val="NoteLabel"/>
                <w:b w:val="0"/>
                <w:szCs w:val="18"/>
              </w:rPr>
              <w:t>/</w:t>
            </w:r>
            <w:proofErr w:type="spellStart"/>
            <w:r w:rsidRPr="00A96ED0">
              <w:rPr>
                <w:rStyle w:val="NoteLabel"/>
                <w:b w:val="0"/>
                <w:szCs w:val="18"/>
              </w:rPr>
              <w:t>NILF</w:t>
            </w:r>
            <w:proofErr w:type="spellEnd"/>
            <w:r w:rsidRPr="00A96ED0">
              <w:rPr>
                <w:rStyle w:val="NoteLabel"/>
                <w:b w:val="0"/>
                <w:szCs w:val="18"/>
              </w:rPr>
              <w:t xml:space="preserve"> &amp; -</w:t>
            </w:r>
            <w:r w:rsidR="00F719EE">
              <w:rPr>
                <w:rStyle w:val="NoteLabel"/>
                <w:b w:val="0"/>
                <w:szCs w:val="18"/>
              </w:rPr>
              <w:t>e</w:t>
            </w:r>
            <w:r w:rsidRPr="00A96ED0">
              <w:rPr>
                <w:rStyle w:val="NoteLabel"/>
                <w:b w:val="0"/>
                <w:szCs w:val="18"/>
              </w:rPr>
              <w:t>mployed</w:t>
            </w:r>
          </w:p>
        </w:tc>
        <w:tc>
          <w:tcPr>
            <w:tcW w:w="645" w:type="pct"/>
            <w:tcBorders>
              <w:top w:val="dotted" w:sz="4" w:space="0" w:color="auto"/>
            </w:tcBorders>
            <w:vAlign w:val="bottom"/>
          </w:tcPr>
          <w:p w:rsidR="0002549D" w:rsidRPr="00A96ED0" w:rsidRDefault="0002549D" w:rsidP="009D5D45">
            <w:pPr>
              <w:pStyle w:val="TableBodyText"/>
              <w:ind w:left="284"/>
              <w:jc w:val="left"/>
              <w:rPr>
                <w:sz w:val="18"/>
                <w:szCs w:val="18"/>
                <w:lang w:eastAsia="en-US"/>
              </w:rPr>
            </w:pPr>
          </w:p>
        </w:tc>
        <w:tc>
          <w:tcPr>
            <w:tcW w:w="725" w:type="pct"/>
            <w:tcBorders>
              <w:top w:val="dotted" w:sz="4" w:space="0" w:color="auto"/>
            </w:tcBorders>
            <w:vAlign w:val="bottom"/>
          </w:tcPr>
          <w:p w:rsidR="0002549D" w:rsidRPr="00A96ED0" w:rsidRDefault="0002549D" w:rsidP="009D5D45">
            <w:pPr>
              <w:pStyle w:val="TableBodyText"/>
              <w:ind w:left="283"/>
              <w:jc w:val="left"/>
              <w:rPr>
                <w:sz w:val="18"/>
                <w:szCs w:val="18"/>
                <w:lang w:eastAsia="en-US"/>
              </w:rPr>
            </w:pPr>
          </w:p>
        </w:tc>
        <w:tc>
          <w:tcPr>
            <w:tcW w:w="807" w:type="pct"/>
            <w:tcBorders>
              <w:top w:val="dotted" w:sz="4" w:space="0" w:color="auto"/>
            </w:tcBorders>
            <w:vAlign w:val="bottom"/>
          </w:tcPr>
          <w:p w:rsidR="0002549D" w:rsidRPr="00A96ED0" w:rsidRDefault="0002549D" w:rsidP="009D5D45">
            <w:pPr>
              <w:pStyle w:val="TableBodyText"/>
              <w:ind w:left="143" w:right="0"/>
              <w:jc w:val="left"/>
              <w:rPr>
                <w:i/>
                <w:sz w:val="18"/>
                <w:szCs w:val="18"/>
                <w:lang w:eastAsia="en-US"/>
              </w:rPr>
            </w:pPr>
            <w:r w:rsidRPr="00A96ED0">
              <w:rPr>
                <w:sz w:val="18"/>
                <w:szCs w:val="18"/>
              </w:rPr>
              <w:sym w:font="Wingdings 2" w:char="F050"/>
            </w:r>
            <w:r w:rsidRPr="00A96ED0">
              <w:rPr>
                <w:sz w:val="18"/>
                <w:szCs w:val="18"/>
              </w:rPr>
              <w:t xml:space="preserve"> more spells</w:t>
            </w:r>
          </w:p>
        </w:tc>
      </w:tr>
      <w:tr w:rsidR="0002549D" w:rsidRPr="00A96ED0" w:rsidTr="00365F5E">
        <w:tc>
          <w:tcPr>
            <w:tcW w:w="1452" w:type="pct"/>
            <w:shd w:val="clear" w:color="auto" w:fill="auto"/>
            <w:vAlign w:val="bottom"/>
          </w:tcPr>
          <w:p w:rsidR="0002549D" w:rsidRPr="00A96ED0" w:rsidRDefault="0002549D" w:rsidP="006E6AF6">
            <w:pPr>
              <w:pStyle w:val="TableBodyText"/>
              <w:ind w:firstLine="278"/>
              <w:jc w:val="left"/>
              <w:rPr>
                <w:sz w:val="18"/>
                <w:szCs w:val="18"/>
              </w:rPr>
            </w:pPr>
            <w:r w:rsidRPr="00A96ED0">
              <w:rPr>
                <w:sz w:val="18"/>
                <w:szCs w:val="18"/>
              </w:rPr>
              <w:t>Mature adults</w:t>
            </w:r>
          </w:p>
        </w:tc>
        <w:tc>
          <w:tcPr>
            <w:tcW w:w="1371" w:type="pct"/>
            <w:vAlign w:val="bottom"/>
          </w:tcPr>
          <w:p w:rsidR="0002549D" w:rsidRPr="00A96ED0" w:rsidRDefault="0002549D" w:rsidP="00754315">
            <w:pPr>
              <w:pStyle w:val="TableBodyText"/>
              <w:jc w:val="left"/>
              <w:rPr>
                <w:sz w:val="18"/>
                <w:szCs w:val="18"/>
              </w:rPr>
            </w:pPr>
            <w:r w:rsidRPr="00A96ED0">
              <w:rPr>
                <w:rStyle w:val="NoteLabel"/>
                <w:b w:val="0"/>
                <w:szCs w:val="18"/>
              </w:rPr>
              <w:t>+</w:t>
            </w:r>
            <w:proofErr w:type="spellStart"/>
            <w:r w:rsidRPr="00A96ED0">
              <w:rPr>
                <w:rStyle w:val="NoteLabel"/>
                <w:b w:val="0"/>
                <w:szCs w:val="18"/>
              </w:rPr>
              <w:t>Unemp</w:t>
            </w:r>
            <w:proofErr w:type="spellEnd"/>
            <w:r w:rsidRPr="00A96ED0">
              <w:rPr>
                <w:rStyle w:val="NoteLabel"/>
                <w:b w:val="0"/>
                <w:szCs w:val="18"/>
              </w:rPr>
              <w:t>/</w:t>
            </w:r>
            <w:proofErr w:type="spellStart"/>
            <w:r w:rsidRPr="00A96ED0">
              <w:rPr>
                <w:rStyle w:val="NoteLabel"/>
                <w:b w:val="0"/>
                <w:szCs w:val="18"/>
              </w:rPr>
              <w:t>NILF</w:t>
            </w:r>
            <w:proofErr w:type="spellEnd"/>
            <w:r w:rsidRPr="00A96ED0">
              <w:rPr>
                <w:rStyle w:val="NoteLabel"/>
                <w:b w:val="0"/>
                <w:szCs w:val="18"/>
              </w:rPr>
              <w:t xml:space="preserve"> &amp; -</w:t>
            </w:r>
            <w:r w:rsidR="00F719EE">
              <w:rPr>
                <w:rStyle w:val="NoteLabel"/>
                <w:b w:val="0"/>
                <w:szCs w:val="18"/>
              </w:rPr>
              <w:t>e</w:t>
            </w:r>
            <w:r w:rsidRPr="00A96ED0">
              <w:rPr>
                <w:rStyle w:val="NoteLabel"/>
                <w:b w:val="0"/>
                <w:szCs w:val="18"/>
              </w:rPr>
              <w:t>mployed</w:t>
            </w:r>
          </w:p>
        </w:tc>
        <w:tc>
          <w:tcPr>
            <w:tcW w:w="645" w:type="pct"/>
            <w:vAlign w:val="bottom"/>
          </w:tcPr>
          <w:p w:rsidR="0002549D" w:rsidRPr="00A96ED0" w:rsidRDefault="0002549D" w:rsidP="009D5D45">
            <w:pPr>
              <w:pStyle w:val="TableBodyText"/>
              <w:ind w:left="284"/>
              <w:jc w:val="left"/>
              <w:rPr>
                <w:sz w:val="18"/>
                <w:szCs w:val="18"/>
                <w:lang w:eastAsia="en-US"/>
              </w:rPr>
            </w:pPr>
          </w:p>
        </w:tc>
        <w:tc>
          <w:tcPr>
            <w:tcW w:w="725" w:type="pct"/>
            <w:vAlign w:val="bottom"/>
          </w:tcPr>
          <w:p w:rsidR="0002549D" w:rsidRPr="00A96ED0" w:rsidRDefault="0002549D" w:rsidP="009D5D45">
            <w:pPr>
              <w:pStyle w:val="TableBodyText"/>
              <w:ind w:left="283"/>
              <w:jc w:val="left"/>
              <w:rPr>
                <w:sz w:val="18"/>
                <w:szCs w:val="18"/>
                <w:lang w:eastAsia="en-US"/>
              </w:rPr>
            </w:pPr>
          </w:p>
        </w:tc>
        <w:tc>
          <w:tcPr>
            <w:tcW w:w="807" w:type="pct"/>
            <w:vAlign w:val="bottom"/>
          </w:tcPr>
          <w:p w:rsidR="0002549D" w:rsidRPr="00A96ED0" w:rsidRDefault="0002549D" w:rsidP="009D5D45">
            <w:pPr>
              <w:pStyle w:val="TableBodyText"/>
              <w:ind w:left="143" w:right="0"/>
              <w:jc w:val="left"/>
              <w:rPr>
                <w:i/>
                <w:sz w:val="18"/>
                <w:szCs w:val="18"/>
              </w:rPr>
            </w:pPr>
            <w:r w:rsidRPr="00A96ED0">
              <w:rPr>
                <w:sz w:val="18"/>
                <w:szCs w:val="18"/>
              </w:rPr>
              <w:sym w:font="Wingdings 2" w:char="F050"/>
            </w:r>
            <w:r w:rsidRPr="00A96ED0">
              <w:rPr>
                <w:sz w:val="18"/>
                <w:szCs w:val="18"/>
              </w:rPr>
              <w:t xml:space="preserve"> more spells</w:t>
            </w:r>
          </w:p>
        </w:tc>
      </w:tr>
      <w:tr w:rsidR="0002549D" w:rsidRPr="00A96ED0" w:rsidTr="00365F5E">
        <w:tc>
          <w:tcPr>
            <w:tcW w:w="1452" w:type="pct"/>
            <w:tcBorders>
              <w:bottom w:val="dotted" w:sz="4" w:space="0" w:color="auto"/>
            </w:tcBorders>
            <w:shd w:val="clear" w:color="auto" w:fill="auto"/>
            <w:vAlign w:val="bottom"/>
          </w:tcPr>
          <w:p w:rsidR="0002549D" w:rsidRPr="00A96ED0" w:rsidRDefault="0002549D" w:rsidP="006E6AF6">
            <w:pPr>
              <w:pStyle w:val="TableBodyText"/>
              <w:ind w:firstLine="278"/>
              <w:jc w:val="left"/>
              <w:rPr>
                <w:sz w:val="18"/>
                <w:szCs w:val="18"/>
              </w:rPr>
            </w:pPr>
            <w:r w:rsidRPr="00A96ED0">
              <w:rPr>
                <w:sz w:val="18"/>
                <w:szCs w:val="18"/>
              </w:rPr>
              <w:t>Seniors</w:t>
            </w:r>
          </w:p>
        </w:tc>
        <w:tc>
          <w:tcPr>
            <w:tcW w:w="1371" w:type="pct"/>
            <w:tcBorders>
              <w:bottom w:val="dotted" w:sz="4" w:space="0" w:color="auto"/>
            </w:tcBorders>
            <w:vAlign w:val="bottom"/>
          </w:tcPr>
          <w:p w:rsidR="0002549D" w:rsidRPr="00A96ED0" w:rsidRDefault="0002549D" w:rsidP="00754315">
            <w:pPr>
              <w:pStyle w:val="TableBodyText"/>
              <w:jc w:val="left"/>
              <w:rPr>
                <w:sz w:val="18"/>
                <w:szCs w:val="18"/>
              </w:rPr>
            </w:pPr>
            <w:r w:rsidRPr="00A96ED0">
              <w:rPr>
                <w:rStyle w:val="NoteLabel"/>
                <w:b w:val="0"/>
                <w:szCs w:val="18"/>
              </w:rPr>
              <w:t>+</w:t>
            </w:r>
            <w:proofErr w:type="spellStart"/>
            <w:r w:rsidRPr="00A96ED0">
              <w:rPr>
                <w:rStyle w:val="NoteLabel"/>
                <w:b w:val="0"/>
                <w:szCs w:val="18"/>
              </w:rPr>
              <w:t>Unemp</w:t>
            </w:r>
            <w:proofErr w:type="spellEnd"/>
            <w:r w:rsidRPr="00A96ED0">
              <w:rPr>
                <w:rStyle w:val="NoteLabel"/>
                <w:b w:val="0"/>
                <w:szCs w:val="18"/>
              </w:rPr>
              <w:t>/</w:t>
            </w:r>
            <w:proofErr w:type="spellStart"/>
            <w:r w:rsidRPr="00A96ED0">
              <w:rPr>
                <w:rStyle w:val="NoteLabel"/>
                <w:b w:val="0"/>
                <w:szCs w:val="18"/>
              </w:rPr>
              <w:t>NILF</w:t>
            </w:r>
            <w:proofErr w:type="spellEnd"/>
            <w:r w:rsidRPr="00A96ED0">
              <w:rPr>
                <w:rStyle w:val="NoteLabel"/>
                <w:b w:val="0"/>
                <w:szCs w:val="18"/>
              </w:rPr>
              <w:t xml:space="preserve"> &amp; -</w:t>
            </w:r>
            <w:r w:rsidR="00F719EE">
              <w:rPr>
                <w:rStyle w:val="NoteLabel"/>
                <w:b w:val="0"/>
                <w:szCs w:val="18"/>
              </w:rPr>
              <w:t>e</w:t>
            </w:r>
            <w:r w:rsidRPr="00A96ED0">
              <w:rPr>
                <w:rStyle w:val="NoteLabel"/>
                <w:b w:val="0"/>
                <w:szCs w:val="18"/>
              </w:rPr>
              <w:t>mployed</w:t>
            </w:r>
          </w:p>
        </w:tc>
        <w:tc>
          <w:tcPr>
            <w:tcW w:w="645" w:type="pct"/>
            <w:tcBorders>
              <w:bottom w:val="dotted" w:sz="4" w:space="0" w:color="auto"/>
            </w:tcBorders>
            <w:vAlign w:val="bottom"/>
          </w:tcPr>
          <w:p w:rsidR="0002549D" w:rsidRPr="00A96ED0" w:rsidRDefault="0002549D" w:rsidP="009D5D45">
            <w:pPr>
              <w:pStyle w:val="TableBodyText"/>
              <w:ind w:left="284"/>
              <w:jc w:val="left"/>
              <w:rPr>
                <w:sz w:val="18"/>
                <w:szCs w:val="18"/>
                <w:lang w:eastAsia="en-US"/>
              </w:rPr>
            </w:pPr>
          </w:p>
        </w:tc>
        <w:tc>
          <w:tcPr>
            <w:tcW w:w="725" w:type="pct"/>
            <w:tcBorders>
              <w:bottom w:val="dotted" w:sz="4" w:space="0" w:color="auto"/>
            </w:tcBorders>
            <w:vAlign w:val="bottom"/>
          </w:tcPr>
          <w:p w:rsidR="0002549D" w:rsidRPr="00A96ED0" w:rsidRDefault="0002549D" w:rsidP="009D5D45">
            <w:pPr>
              <w:pStyle w:val="TableBodyText"/>
              <w:ind w:left="283"/>
              <w:jc w:val="left"/>
              <w:rPr>
                <w:sz w:val="18"/>
                <w:szCs w:val="18"/>
                <w:lang w:eastAsia="en-US"/>
              </w:rPr>
            </w:pPr>
          </w:p>
        </w:tc>
        <w:tc>
          <w:tcPr>
            <w:tcW w:w="807" w:type="pct"/>
            <w:tcBorders>
              <w:bottom w:val="dotted" w:sz="4" w:space="0" w:color="auto"/>
            </w:tcBorders>
            <w:vAlign w:val="bottom"/>
          </w:tcPr>
          <w:p w:rsidR="0002549D" w:rsidRPr="00A96ED0" w:rsidRDefault="0002549D" w:rsidP="009D5D45">
            <w:pPr>
              <w:pStyle w:val="TableBodyText"/>
              <w:ind w:left="143" w:right="0"/>
              <w:jc w:val="left"/>
              <w:rPr>
                <w:sz w:val="18"/>
                <w:szCs w:val="18"/>
                <w:lang w:eastAsia="en-US"/>
              </w:rPr>
            </w:pPr>
          </w:p>
        </w:tc>
      </w:tr>
      <w:tr w:rsidR="0002549D" w:rsidRPr="00A96ED0" w:rsidTr="00365F5E">
        <w:tc>
          <w:tcPr>
            <w:tcW w:w="1452" w:type="pct"/>
            <w:tcBorders>
              <w:top w:val="dotted" w:sz="4" w:space="0" w:color="auto"/>
            </w:tcBorders>
            <w:shd w:val="clear" w:color="auto" w:fill="auto"/>
            <w:vAlign w:val="bottom"/>
          </w:tcPr>
          <w:p w:rsidR="0002549D" w:rsidRPr="00A96ED0" w:rsidRDefault="0002549D" w:rsidP="006E6AF6">
            <w:pPr>
              <w:pStyle w:val="TableBodyText"/>
              <w:ind w:left="284" w:hanging="278"/>
              <w:jc w:val="left"/>
              <w:rPr>
                <w:sz w:val="18"/>
                <w:szCs w:val="18"/>
              </w:rPr>
            </w:pPr>
            <w:r w:rsidRPr="00A96ED0">
              <w:rPr>
                <w:sz w:val="18"/>
                <w:szCs w:val="18"/>
              </w:rPr>
              <w:t xml:space="preserve">Prolonged </w:t>
            </w:r>
            <w:proofErr w:type="spellStart"/>
            <w:r w:rsidRPr="00A96ED0">
              <w:rPr>
                <w:sz w:val="18"/>
                <w:szCs w:val="18"/>
              </w:rPr>
              <w:t>NILF</w:t>
            </w:r>
            <w:proofErr w:type="spellEnd"/>
            <w:r>
              <w:rPr>
                <w:sz w:val="18"/>
                <w:szCs w:val="18"/>
              </w:rPr>
              <w:br/>
            </w:r>
            <w:r w:rsidRPr="00A96ED0">
              <w:rPr>
                <w:sz w:val="18"/>
                <w:szCs w:val="18"/>
              </w:rPr>
              <w:t>Youths</w:t>
            </w:r>
          </w:p>
        </w:tc>
        <w:tc>
          <w:tcPr>
            <w:tcW w:w="1371" w:type="pct"/>
            <w:tcBorders>
              <w:top w:val="dotted" w:sz="4" w:space="0" w:color="auto"/>
            </w:tcBorders>
            <w:vAlign w:val="bottom"/>
          </w:tcPr>
          <w:p w:rsidR="0002549D" w:rsidRPr="00A96ED0" w:rsidRDefault="0002549D" w:rsidP="00754315">
            <w:pPr>
              <w:pStyle w:val="TableBodyText"/>
              <w:jc w:val="left"/>
              <w:rPr>
                <w:sz w:val="18"/>
                <w:szCs w:val="18"/>
                <w:lang w:eastAsia="en-US"/>
              </w:rPr>
            </w:pPr>
            <w:r>
              <w:rPr>
                <w:sz w:val="18"/>
                <w:szCs w:val="18"/>
                <w:lang w:eastAsia="en-US"/>
              </w:rPr>
              <w:br/>
            </w:r>
            <w:r w:rsidRPr="00A96ED0">
              <w:rPr>
                <w:sz w:val="18"/>
                <w:szCs w:val="18"/>
                <w:lang w:eastAsia="en-US"/>
              </w:rPr>
              <w:t>+</w:t>
            </w:r>
            <w:proofErr w:type="spellStart"/>
            <w:r w:rsidRPr="00A96ED0">
              <w:rPr>
                <w:sz w:val="18"/>
                <w:szCs w:val="18"/>
                <w:lang w:eastAsia="en-US"/>
              </w:rPr>
              <w:t>U</w:t>
            </w:r>
            <w:r w:rsidR="0034588C">
              <w:rPr>
                <w:sz w:val="18"/>
                <w:szCs w:val="18"/>
                <w:lang w:eastAsia="en-US"/>
              </w:rPr>
              <w:t>n</w:t>
            </w:r>
            <w:r w:rsidRPr="00A96ED0">
              <w:rPr>
                <w:sz w:val="18"/>
                <w:szCs w:val="18"/>
                <w:lang w:eastAsia="en-US"/>
              </w:rPr>
              <w:t>emp</w:t>
            </w:r>
            <w:proofErr w:type="spellEnd"/>
            <w:r w:rsidRPr="00A96ED0">
              <w:rPr>
                <w:sz w:val="18"/>
                <w:szCs w:val="18"/>
                <w:lang w:eastAsia="en-US"/>
              </w:rPr>
              <w:t xml:space="preserve"> &amp; -</w:t>
            </w:r>
            <w:proofErr w:type="spellStart"/>
            <w:r w:rsidRPr="00A96ED0">
              <w:rPr>
                <w:sz w:val="18"/>
                <w:szCs w:val="18"/>
                <w:lang w:eastAsia="en-US"/>
              </w:rPr>
              <w:t>NILF</w:t>
            </w:r>
            <w:proofErr w:type="spellEnd"/>
          </w:p>
        </w:tc>
        <w:tc>
          <w:tcPr>
            <w:tcW w:w="645" w:type="pct"/>
            <w:tcBorders>
              <w:top w:val="dotted" w:sz="4" w:space="0" w:color="auto"/>
            </w:tcBorders>
            <w:vAlign w:val="bottom"/>
          </w:tcPr>
          <w:p w:rsidR="0002549D" w:rsidRPr="00A96ED0" w:rsidRDefault="0002549D" w:rsidP="009D5D45">
            <w:pPr>
              <w:pStyle w:val="TableBodyText"/>
              <w:ind w:left="284"/>
              <w:jc w:val="left"/>
              <w:rPr>
                <w:sz w:val="18"/>
                <w:szCs w:val="18"/>
                <w:lang w:eastAsia="en-US"/>
              </w:rPr>
            </w:pPr>
            <w:r>
              <w:rPr>
                <w:sz w:val="18"/>
                <w:szCs w:val="18"/>
              </w:rPr>
              <w:br/>
            </w:r>
            <w:r w:rsidRPr="00A96ED0">
              <w:rPr>
                <w:sz w:val="18"/>
                <w:szCs w:val="18"/>
              </w:rPr>
              <w:sym w:font="Wingdings 2" w:char="F050"/>
            </w:r>
          </w:p>
        </w:tc>
        <w:tc>
          <w:tcPr>
            <w:tcW w:w="725" w:type="pct"/>
            <w:tcBorders>
              <w:top w:val="dotted" w:sz="4" w:space="0" w:color="auto"/>
            </w:tcBorders>
            <w:vAlign w:val="bottom"/>
          </w:tcPr>
          <w:p w:rsidR="0002549D" w:rsidRPr="00A96ED0" w:rsidRDefault="0002549D" w:rsidP="009D5D45">
            <w:pPr>
              <w:pStyle w:val="TableBodyText"/>
              <w:ind w:left="283"/>
              <w:jc w:val="left"/>
              <w:rPr>
                <w:i/>
                <w:sz w:val="18"/>
                <w:szCs w:val="18"/>
                <w:lang w:eastAsia="en-US"/>
              </w:rPr>
            </w:pPr>
            <w:r>
              <w:rPr>
                <w:sz w:val="18"/>
                <w:szCs w:val="18"/>
              </w:rPr>
              <w:br/>
            </w:r>
            <w:r w:rsidRPr="00A96ED0">
              <w:rPr>
                <w:sz w:val="18"/>
                <w:szCs w:val="18"/>
              </w:rPr>
              <w:sym w:font="Wingdings 2" w:char="F050"/>
            </w:r>
          </w:p>
        </w:tc>
        <w:tc>
          <w:tcPr>
            <w:tcW w:w="807" w:type="pct"/>
            <w:tcBorders>
              <w:top w:val="dotted" w:sz="4" w:space="0" w:color="auto"/>
            </w:tcBorders>
            <w:vAlign w:val="bottom"/>
          </w:tcPr>
          <w:p w:rsidR="0002549D" w:rsidRPr="00A96ED0" w:rsidRDefault="0002549D" w:rsidP="009D5D45">
            <w:pPr>
              <w:pStyle w:val="TableBodyText"/>
              <w:ind w:left="143" w:right="0"/>
              <w:jc w:val="left"/>
              <w:rPr>
                <w:sz w:val="18"/>
                <w:szCs w:val="18"/>
                <w:lang w:eastAsia="en-US"/>
              </w:rPr>
            </w:pPr>
            <w:r>
              <w:rPr>
                <w:sz w:val="18"/>
                <w:szCs w:val="18"/>
              </w:rPr>
              <w:br/>
            </w:r>
            <w:r w:rsidRPr="00A96ED0">
              <w:rPr>
                <w:sz w:val="18"/>
                <w:szCs w:val="18"/>
              </w:rPr>
              <w:sym w:font="Wingdings 2" w:char="F050"/>
            </w:r>
            <w:r w:rsidRPr="00A96ED0">
              <w:rPr>
                <w:sz w:val="18"/>
                <w:szCs w:val="18"/>
              </w:rPr>
              <w:t xml:space="preserve"> study errors</w:t>
            </w:r>
          </w:p>
        </w:tc>
      </w:tr>
      <w:tr w:rsidR="0002549D" w:rsidRPr="00A96ED0" w:rsidTr="00365F5E">
        <w:tc>
          <w:tcPr>
            <w:tcW w:w="1452" w:type="pct"/>
            <w:shd w:val="clear" w:color="auto" w:fill="auto"/>
            <w:vAlign w:val="bottom"/>
          </w:tcPr>
          <w:p w:rsidR="0002549D" w:rsidRPr="00A96ED0" w:rsidRDefault="0002549D" w:rsidP="006E6AF6">
            <w:pPr>
              <w:pStyle w:val="TableBodyText"/>
              <w:ind w:firstLine="278"/>
              <w:jc w:val="left"/>
              <w:rPr>
                <w:sz w:val="18"/>
                <w:szCs w:val="18"/>
              </w:rPr>
            </w:pPr>
            <w:r w:rsidRPr="00A96ED0">
              <w:rPr>
                <w:sz w:val="18"/>
                <w:szCs w:val="18"/>
              </w:rPr>
              <w:t>Young adults</w:t>
            </w:r>
          </w:p>
        </w:tc>
        <w:tc>
          <w:tcPr>
            <w:tcW w:w="1371" w:type="pct"/>
            <w:vAlign w:val="bottom"/>
          </w:tcPr>
          <w:p w:rsidR="0002549D" w:rsidRPr="00A96ED0" w:rsidRDefault="0002549D" w:rsidP="00754315">
            <w:pPr>
              <w:pStyle w:val="TableBodyText"/>
              <w:jc w:val="left"/>
              <w:rPr>
                <w:sz w:val="18"/>
                <w:szCs w:val="18"/>
                <w:lang w:eastAsia="en-US"/>
              </w:rPr>
            </w:pPr>
            <w:r w:rsidRPr="00A96ED0">
              <w:rPr>
                <w:sz w:val="18"/>
                <w:szCs w:val="18"/>
                <w:lang w:eastAsia="en-US"/>
              </w:rPr>
              <w:t>+</w:t>
            </w:r>
            <w:proofErr w:type="spellStart"/>
            <w:r w:rsidRPr="00A96ED0">
              <w:rPr>
                <w:sz w:val="18"/>
                <w:szCs w:val="18"/>
                <w:lang w:eastAsia="en-US"/>
              </w:rPr>
              <w:t>Unemp</w:t>
            </w:r>
            <w:proofErr w:type="spellEnd"/>
            <w:r w:rsidRPr="00A96ED0">
              <w:rPr>
                <w:sz w:val="18"/>
                <w:szCs w:val="18"/>
                <w:lang w:eastAsia="en-US"/>
              </w:rPr>
              <w:t xml:space="preserve"> &amp; -</w:t>
            </w:r>
            <w:proofErr w:type="spellStart"/>
            <w:r w:rsidRPr="00A96ED0">
              <w:rPr>
                <w:sz w:val="18"/>
                <w:szCs w:val="18"/>
                <w:lang w:eastAsia="en-US"/>
              </w:rPr>
              <w:t>NILF</w:t>
            </w:r>
            <w:proofErr w:type="spellEnd"/>
          </w:p>
        </w:tc>
        <w:tc>
          <w:tcPr>
            <w:tcW w:w="645" w:type="pct"/>
            <w:vAlign w:val="bottom"/>
          </w:tcPr>
          <w:p w:rsidR="0002549D" w:rsidRPr="00A96ED0" w:rsidRDefault="0002549D" w:rsidP="009D5D45">
            <w:pPr>
              <w:pStyle w:val="TableBodyText"/>
              <w:ind w:left="284"/>
              <w:jc w:val="left"/>
              <w:rPr>
                <w:i/>
                <w:sz w:val="18"/>
                <w:szCs w:val="18"/>
              </w:rPr>
            </w:pPr>
            <w:r w:rsidRPr="00A96ED0">
              <w:rPr>
                <w:sz w:val="18"/>
                <w:szCs w:val="18"/>
              </w:rPr>
              <w:sym w:font="Wingdings 2" w:char="F050"/>
            </w:r>
          </w:p>
        </w:tc>
        <w:tc>
          <w:tcPr>
            <w:tcW w:w="725" w:type="pct"/>
            <w:vAlign w:val="bottom"/>
          </w:tcPr>
          <w:p w:rsidR="0002549D" w:rsidRPr="00A96ED0" w:rsidRDefault="0002549D" w:rsidP="009D5D45">
            <w:pPr>
              <w:pStyle w:val="TableBodyText"/>
              <w:ind w:left="283"/>
              <w:jc w:val="left"/>
              <w:rPr>
                <w:i/>
                <w:sz w:val="18"/>
                <w:szCs w:val="18"/>
              </w:rPr>
            </w:pPr>
            <w:r w:rsidRPr="00A96ED0">
              <w:rPr>
                <w:sz w:val="18"/>
                <w:szCs w:val="18"/>
              </w:rPr>
              <w:sym w:font="Wingdings 2" w:char="F050"/>
            </w:r>
          </w:p>
        </w:tc>
        <w:tc>
          <w:tcPr>
            <w:tcW w:w="807" w:type="pct"/>
            <w:vAlign w:val="bottom"/>
          </w:tcPr>
          <w:p w:rsidR="0002549D" w:rsidRPr="00A96ED0" w:rsidRDefault="0002549D" w:rsidP="009D5D45">
            <w:pPr>
              <w:pStyle w:val="TableBodyText"/>
              <w:ind w:left="143" w:right="0"/>
              <w:jc w:val="left"/>
              <w:rPr>
                <w:i/>
                <w:sz w:val="18"/>
                <w:szCs w:val="18"/>
              </w:rPr>
            </w:pPr>
            <w:r w:rsidRPr="00A96ED0">
              <w:rPr>
                <w:sz w:val="18"/>
                <w:szCs w:val="18"/>
              </w:rPr>
              <w:sym w:font="Wingdings 2" w:char="F050"/>
            </w:r>
            <w:r w:rsidRPr="00A96ED0">
              <w:rPr>
                <w:sz w:val="18"/>
                <w:szCs w:val="18"/>
              </w:rPr>
              <w:t xml:space="preserve"> study errors</w:t>
            </w:r>
          </w:p>
        </w:tc>
      </w:tr>
      <w:tr w:rsidR="0002549D" w:rsidRPr="00A96ED0" w:rsidTr="00365F5E">
        <w:tc>
          <w:tcPr>
            <w:tcW w:w="1452" w:type="pct"/>
            <w:tcBorders>
              <w:bottom w:val="dotted" w:sz="4" w:space="0" w:color="auto"/>
            </w:tcBorders>
            <w:shd w:val="clear" w:color="auto" w:fill="auto"/>
            <w:vAlign w:val="bottom"/>
          </w:tcPr>
          <w:p w:rsidR="0002549D" w:rsidRPr="00A96ED0" w:rsidRDefault="0002549D" w:rsidP="006E6AF6">
            <w:pPr>
              <w:pStyle w:val="TableBodyText"/>
              <w:ind w:firstLine="278"/>
              <w:jc w:val="left"/>
              <w:rPr>
                <w:sz w:val="18"/>
                <w:szCs w:val="18"/>
              </w:rPr>
            </w:pPr>
            <w:r w:rsidRPr="00A96ED0">
              <w:rPr>
                <w:sz w:val="18"/>
                <w:szCs w:val="18"/>
              </w:rPr>
              <w:t>Mature adults</w:t>
            </w:r>
          </w:p>
        </w:tc>
        <w:tc>
          <w:tcPr>
            <w:tcW w:w="1371" w:type="pct"/>
            <w:tcBorders>
              <w:bottom w:val="dotted" w:sz="4" w:space="0" w:color="auto"/>
            </w:tcBorders>
            <w:vAlign w:val="bottom"/>
          </w:tcPr>
          <w:p w:rsidR="0002549D" w:rsidRPr="00A96ED0" w:rsidRDefault="0002549D" w:rsidP="00754315">
            <w:pPr>
              <w:pStyle w:val="TableBodyText"/>
              <w:jc w:val="left"/>
              <w:rPr>
                <w:sz w:val="18"/>
                <w:szCs w:val="18"/>
                <w:lang w:eastAsia="en-US"/>
              </w:rPr>
            </w:pPr>
            <w:r w:rsidRPr="00A96ED0">
              <w:rPr>
                <w:sz w:val="18"/>
                <w:szCs w:val="18"/>
                <w:lang w:eastAsia="en-US"/>
              </w:rPr>
              <w:t>+</w:t>
            </w:r>
            <w:proofErr w:type="spellStart"/>
            <w:r w:rsidRPr="00A96ED0">
              <w:rPr>
                <w:sz w:val="18"/>
                <w:szCs w:val="18"/>
                <w:lang w:eastAsia="en-US"/>
              </w:rPr>
              <w:t>Unemp</w:t>
            </w:r>
            <w:proofErr w:type="spellEnd"/>
            <w:r w:rsidRPr="00A96ED0">
              <w:rPr>
                <w:sz w:val="18"/>
                <w:szCs w:val="18"/>
                <w:lang w:eastAsia="en-US"/>
              </w:rPr>
              <w:t xml:space="preserve"> &amp; -</w:t>
            </w:r>
            <w:proofErr w:type="spellStart"/>
            <w:r w:rsidRPr="00A96ED0">
              <w:rPr>
                <w:sz w:val="18"/>
                <w:szCs w:val="18"/>
                <w:lang w:eastAsia="en-US"/>
              </w:rPr>
              <w:t>NILF</w:t>
            </w:r>
            <w:proofErr w:type="spellEnd"/>
          </w:p>
        </w:tc>
        <w:tc>
          <w:tcPr>
            <w:tcW w:w="645" w:type="pct"/>
            <w:tcBorders>
              <w:bottom w:val="dotted" w:sz="4" w:space="0" w:color="auto"/>
            </w:tcBorders>
            <w:vAlign w:val="bottom"/>
          </w:tcPr>
          <w:p w:rsidR="0002549D" w:rsidRPr="00A96ED0" w:rsidRDefault="0002549D" w:rsidP="009D5D45">
            <w:pPr>
              <w:pStyle w:val="TableBodyText"/>
              <w:ind w:left="284"/>
              <w:jc w:val="left"/>
              <w:rPr>
                <w:i/>
                <w:sz w:val="18"/>
                <w:szCs w:val="18"/>
              </w:rPr>
            </w:pPr>
            <w:r w:rsidRPr="00A96ED0">
              <w:rPr>
                <w:sz w:val="18"/>
                <w:szCs w:val="18"/>
              </w:rPr>
              <w:sym w:font="Wingdings 2" w:char="F050"/>
            </w:r>
          </w:p>
        </w:tc>
        <w:tc>
          <w:tcPr>
            <w:tcW w:w="725" w:type="pct"/>
            <w:tcBorders>
              <w:bottom w:val="dotted" w:sz="4" w:space="0" w:color="auto"/>
            </w:tcBorders>
            <w:vAlign w:val="bottom"/>
          </w:tcPr>
          <w:p w:rsidR="0002549D" w:rsidRPr="00A96ED0" w:rsidRDefault="0002549D" w:rsidP="009D5D45">
            <w:pPr>
              <w:pStyle w:val="TableBodyText"/>
              <w:ind w:left="283"/>
              <w:jc w:val="left"/>
              <w:rPr>
                <w:i/>
                <w:sz w:val="18"/>
                <w:szCs w:val="18"/>
              </w:rPr>
            </w:pPr>
            <w:r w:rsidRPr="00A96ED0">
              <w:rPr>
                <w:sz w:val="18"/>
                <w:szCs w:val="18"/>
              </w:rPr>
              <w:sym w:font="Wingdings 2" w:char="F050"/>
            </w:r>
          </w:p>
        </w:tc>
        <w:tc>
          <w:tcPr>
            <w:tcW w:w="807" w:type="pct"/>
            <w:tcBorders>
              <w:bottom w:val="dotted" w:sz="4" w:space="0" w:color="auto"/>
            </w:tcBorders>
            <w:vAlign w:val="bottom"/>
          </w:tcPr>
          <w:p w:rsidR="0002549D" w:rsidRPr="00A96ED0" w:rsidRDefault="0002549D" w:rsidP="009D5D45">
            <w:pPr>
              <w:pStyle w:val="TableBodyText"/>
              <w:ind w:left="143" w:right="0"/>
              <w:jc w:val="left"/>
              <w:rPr>
                <w:i/>
                <w:sz w:val="18"/>
                <w:szCs w:val="18"/>
              </w:rPr>
            </w:pPr>
            <w:r w:rsidRPr="00A96ED0">
              <w:rPr>
                <w:sz w:val="18"/>
                <w:szCs w:val="18"/>
              </w:rPr>
              <w:sym w:font="Wingdings 2" w:char="F050"/>
            </w:r>
            <w:r w:rsidRPr="00A96ED0">
              <w:rPr>
                <w:sz w:val="18"/>
                <w:szCs w:val="18"/>
              </w:rPr>
              <w:t xml:space="preserve"> study errors</w:t>
            </w:r>
          </w:p>
        </w:tc>
      </w:tr>
      <w:tr w:rsidR="0002549D" w:rsidRPr="00A96ED0" w:rsidTr="00365F5E">
        <w:tc>
          <w:tcPr>
            <w:tcW w:w="1452" w:type="pct"/>
            <w:tcBorders>
              <w:top w:val="dotted" w:sz="4" w:space="0" w:color="auto"/>
              <w:bottom w:val="dotted" w:sz="4" w:space="0" w:color="auto"/>
            </w:tcBorders>
            <w:shd w:val="clear" w:color="auto" w:fill="auto"/>
            <w:vAlign w:val="bottom"/>
          </w:tcPr>
          <w:p w:rsidR="0002549D" w:rsidRPr="00A96ED0" w:rsidRDefault="0002549D" w:rsidP="006E6AF6">
            <w:pPr>
              <w:pStyle w:val="TableBodyText"/>
              <w:jc w:val="left"/>
              <w:rPr>
                <w:sz w:val="18"/>
                <w:szCs w:val="18"/>
              </w:rPr>
            </w:pPr>
            <w:proofErr w:type="spellStart"/>
            <w:r w:rsidRPr="00A96ED0">
              <w:rPr>
                <w:sz w:val="18"/>
                <w:szCs w:val="18"/>
              </w:rPr>
              <w:t>NILF</w:t>
            </w:r>
            <w:proofErr w:type="spellEnd"/>
            <w:r w:rsidRPr="00A96ED0">
              <w:rPr>
                <w:sz w:val="18"/>
                <w:szCs w:val="18"/>
              </w:rPr>
              <w:t xml:space="preserve"> (Seniors)</w:t>
            </w:r>
          </w:p>
        </w:tc>
        <w:tc>
          <w:tcPr>
            <w:tcW w:w="1371" w:type="pct"/>
            <w:tcBorders>
              <w:top w:val="dotted" w:sz="4" w:space="0" w:color="auto"/>
              <w:bottom w:val="dotted" w:sz="4" w:space="0" w:color="auto"/>
            </w:tcBorders>
            <w:vAlign w:val="bottom"/>
          </w:tcPr>
          <w:p w:rsidR="0002549D" w:rsidRPr="00A96ED0" w:rsidRDefault="0002549D" w:rsidP="00754315">
            <w:pPr>
              <w:pStyle w:val="TableBodyText"/>
              <w:jc w:val="left"/>
              <w:rPr>
                <w:sz w:val="18"/>
                <w:szCs w:val="18"/>
                <w:lang w:eastAsia="en-US"/>
              </w:rPr>
            </w:pPr>
            <w:r w:rsidRPr="00A96ED0">
              <w:rPr>
                <w:sz w:val="18"/>
                <w:szCs w:val="18"/>
                <w:lang w:eastAsia="en-US"/>
              </w:rPr>
              <w:t>+</w:t>
            </w:r>
            <w:proofErr w:type="spellStart"/>
            <w:r w:rsidRPr="00A96ED0">
              <w:rPr>
                <w:sz w:val="18"/>
                <w:szCs w:val="18"/>
                <w:lang w:eastAsia="en-US"/>
              </w:rPr>
              <w:t>Unemp</w:t>
            </w:r>
            <w:proofErr w:type="spellEnd"/>
            <w:r w:rsidRPr="00A96ED0">
              <w:rPr>
                <w:sz w:val="18"/>
                <w:szCs w:val="18"/>
                <w:lang w:eastAsia="en-US"/>
              </w:rPr>
              <w:t xml:space="preserve"> &amp; -</w:t>
            </w:r>
            <w:proofErr w:type="spellStart"/>
            <w:r w:rsidRPr="00A96ED0">
              <w:rPr>
                <w:sz w:val="18"/>
                <w:szCs w:val="18"/>
                <w:lang w:eastAsia="en-US"/>
              </w:rPr>
              <w:t>NILF</w:t>
            </w:r>
            <w:proofErr w:type="spellEnd"/>
          </w:p>
        </w:tc>
        <w:tc>
          <w:tcPr>
            <w:tcW w:w="645" w:type="pct"/>
            <w:tcBorders>
              <w:top w:val="dotted" w:sz="4" w:space="0" w:color="auto"/>
              <w:bottom w:val="dotted" w:sz="4" w:space="0" w:color="auto"/>
            </w:tcBorders>
            <w:vAlign w:val="bottom"/>
          </w:tcPr>
          <w:p w:rsidR="0002549D" w:rsidRPr="00A96ED0" w:rsidRDefault="0002549D" w:rsidP="009D5D45">
            <w:pPr>
              <w:pStyle w:val="TableBodyText"/>
              <w:ind w:left="284"/>
              <w:jc w:val="left"/>
              <w:rPr>
                <w:i/>
                <w:sz w:val="18"/>
                <w:szCs w:val="18"/>
              </w:rPr>
            </w:pPr>
            <w:r w:rsidRPr="00A96ED0">
              <w:rPr>
                <w:sz w:val="18"/>
                <w:szCs w:val="18"/>
              </w:rPr>
              <w:sym w:font="Wingdings 2" w:char="F050"/>
            </w:r>
          </w:p>
        </w:tc>
        <w:tc>
          <w:tcPr>
            <w:tcW w:w="725" w:type="pct"/>
            <w:tcBorders>
              <w:top w:val="dotted" w:sz="4" w:space="0" w:color="auto"/>
              <w:bottom w:val="dotted" w:sz="4" w:space="0" w:color="auto"/>
            </w:tcBorders>
            <w:vAlign w:val="bottom"/>
          </w:tcPr>
          <w:p w:rsidR="0002549D" w:rsidRPr="00A96ED0" w:rsidRDefault="0002549D" w:rsidP="009D5D45">
            <w:pPr>
              <w:pStyle w:val="TableBodyText"/>
              <w:ind w:left="283"/>
              <w:jc w:val="left"/>
              <w:rPr>
                <w:i/>
                <w:sz w:val="18"/>
                <w:szCs w:val="18"/>
              </w:rPr>
            </w:pPr>
            <w:r w:rsidRPr="00A96ED0">
              <w:rPr>
                <w:sz w:val="18"/>
                <w:szCs w:val="18"/>
              </w:rPr>
              <w:sym w:font="Wingdings 2" w:char="F050"/>
            </w:r>
          </w:p>
        </w:tc>
        <w:tc>
          <w:tcPr>
            <w:tcW w:w="807" w:type="pct"/>
            <w:tcBorders>
              <w:top w:val="dotted" w:sz="4" w:space="0" w:color="auto"/>
              <w:bottom w:val="dotted" w:sz="4" w:space="0" w:color="auto"/>
            </w:tcBorders>
            <w:vAlign w:val="bottom"/>
          </w:tcPr>
          <w:p w:rsidR="0002549D" w:rsidRPr="00A96ED0" w:rsidRDefault="0002549D" w:rsidP="009D5D45">
            <w:pPr>
              <w:pStyle w:val="TableBodyText"/>
              <w:ind w:left="143" w:right="0"/>
              <w:jc w:val="left"/>
              <w:rPr>
                <w:i/>
                <w:sz w:val="18"/>
                <w:szCs w:val="18"/>
              </w:rPr>
            </w:pPr>
            <w:r w:rsidRPr="00A96ED0">
              <w:rPr>
                <w:sz w:val="18"/>
                <w:szCs w:val="18"/>
              </w:rPr>
              <w:sym w:font="Wingdings 2" w:char="F050"/>
            </w:r>
            <w:r w:rsidRPr="00A96ED0">
              <w:rPr>
                <w:sz w:val="18"/>
                <w:szCs w:val="18"/>
              </w:rPr>
              <w:t xml:space="preserve"> study errors</w:t>
            </w:r>
          </w:p>
        </w:tc>
      </w:tr>
      <w:tr w:rsidR="0002549D" w:rsidRPr="00A96ED0" w:rsidTr="00365F5E">
        <w:tc>
          <w:tcPr>
            <w:tcW w:w="1452" w:type="pct"/>
            <w:tcBorders>
              <w:top w:val="dotted" w:sz="4" w:space="0" w:color="auto"/>
            </w:tcBorders>
            <w:shd w:val="clear" w:color="auto" w:fill="auto"/>
            <w:vAlign w:val="bottom"/>
          </w:tcPr>
          <w:p w:rsidR="0002549D" w:rsidRPr="00A96ED0" w:rsidRDefault="0002549D" w:rsidP="00576B30">
            <w:pPr>
              <w:pStyle w:val="TableBodyText"/>
              <w:ind w:left="284" w:hanging="278"/>
              <w:jc w:val="left"/>
              <w:rPr>
                <w:sz w:val="18"/>
                <w:szCs w:val="18"/>
              </w:rPr>
            </w:pPr>
            <w:proofErr w:type="spellStart"/>
            <w:r w:rsidRPr="00A96ED0">
              <w:rPr>
                <w:sz w:val="18"/>
                <w:szCs w:val="18"/>
              </w:rPr>
              <w:t>NILF</w:t>
            </w:r>
            <w:proofErr w:type="spellEnd"/>
            <w:r w:rsidRPr="00A96ED0">
              <w:rPr>
                <w:sz w:val="18"/>
                <w:szCs w:val="18"/>
              </w:rPr>
              <w:t xml:space="preserve"> to </w:t>
            </w:r>
            <w:r w:rsidR="00DE0B7F">
              <w:rPr>
                <w:sz w:val="18"/>
                <w:szCs w:val="18"/>
              </w:rPr>
              <w:t>W</w:t>
            </w:r>
            <w:r w:rsidRPr="00A96ED0">
              <w:rPr>
                <w:sz w:val="18"/>
                <w:szCs w:val="18"/>
              </w:rPr>
              <w:t>ork</w:t>
            </w:r>
          </w:p>
        </w:tc>
        <w:tc>
          <w:tcPr>
            <w:tcW w:w="1371" w:type="pct"/>
            <w:tcBorders>
              <w:top w:val="dotted" w:sz="4" w:space="0" w:color="auto"/>
            </w:tcBorders>
            <w:vAlign w:val="bottom"/>
          </w:tcPr>
          <w:p w:rsidR="0002549D" w:rsidRPr="00A96ED0" w:rsidRDefault="0002549D" w:rsidP="00576B30">
            <w:pPr>
              <w:pStyle w:val="TableBodyText"/>
              <w:jc w:val="left"/>
              <w:rPr>
                <w:sz w:val="18"/>
                <w:szCs w:val="18"/>
                <w:lang w:eastAsia="en-US"/>
              </w:rPr>
            </w:pPr>
          </w:p>
        </w:tc>
        <w:tc>
          <w:tcPr>
            <w:tcW w:w="645" w:type="pct"/>
            <w:tcBorders>
              <w:top w:val="dotted" w:sz="4" w:space="0" w:color="auto"/>
            </w:tcBorders>
            <w:vAlign w:val="bottom"/>
          </w:tcPr>
          <w:p w:rsidR="0002549D" w:rsidRPr="00A96ED0" w:rsidRDefault="0002549D" w:rsidP="009D5D45">
            <w:pPr>
              <w:pStyle w:val="TableBodyText"/>
              <w:ind w:left="284"/>
              <w:jc w:val="left"/>
              <w:rPr>
                <w:sz w:val="18"/>
                <w:szCs w:val="18"/>
                <w:lang w:eastAsia="en-US"/>
              </w:rPr>
            </w:pPr>
          </w:p>
        </w:tc>
        <w:tc>
          <w:tcPr>
            <w:tcW w:w="725" w:type="pct"/>
            <w:tcBorders>
              <w:top w:val="dotted" w:sz="4" w:space="0" w:color="auto"/>
            </w:tcBorders>
            <w:vAlign w:val="bottom"/>
          </w:tcPr>
          <w:p w:rsidR="0002549D" w:rsidRPr="00A96ED0" w:rsidRDefault="0002549D" w:rsidP="009D5D45">
            <w:pPr>
              <w:pStyle w:val="TableBodyText"/>
              <w:ind w:left="283"/>
              <w:jc w:val="left"/>
              <w:rPr>
                <w:sz w:val="18"/>
                <w:szCs w:val="18"/>
                <w:lang w:eastAsia="en-US"/>
              </w:rPr>
            </w:pPr>
          </w:p>
        </w:tc>
        <w:tc>
          <w:tcPr>
            <w:tcW w:w="807" w:type="pct"/>
            <w:tcBorders>
              <w:top w:val="dotted" w:sz="4" w:space="0" w:color="auto"/>
            </w:tcBorders>
            <w:vAlign w:val="bottom"/>
          </w:tcPr>
          <w:p w:rsidR="0002549D" w:rsidRPr="00A96ED0" w:rsidRDefault="0002549D" w:rsidP="009D5D45">
            <w:pPr>
              <w:pStyle w:val="TableBodyText"/>
              <w:ind w:left="143" w:right="0"/>
              <w:jc w:val="left"/>
              <w:rPr>
                <w:sz w:val="18"/>
                <w:szCs w:val="18"/>
                <w:lang w:eastAsia="en-US"/>
              </w:rPr>
            </w:pPr>
          </w:p>
        </w:tc>
      </w:tr>
      <w:tr w:rsidR="00576B30" w:rsidRPr="00A96ED0" w:rsidTr="00576B30">
        <w:tc>
          <w:tcPr>
            <w:tcW w:w="1452" w:type="pct"/>
            <w:shd w:val="clear" w:color="auto" w:fill="auto"/>
          </w:tcPr>
          <w:p w:rsidR="00576B30" w:rsidRPr="00A96ED0" w:rsidRDefault="00576B30" w:rsidP="00576B30">
            <w:pPr>
              <w:pStyle w:val="TableBodyText"/>
              <w:ind w:left="284"/>
              <w:jc w:val="left"/>
              <w:rPr>
                <w:sz w:val="18"/>
                <w:szCs w:val="18"/>
              </w:rPr>
            </w:pPr>
            <w:r w:rsidRPr="00A96ED0">
              <w:rPr>
                <w:sz w:val="18"/>
                <w:szCs w:val="18"/>
              </w:rPr>
              <w:t>Young adults</w:t>
            </w:r>
          </w:p>
        </w:tc>
        <w:tc>
          <w:tcPr>
            <w:tcW w:w="1371" w:type="pct"/>
          </w:tcPr>
          <w:p w:rsidR="00576B30" w:rsidRDefault="00576B30" w:rsidP="00576B30">
            <w:pPr>
              <w:pStyle w:val="TableBodyText"/>
              <w:jc w:val="left"/>
              <w:rPr>
                <w:sz w:val="18"/>
                <w:szCs w:val="18"/>
                <w:lang w:eastAsia="en-US"/>
              </w:rPr>
            </w:pPr>
            <w:r w:rsidRPr="00A96ED0">
              <w:rPr>
                <w:sz w:val="18"/>
                <w:szCs w:val="18"/>
                <w:lang w:eastAsia="en-US"/>
              </w:rPr>
              <w:t>+</w:t>
            </w:r>
            <w:proofErr w:type="spellStart"/>
            <w:r w:rsidRPr="00A96ED0">
              <w:rPr>
                <w:sz w:val="18"/>
                <w:szCs w:val="18"/>
                <w:lang w:eastAsia="en-US"/>
              </w:rPr>
              <w:t>Unemp</w:t>
            </w:r>
            <w:proofErr w:type="spellEnd"/>
            <w:r w:rsidRPr="00A96ED0">
              <w:rPr>
                <w:sz w:val="18"/>
                <w:szCs w:val="18"/>
                <w:lang w:eastAsia="en-US"/>
              </w:rPr>
              <w:t xml:space="preserve"> &amp; -</w:t>
            </w:r>
            <w:proofErr w:type="spellStart"/>
            <w:r w:rsidRPr="00A96ED0">
              <w:rPr>
                <w:sz w:val="18"/>
                <w:szCs w:val="18"/>
                <w:lang w:eastAsia="en-US"/>
              </w:rPr>
              <w:t>NILF</w:t>
            </w:r>
            <w:proofErr w:type="spellEnd"/>
          </w:p>
        </w:tc>
        <w:tc>
          <w:tcPr>
            <w:tcW w:w="645" w:type="pct"/>
          </w:tcPr>
          <w:p w:rsidR="00576B30" w:rsidRPr="00576B30" w:rsidRDefault="00576B30" w:rsidP="009D5D45">
            <w:pPr>
              <w:pStyle w:val="TableBodyText"/>
              <w:ind w:left="284"/>
              <w:jc w:val="left"/>
            </w:pPr>
            <w:r w:rsidRPr="00A96ED0">
              <w:sym w:font="Wingdings 2" w:char="F050"/>
            </w:r>
          </w:p>
        </w:tc>
        <w:tc>
          <w:tcPr>
            <w:tcW w:w="725" w:type="pct"/>
          </w:tcPr>
          <w:p w:rsidR="00576B30" w:rsidRDefault="00576B30" w:rsidP="009D5D45">
            <w:pPr>
              <w:pStyle w:val="TableBodyText"/>
              <w:ind w:left="283"/>
              <w:jc w:val="left"/>
              <w:rPr>
                <w:sz w:val="18"/>
                <w:szCs w:val="18"/>
              </w:rPr>
            </w:pPr>
            <w:r w:rsidRPr="00A96ED0">
              <w:rPr>
                <w:sz w:val="18"/>
                <w:szCs w:val="18"/>
              </w:rPr>
              <w:sym w:font="Wingdings 2" w:char="F050"/>
            </w:r>
          </w:p>
        </w:tc>
        <w:tc>
          <w:tcPr>
            <w:tcW w:w="807" w:type="pct"/>
            <w:vAlign w:val="bottom"/>
          </w:tcPr>
          <w:p w:rsidR="00576B30" w:rsidRPr="00A96ED0" w:rsidRDefault="00576B30" w:rsidP="009D5D45">
            <w:pPr>
              <w:pStyle w:val="TableBodyText"/>
              <w:ind w:left="143" w:right="0"/>
              <w:jc w:val="left"/>
              <w:rPr>
                <w:sz w:val="18"/>
                <w:szCs w:val="18"/>
              </w:rPr>
            </w:pPr>
            <w:r w:rsidRPr="00A96ED0">
              <w:rPr>
                <w:sz w:val="18"/>
                <w:szCs w:val="18"/>
              </w:rPr>
              <w:sym w:font="Wingdings 2" w:char="F050"/>
            </w:r>
            <w:r w:rsidRPr="00A96ED0">
              <w:rPr>
                <w:sz w:val="18"/>
                <w:szCs w:val="18"/>
              </w:rPr>
              <w:t xml:space="preserve"> more spells</w:t>
            </w:r>
            <w:r>
              <w:rPr>
                <w:sz w:val="18"/>
                <w:szCs w:val="18"/>
              </w:rPr>
              <w:br/>
            </w:r>
            <w:r w:rsidRPr="00A96ED0">
              <w:rPr>
                <w:sz w:val="18"/>
                <w:szCs w:val="18"/>
              </w:rPr>
              <w:sym w:font="Wingdings 2" w:char="F050"/>
            </w:r>
            <w:r w:rsidRPr="00A96ED0">
              <w:rPr>
                <w:sz w:val="18"/>
                <w:szCs w:val="18"/>
              </w:rPr>
              <w:t xml:space="preserve"> study errors</w:t>
            </w:r>
          </w:p>
        </w:tc>
      </w:tr>
      <w:tr w:rsidR="0002549D" w:rsidRPr="00A96ED0" w:rsidTr="00365F5E">
        <w:tc>
          <w:tcPr>
            <w:tcW w:w="1452" w:type="pct"/>
            <w:tcBorders>
              <w:bottom w:val="dotted" w:sz="4" w:space="0" w:color="auto"/>
            </w:tcBorders>
            <w:shd w:val="clear" w:color="auto" w:fill="auto"/>
            <w:vAlign w:val="bottom"/>
          </w:tcPr>
          <w:p w:rsidR="0002549D" w:rsidRPr="00A96ED0" w:rsidRDefault="0002549D" w:rsidP="006E6AF6">
            <w:pPr>
              <w:pStyle w:val="TableBodyText"/>
              <w:ind w:firstLine="278"/>
              <w:jc w:val="left"/>
              <w:rPr>
                <w:sz w:val="18"/>
                <w:szCs w:val="18"/>
              </w:rPr>
            </w:pPr>
            <w:r w:rsidRPr="00A96ED0">
              <w:rPr>
                <w:sz w:val="18"/>
                <w:szCs w:val="18"/>
              </w:rPr>
              <w:t>Mature adults</w:t>
            </w:r>
          </w:p>
        </w:tc>
        <w:tc>
          <w:tcPr>
            <w:tcW w:w="1371" w:type="pct"/>
            <w:tcBorders>
              <w:bottom w:val="dotted" w:sz="4" w:space="0" w:color="auto"/>
            </w:tcBorders>
            <w:vAlign w:val="bottom"/>
          </w:tcPr>
          <w:p w:rsidR="0002549D" w:rsidRPr="00A96ED0" w:rsidRDefault="0002549D" w:rsidP="00754315">
            <w:pPr>
              <w:pStyle w:val="TableBodyText"/>
              <w:jc w:val="left"/>
              <w:rPr>
                <w:sz w:val="18"/>
                <w:szCs w:val="18"/>
                <w:lang w:eastAsia="en-US"/>
              </w:rPr>
            </w:pPr>
            <w:r w:rsidRPr="00A96ED0">
              <w:rPr>
                <w:sz w:val="18"/>
                <w:szCs w:val="18"/>
                <w:lang w:eastAsia="en-US"/>
              </w:rPr>
              <w:t>+</w:t>
            </w:r>
            <w:proofErr w:type="spellStart"/>
            <w:r w:rsidRPr="00A96ED0">
              <w:rPr>
                <w:sz w:val="18"/>
                <w:szCs w:val="18"/>
                <w:lang w:eastAsia="en-US"/>
              </w:rPr>
              <w:t>Unemp</w:t>
            </w:r>
            <w:proofErr w:type="spellEnd"/>
            <w:r w:rsidRPr="00A96ED0">
              <w:rPr>
                <w:sz w:val="18"/>
                <w:szCs w:val="18"/>
                <w:lang w:eastAsia="en-US"/>
              </w:rPr>
              <w:t xml:space="preserve"> &amp; -</w:t>
            </w:r>
            <w:proofErr w:type="spellStart"/>
            <w:r w:rsidRPr="00A96ED0">
              <w:rPr>
                <w:sz w:val="18"/>
                <w:szCs w:val="18"/>
                <w:lang w:eastAsia="en-US"/>
              </w:rPr>
              <w:t>NILF</w:t>
            </w:r>
            <w:proofErr w:type="spellEnd"/>
          </w:p>
        </w:tc>
        <w:tc>
          <w:tcPr>
            <w:tcW w:w="645" w:type="pct"/>
            <w:tcBorders>
              <w:bottom w:val="dotted" w:sz="4" w:space="0" w:color="auto"/>
            </w:tcBorders>
            <w:vAlign w:val="bottom"/>
          </w:tcPr>
          <w:p w:rsidR="0002549D" w:rsidRPr="00A96ED0" w:rsidRDefault="0002549D" w:rsidP="009D5D45">
            <w:pPr>
              <w:pStyle w:val="TableBodyText"/>
              <w:ind w:left="284"/>
              <w:jc w:val="left"/>
              <w:rPr>
                <w:i/>
                <w:sz w:val="18"/>
                <w:szCs w:val="18"/>
              </w:rPr>
            </w:pPr>
            <w:r w:rsidRPr="00A96ED0">
              <w:rPr>
                <w:sz w:val="18"/>
                <w:szCs w:val="18"/>
              </w:rPr>
              <w:sym w:font="Wingdings 2" w:char="F050"/>
            </w:r>
          </w:p>
        </w:tc>
        <w:tc>
          <w:tcPr>
            <w:tcW w:w="725" w:type="pct"/>
            <w:tcBorders>
              <w:bottom w:val="dotted" w:sz="4" w:space="0" w:color="auto"/>
            </w:tcBorders>
            <w:vAlign w:val="bottom"/>
          </w:tcPr>
          <w:p w:rsidR="0002549D" w:rsidRPr="00A96ED0" w:rsidRDefault="0002549D" w:rsidP="009D5D45">
            <w:pPr>
              <w:pStyle w:val="TableBodyText"/>
              <w:ind w:left="283"/>
              <w:jc w:val="left"/>
              <w:rPr>
                <w:i/>
                <w:sz w:val="18"/>
                <w:szCs w:val="18"/>
              </w:rPr>
            </w:pPr>
            <w:r w:rsidRPr="00A96ED0">
              <w:rPr>
                <w:sz w:val="18"/>
                <w:szCs w:val="18"/>
              </w:rPr>
              <w:sym w:font="Wingdings 2" w:char="F050"/>
            </w:r>
          </w:p>
        </w:tc>
        <w:tc>
          <w:tcPr>
            <w:tcW w:w="807" w:type="pct"/>
            <w:tcBorders>
              <w:bottom w:val="dotted" w:sz="4" w:space="0" w:color="auto"/>
            </w:tcBorders>
            <w:vAlign w:val="bottom"/>
          </w:tcPr>
          <w:p w:rsidR="0002549D" w:rsidRPr="00A96ED0" w:rsidRDefault="0002549D" w:rsidP="009D5D45">
            <w:pPr>
              <w:pStyle w:val="TableBodyText"/>
              <w:ind w:left="143" w:right="0"/>
              <w:jc w:val="left"/>
              <w:rPr>
                <w:i/>
                <w:sz w:val="18"/>
                <w:szCs w:val="18"/>
              </w:rPr>
            </w:pPr>
            <w:r w:rsidRPr="00A96ED0">
              <w:rPr>
                <w:sz w:val="18"/>
                <w:szCs w:val="18"/>
              </w:rPr>
              <w:sym w:font="Wingdings 2" w:char="F050"/>
            </w:r>
            <w:r w:rsidRPr="00A96ED0">
              <w:rPr>
                <w:sz w:val="18"/>
                <w:szCs w:val="18"/>
              </w:rPr>
              <w:t xml:space="preserve"> more spells</w:t>
            </w:r>
          </w:p>
        </w:tc>
      </w:tr>
      <w:tr w:rsidR="0002549D" w:rsidRPr="00A96ED0" w:rsidTr="00365F5E">
        <w:tc>
          <w:tcPr>
            <w:tcW w:w="1452" w:type="pct"/>
            <w:tcBorders>
              <w:top w:val="dotted" w:sz="4" w:space="0" w:color="auto"/>
              <w:bottom w:val="dotted" w:sz="4" w:space="0" w:color="auto"/>
            </w:tcBorders>
            <w:shd w:val="clear" w:color="auto" w:fill="auto"/>
            <w:vAlign w:val="bottom"/>
          </w:tcPr>
          <w:p w:rsidR="0002549D" w:rsidRPr="00A96ED0" w:rsidRDefault="0002549D" w:rsidP="006E6AF6">
            <w:pPr>
              <w:pStyle w:val="TableBodyText"/>
              <w:ind w:left="284" w:hanging="278"/>
              <w:jc w:val="left"/>
              <w:rPr>
                <w:sz w:val="18"/>
                <w:szCs w:val="18"/>
              </w:rPr>
            </w:pPr>
            <w:r w:rsidRPr="00A96ED0">
              <w:rPr>
                <w:sz w:val="18"/>
                <w:szCs w:val="18"/>
              </w:rPr>
              <w:t xml:space="preserve">Work to </w:t>
            </w:r>
            <w:proofErr w:type="spellStart"/>
            <w:r w:rsidRPr="00A96ED0">
              <w:rPr>
                <w:sz w:val="18"/>
                <w:szCs w:val="18"/>
              </w:rPr>
              <w:t>NILF</w:t>
            </w:r>
            <w:proofErr w:type="spellEnd"/>
            <w:r w:rsidR="00534256">
              <w:rPr>
                <w:sz w:val="18"/>
                <w:szCs w:val="18"/>
              </w:rPr>
              <w:t xml:space="preserve"> (</w:t>
            </w:r>
            <w:r w:rsidRPr="00A96ED0">
              <w:rPr>
                <w:sz w:val="18"/>
                <w:szCs w:val="18"/>
              </w:rPr>
              <w:t>Mature adults</w:t>
            </w:r>
            <w:r w:rsidR="00534256">
              <w:rPr>
                <w:sz w:val="18"/>
                <w:szCs w:val="18"/>
              </w:rPr>
              <w:t>)</w:t>
            </w:r>
          </w:p>
        </w:tc>
        <w:tc>
          <w:tcPr>
            <w:tcW w:w="1371" w:type="pct"/>
            <w:tcBorders>
              <w:top w:val="dotted" w:sz="4" w:space="0" w:color="auto"/>
              <w:bottom w:val="dotted" w:sz="4" w:space="0" w:color="auto"/>
            </w:tcBorders>
            <w:vAlign w:val="bottom"/>
          </w:tcPr>
          <w:p w:rsidR="0002549D" w:rsidRPr="00A96ED0" w:rsidRDefault="0002549D" w:rsidP="00754315">
            <w:pPr>
              <w:pStyle w:val="TableBodyText"/>
              <w:jc w:val="left"/>
              <w:rPr>
                <w:sz w:val="18"/>
                <w:szCs w:val="18"/>
              </w:rPr>
            </w:pPr>
            <w:r w:rsidRPr="00A96ED0">
              <w:rPr>
                <w:rStyle w:val="NoteLabel"/>
                <w:b w:val="0"/>
                <w:szCs w:val="18"/>
              </w:rPr>
              <w:t>+</w:t>
            </w:r>
            <w:proofErr w:type="spellStart"/>
            <w:r w:rsidRPr="00A96ED0">
              <w:rPr>
                <w:rStyle w:val="NoteLabel"/>
                <w:b w:val="0"/>
                <w:szCs w:val="18"/>
              </w:rPr>
              <w:t>Unemp</w:t>
            </w:r>
            <w:proofErr w:type="spellEnd"/>
            <w:r w:rsidRPr="00A96ED0">
              <w:rPr>
                <w:rStyle w:val="NoteLabel"/>
                <w:b w:val="0"/>
                <w:szCs w:val="18"/>
              </w:rPr>
              <w:t xml:space="preserve"> &amp; -</w:t>
            </w:r>
            <w:r w:rsidR="00F719EE">
              <w:rPr>
                <w:rStyle w:val="NoteLabel"/>
                <w:b w:val="0"/>
                <w:szCs w:val="18"/>
              </w:rPr>
              <w:t>e</w:t>
            </w:r>
            <w:r w:rsidRPr="00A96ED0">
              <w:rPr>
                <w:rStyle w:val="NoteLabel"/>
                <w:b w:val="0"/>
                <w:szCs w:val="18"/>
              </w:rPr>
              <w:t>mployed</w:t>
            </w:r>
          </w:p>
        </w:tc>
        <w:tc>
          <w:tcPr>
            <w:tcW w:w="645" w:type="pct"/>
            <w:tcBorders>
              <w:top w:val="dotted" w:sz="4" w:space="0" w:color="auto"/>
              <w:bottom w:val="dotted" w:sz="4" w:space="0" w:color="auto"/>
            </w:tcBorders>
            <w:vAlign w:val="bottom"/>
          </w:tcPr>
          <w:p w:rsidR="0002549D" w:rsidRPr="00A96ED0" w:rsidRDefault="0002549D" w:rsidP="009D5D45">
            <w:pPr>
              <w:pStyle w:val="TableBodyText"/>
              <w:ind w:left="284"/>
              <w:jc w:val="left"/>
              <w:rPr>
                <w:sz w:val="18"/>
                <w:szCs w:val="18"/>
                <w:lang w:eastAsia="en-US"/>
              </w:rPr>
            </w:pPr>
          </w:p>
        </w:tc>
        <w:tc>
          <w:tcPr>
            <w:tcW w:w="725" w:type="pct"/>
            <w:tcBorders>
              <w:top w:val="dotted" w:sz="4" w:space="0" w:color="auto"/>
              <w:bottom w:val="dotted" w:sz="4" w:space="0" w:color="auto"/>
            </w:tcBorders>
            <w:vAlign w:val="bottom"/>
          </w:tcPr>
          <w:p w:rsidR="0002549D" w:rsidRPr="00A96ED0" w:rsidRDefault="0002549D" w:rsidP="009D5D45">
            <w:pPr>
              <w:pStyle w:val="TableBodyText"/>
              <w:ind w:left="283"/>
              <w:jc w:val="left"/>
              <w:rPr>
                <w:sz w:val="18"/>
                <w:szCs w:val="18"/>
                <w:lang w:eastAsia="en-US"/>
              </w:rPr>
            </w:pPr>
            <w:r w:rsidRPr="00A96ED0">
              <w:rPr>
                <w:sz w:val="18"/>
                <w:szCs w:val="18"/>
              </w:rPr>
              <w:sym w:font="Wingdings 2" w:char="F050"/>
            </w:r>
          </w:p>
        </w:tc>
        <w:tc>
          <w:tcPr>
            <w:tcW w:w="807" w:type="pct"/>
            <w:tcBorders>
              <w:top w:val="dotted" w:sz="4" w:space="0" w:color="auto"/>
              <w:bottom w:val="dotted" w:sz="4" w:space="0" w:color="auto"/>
            </w:tcBorders>
            <w:vAlign w:val="bottom"/>
          </w:tcPr>
          <w:p w:rsidR="0002549D" w:rsidRPr="00A96ED0" w:rsidRDefault="0002549D" w:rsidP="009D5D45">
            <w:pPr>
              <w:pStyle w:val="TableBodyText"/>
              <w:ind w:left="143" w:right="0"/>
              <w:jc w:val="left"/>
              <w:rPr>
                <w:sz w:val="18"/>
                <w:szCs w:val="18"/>
                <w:lang w:eastAsia="en-US"/>
              </w:rPr>
            </w:pPr>
            <w:r w:rsidRPr="00A96ED0">
              <w:rPr>
                <w:sz w:val="18"/>
                <w:szCs w:val="18"/>
              </w:rPr>
              <w:sym w:font="Wingdings 2" w:char="F050"/>
            </w:r>
            <w:r w:rsidRPr="00A96ED0">
              <w:rPr>
                <w:sz w:val="18"/>
                <w:szCs w:val="18"/>
              </w:rPr>
              <w:t xml:space="preserve"> study errors</w:t>
            </w:r>
          </w:p>
        </w:tc>
      </w:tr>
      <w:tr w:rsidR="0002549D" w:rsidRPr="00A96ED0" w:rsidTr="00365F5E">
        <w:tc>
          <w:tcPr>
            <w:tcW w:w="1452" w:type="pct"/>
            <w:tcBorders>
              <w:top w:val="dotted" w:sz="4" w:space="0" w:color="auto"/>
              <w:bottom w:val="dotted" w:sz="4" w:space="0" w:color="auto"/>
            </w:tcBorders>
            <w:shd w:val="clear" w:color="auto" w:fill="auto"/>
            <w:vAlign w:val="bottom"/>
          </w:tcPr>
          <w:p w:rsidR="0002549D" w:rsidRPr="00A96ED0" w:rsidRDefault="0002549D" w:rsidP="006E6AF6">
            <w:pPr>
              <w:pStyle w:val="TableBodyText"/>
              <w:jc w:val="left"/>
              <w:rPr>
                <w:sz w:val="18"/>
                <w:szCs w:val="18"/>
              </w:rPr>
            </w:pPr>
            <w:r w:rsidRPr="00A96ED0">
              <w:rPr>
                <w:sz w:val="18"/>
                <w:szCs w:val="18"/>
              </w:rPr>
              <w:t xml:space="preserve">Early </w:t>
            </w:r>
            <w:r w:rsidR="00DE0B7F">
              <w:rPr>
                <w:sz w:val="18"/>
                <w:szCs w:val="18"/>
              </w:rPr>
              <w:t>W</w:t>
            </w:r>
            <w:r w:rsidRPr="00A96ED0">
              <w:rPr>
                <w:sz w:val="18"/>
                <w:szCs w:val="18"/>
              </w:rPr>
              <w:t xml:space="preserve">ork to </w:t>
            </w:r>
            <w:proofErr w:type="spellStart"/>
            <w:r w:rsidRPr="00A96ED0">
              <w:rPr>
                <w:sz w:val="18"/>
                <w:szCs w:val="18"/>
              </w:rPr>
              <w:t>NILF</w:t>
            </w:r>
            <w:proofErr w:type="spellEnd"/>
            <w:r w:rsidRPr="00A96ED0">
              <w:rPr>
                <w:sz w:val="18"/>
                <w:szCs w:val="18"/>
              </w:rPr>
              <w:t xml:space="preserve"> (Seniors)</w:t>
            </w:r>
          </w:p>
        </w:tc>
        <w:tc>
          <w:tcPr>
            <w:tcW w:w="1371" w:type="pct"/>
            <w:tcBorders>
              <w:top w:val="dotted" w:sz="4" w:space="0" w:color="auto"/>
              <w:bottom w:val="dotted" w:sz="4" w:space="0" w:color="auto"/>
            </w:tcBorders>
            <w:vAlign w:val="bottom"/>
          </w:tcPr>
          <w:p w:rsidR="0002549D" w:rsidRPr="00A96ED0" w:rsidRDefault="0002549D" w:rsidP="00754315">
            <w:pPr>
              <w:pStyle w:val="TableBodyText"/>
              <w:jc w:val="left"/>
              <w:rPr>
                <w:sz w:val="18"/>
                <w:szCs w:val="18"/>
                <w:lang w:eastAsia="en-US"/>
              </w:rPr>
            </w:pPr>
            <w:r w:rsidRPr="00A96ED0">
              <w:rPr>
                <w:sz w:val="18"/>
                <w:szCs w:val="18"/>
                <w:lang w:eastAsia="en-US"/>
              </w:rPr>
              <w:t>+</w:t>
            </w:r>
            <w:proofErr w:type="spellStart"/>
            <w:r w:rsidRPr="00A96ED0">
              <w:rPr>
                <w:sz w:val="18"/>
                <w:szCs w:val="18"/>
                <w:lang w:eastAsia="en-US"/>
              </w:rPr>
              <w:t>U</w:t>
            </w:r>
            <w:r w:rsidR="0034588C">
              <w:rPr>
                <w:sz w:val="18"/>
                <w:szCs w:val="18"/>
                <w:lang w:eastAsia="en-US"/>
              </w:rPr>
              <w:t>n</w:t>
            </w:r>
            <w:r w:rsidRPr="00A96ED0">
              <w:rPr>
                <w:sz w:val="18"/>
                <w:szCs w:val="18"/>
                <w:lang w:eastAsia="en-US"/>
              </w:rPr>
              <w:t>emp</w:t>
            </w:r>
            <w:proofErr w:type="spellEnd"/>
            <w:r w:rsidRPr="00A96ED0">
              <w:rPr>
                <w:sz w:val="18"/>
                <w:szCs w:val="18"/>
                <w:lang w:eastAsia="en-US"/>
              </w:rPr>
              <w:t xml:space="preserve"> &amp; -</w:t>
            </w:r>
            <w:proofErr w:type="spellStart"/>
            <w:r w:rsidRPr="00A96ED0">
              <w:rPr>
                <w:sz w:val="18"/>
                <w:szCs w:val="18"/>
                <w:lang w:eastAsia="en-US"/>
              </w:rPr>
              <w:t>NILF</w:t>
            </w:r>
            <w:proofErr w:type="spellEnd"/>
          </w:p>
        </w:tc>
        <w:tc>
          <w:tcPr>
            <w:tcW w:w="645" w:type="pct"/>
            <w:tcBorders>
              <w:top w:val="dotted" w:sz="4" w:space="0" w:color="auto"/>
              <w:bottom w:val="dotted" w:sz="4" w:space="0" w:color="auto"/>
            </w:tcBorders>
            <w:vAlign w:val="bottom"/>
          </w:tcPr>
          <w:p w:rsidR="0002549D" w:rsidRPr="00A96ED0" w:rsidRDefault="0002549D" w:rsidP="009D5D45">
            <w:pPr>
              <w:pStyle w:val="TableBodyText"/>
              <w:ind w:left="284"/>
              <w:jc w:val="left"/>
              <w:rPr>
                <w:sz w:val="18"/>
                <w:szCs w:val="18"/>
                <w:lang w:eastAsia="en-US"/>
              </w:rPr>
            </w:pPr>
          </w:p>
        </w:tc>
        <w:tc>
          <w:tcPr>
            <w:tcW w:w="725" w:type="pct"/>
            <w:tcBorders>
              <w:top w:val="dotted" w:sz="4" w:space="0" w:color="auto"/>
              <w:bottom w:val="dotted" w:sz="4" w:space="0" w:color="auto"/>
            </w:tcBorders>
            <w:vAlign w:val="bottom"/>
          </w:tcPr>
          <w:p w:rsidR="0002549D" w:rsidRPr="00A96ED0" w:rsidRDefault="0002549D" w:rsidP="009D5D45">
            <w:pPr>
              <w:pStyle w:val="TableBodyText"/>
              <w:ind w:left="283"/>
              <w:jc w:val="left"/>
              <w:rPr>
                <w:sz w:val="18"/>
                <w:szCs w:val="18"/>
                <w:lang w:eastAsia="en-US"/>
              </w:rPr>
            </w:pPr>
          </w:p>
        </w:tc>
        <w:tc>
          <w:tcPr>
            <w:tcW w:w="807" w:type="pct"/>
            <w:tcBorders>
              <w:top w:val="dotted" w:sz="4" w:space="0" w:color="auto"/>
              <w:bottom w:val="dotted" w:sz="4" w:space="0" w:color="auto"/>
            </w:tcBorders>
            <w:vAlign w:val="bottom"/>
          </w:tcPr>
          <w:p w:rsidR="0002549D" w:rsidRPr="00A96ED0" w:rsidRDefault="0002549D" w:rsidP="009D5D45">
            <w:pPr>
              <w:pStyle w:val="TableBodyText"/>
              <w:ind w:left="143" w:right="0"/>
              <w:jc w:val="left"/>
              <w:rPr>
                <w:i/>
                <w:sz w:val="18"/>
                <w:szCs w:val="18"/>
              </w:rPr>
            </w:pPr>
            <w:r w:rsidRPr="00A96ED0">
              <w:rPr>
                <w:sz w:val="18"/>
                <w:szCs w:val="18"/>
              </w:rPr>
              <w:sym w:font="Wingdings 2" w:char="F050"/>
            </w:r>
            <w:r w:rsidRPr="00A96ED0">
              <w:rPr>
                <w:sz w:val="18"/>
                <w:szCs w:val="18"/>
              </w:rPr>
              <w:t xml:space="preserve"> study errors</w:t>
            </w:r>
          </w:p>
        </w:tc>
      </w:tr>
      <w:tr w:rsidR="0002549D" w:rsidRPr="00A96ED0" w:rsidTr="00365F5E">
        <w:tc>
          <w:tcPr>
            <w:tcW w:w="1452" w:type="pct"/>
            <w:tcBorders>
              <w:top w:val="dotted" w:sz="4" w:space="0" w:color="auto"/>
              <w:bottom w:val="single" w:sz="6" w:space="0" w:color="auto"/>
            </w:tcBorders>
            <w:shd w:val="clear" w:color="auto" w:fill="auto"/>
            <w:vAlign w:val="bottom"/>
          </w:tcPr>
          <w:p w:rsidR="0002549D" w:rsidRPr="00A96ED0" w:rsidRDefault="0002549D" w:rsidP="006E6AF6">
            <w:pPr>
              <w:pStyle w:val="TableBodyText"/>
              <w:jc w:val="left"/>
              <w:rPr>
                <w:sz w:val="18"/>
                <w:szCs w:val="18"/>
              </w:rPr>
            </w:pPr>
            <w:r w:rsidRPr="00A96ED0">
              <w:rPr>
                <w:sz w:val="18"/>
                <w:szCs w:val="18"/>
              </w:rPr>
              <w:t xml:space="preserve">Later </w:t>
            </w:r>
            <w:r w:rsidR="00DE0B7F">
              <w:rPr>
                <w:sz w:val="18"/>
                <w:szCs w:val="18"/>
              </w:rPr>
              <w:t>W</w:t>
            </w:r>
            <w:r w:rsidRPr="00A96ED0">
              <w:rPr>
                <w:sz w:val="18"/>
                <w:szCs w:val="18"/>
              </w:rPr>
              <w:t xml:space="preserve">ork to </w:t>
            </w:r>
            <w:proofErr w:type="spellStart"/>
            <w:r w:rsidRPr="00A96ED0">
              <w:rPr>
                <w:sz w:val="18"/>
                <w:szCs w:val="18"/>
              </w:rPr>
              <w:t>NILF</w:t>
            </w:r>
            <w:proofErr w:type="spellEnd"/>
            <w:r w:rsidRPr="00A96ED0">
              <w:rPr>
                <w:sz w:val="18"/>
                <w:szCs w:val="18"/>
              </w:rPr>
              <w:t xml:space="preserve"> (Seniors)</w:t>
            </w:r>
          </w:p>
        </w:tc>
        <w:tc>
          <w:tcPr>
            <w:tcW w:w="1371" w:type="pct"/>
            <w:tcBorders>
              <w:top w:val="dotted" w:sz="4" w:space="0" w:color="auto"/>
              <w:bottom w:val="single" w:sz="6" w:space="0" w:color="auto"/>
            </w:tcBorders>
            <w:vAlign w:val="bottom"/>
          </w:tcPr>
          <w:p w:rsidR="0002549D" w:rsidRPr="00A96ED0" w:rsidRDefault="0002549D" w:rsidP="00754315">
            <w:pPr>
              <w:pStyle w:val="TableBodyText"/>
              <w:jc w:val="left"/>
              <w:rPr>
                <w:sz w:val="18"/>
                <w:szCs w:val="18"/>
              </w:rPr>
            </w:pPr>
            <w:r w:rsidRPr="00A96ED0">
              <w:rPr>
                <w:rStyle w:val="NoteLabel"/>
                <w:b w:val="0"/>
                <w:szCs w:val="18"/>
              </w:rPr>
              <w:t>+</w:t>
            </w:r>
            <w:proofErr w:type="spellStart"/>
            <w:r w:rsidRPr="00A96ED0">
              <w:rPr>
                <w:rStyle w:val="NoteLabel"/>
                <w:b w:val="0"/>
                <w:szCs w:val="18"/>
              </w:rPr>
              <w:t>Unemp</w:t>
            </w:r>
            <w:proofErr w:type="spellEnd"/>
            <w:r w:rsidRPr="00A96ED0">
              <w:rPr>
                <w:rStyle w:val="NoteLabel"/>
                <w:b w:val="0"/>
                <w:szCs w:val="18"/>
              </w:rPr>
              <w:t xml:space="preserve"> &amp; -</w:t>
            </w:r>
            <w:r w:rsidR="00F719EE">
              <w:rPr>
                <w:rStyle w:val="NoteLabel"/>
                <w:b w:val="0"/>
                <w:szCs w:val="18"/>
              </w:rPr>
              <w:t>e</w:t>
            </w:r>
            <w:r w:rsidRPr="00A96ED0">
              <w:rPr>
                <w:rStyle w:val="NoteLabel"/>
                <w:b w:val="0"/>
                <w:szCs w:val="18"/>
              </w:rPr>
              <w:t>mployed</w:t>
            </w:r>
          </w:p>
        </w:tc>
        <w:tc>
          <w:tcPr>
            <w:tcW w:w="645" w:type="pct"/>
            <w:tcBorders>
              <w:top w:val="dotted" w:sz="4" w:space="0" w:color="auto"/>
              <w:bottom w:val="single" w:sz="6" w:space="0" w:color="auto"/>
            </w:tcBorders>
            <w:vAlign w:val="bottom"/>
          </w:tcPr>
          <w:p w:rsidR="0002549D" w:rsidRPr="00A96ED0" w:rsidRDefault="0002549D" w:rsidP="009D5D45">
            <w:pPr>
              <w:pStyle w:val="TableBodyText"/>
              <w:ind w:left="284"/>
              <w:jc w:val="left"/>
              <w:rPr>
                <w:sz w:val="18"/>
                <w:szCs w:val="18"/>
                <w:lang w:eastAsia="en-US"/>
              </w:rPr>
            </w:pPr>
          </w:p>
        </w:tc>
        <w:tc>
          <w:tcPr>
            <w:tcW w:w="725" w:type="pct"/>
            <w:tcBorders>
              <w:top w:val="dotted" w:sz="4" w:space="0" w:color="auto"/>
              <w:bottom w:val="single" w:sz="6" w:space="0" w:color="auto"/>
            </w:tcBorders>
            <w:vAlign w:val="bottom"/>
          </w:tcPr>
          <w:p w:rsidR="0002549D" w:rsidRPr="00A96ED0" w:rsidRDefault="0002549D" w:rsidP="009D5D45">
            <w:pPr>
              <w:pStyle w:val="TableBodyText"/>
              <w:ind w:left="283"/>
              <w:jc w:val="left"/>
              <w:rPr>
                <w:sz w:val="18"/>
                <w:szCs w:val="18"/>
                <w:lang w:eastAsia="en-US"/>
              </w:rPr>
            </w:pPr>
          </w:p>
        </w:tc>
        <w:tc>
          <w:tcPr>
            <w:tcW w:w="807" w:type="pct"/>
            <w:tcBorders>
              <w:top w:val="dotted" w:sz="4" w:space="0" w:color="auto"/>
              <w:bottom w:val="single" w:sz="6" w:space="0" w:color="auto"/>
            </w:tcBorders>
            <w:vAlign w:val="bottom"/>
          </w:tcPr>
          <w:p w:rsidR="0002549D" w:rsidRPr="00A96ED0" w:rsidRDefault="0002549D" w:rsidP="009D5D45">
            <w:pPr>
              <w:pStyle w:val="TableBodyText"/>
              <w:ind w:left="143" w:right="0"/>
              <w:jc w:val="left"/>
              <w:rPr>
                <w:sz w:val="18"/>
                <w:szCs w:val="18"/>
                <w:lang w:eastAsia="en-US"/>
              </w:rPr>
            </w:pPr>
          </w:p>
        </w:tc>
      </w:tr>
    </w:tbl>
    <w:p w:rsidR="0002549D" w:rsidRDefault="00A77770" w:rsidP="0002549D">
      <w:pPr>
        <w:pStyle w:val="Note"/>
      </w:pPr>
      <w:r>
        <w:rPr>
          <w:rStyle w:val="NoteLabel"/>
        </w:rPr>
        <w:t>a </w:t>
      </w:r>
      <w:r w:rsidR="0002549D" w:rsidRPr="006E140A">
        <w:t>+/- indicates there should be more/less of this activity in the pathway.</w:t>
      </w:r>
      <w:r>
        <w:rPr>
          <w:rStyle w:val="NoteLabel"/>
        </w:rPr>
        <w:t>  </w:t>
      </w:r>
      <w:r w:rsidR="0002549D">
        <w:rPr>
          <w:rStyle w:val="NoteLabel"/>
        </w:rPr>
        <w:t>b</w:t>
      </w:r>
      <w:r>
        <w:t> </w:t>
      </w:r>
      <w:r w:rsidR="0002549D">
        <w:t>A tick in this column indicates that the pathway should be bigger because it includes individuals with activity patterns that are assumed to be representative of people who are under</w:t>
      </w:r>
      <w:r w:rsidR="0002549D">
        <w:noBreakHyphen/>
        <w:t>represented in the initial HILDA sample (people with long periods of unemployment)</w:t>
      </w:r>
      <w:r w:rsidR="003C187D">
        <w:t>,</w:t>
      </w:r>
      <w:r w:rsidR="0002549D">
        <w:t xml:space="preserve"> and people who are out of scope of the survey because they live in a non</w:t>
      </w:r>
      <w:r w:rsidR="0002549D">
        <w:noBreakHyphen/>
        <w:t>private dwelling. It was not possible to determine the potential impact of selection bias due to non</w:t>
      </w:r>
      <w:r w:rsidR="00C6017F">
        <w:noBreakHyphen/>
      </w:r>
      <w:r w:rsidR="0002549D">
        <w:t>coverage of remote areas.</w:t>
      </w:r>
      <w:r w:rsidR="009D5D45">
        <w:br/>
      </w:r>
      <w:r w:rsidR="0002549D">
        <w:rPr>
          <w:rStyle w:val="NoteLabel"/>
        </w:rPr>
        <w:t>c</w:t>
      </w:r>
      <w:r>
        <w:rPr>
          <w:rStyle w:val="NoteLabel"/>
        </w:rPr>
        <w:t> </w:t>
      </w:r>
      <w:r w:rsidR="0002549D" w:rsidRPr="00F90164">
        <w:t>A tick in this column indicates that the pathway should be bigger because it includes individuals who are more likely to leave the survey after the first wave.</w:t>
      </w:r>
      <w:r>
        <w:t>  </w:t>
      </w:r>
      <w:r w:rsidR="00927C58">
        <w:rPr>
          <w:rStyle w:val="NoteLabel"/>
        </w:rPr>
        <w:t>d</w:t>
      </w:r>
      <w:r>
        <w:t> </w:t>
      </w:r>
      <w:r w:rsidR="0002549D">
        <w:t xml:space="preserve">A tick in this column indicates that the </w:t>
      </w:r>
      <w:r w:rsidR="00927C58">
        <w:t>patterns of activities in the pathway are</w:t>
      </w:r>
      <w:r w:rsidR="0002549D">
        <w:t xml:space="preserve"> likely to have been biased by recall errors. People with low education are more likely to make errors recalling education spells. People with more complicated activity patterns are more likely to forget short spells so that their activities should contain more spells of shorter duration. For the relevant work pathways (including </w:t>
      </w:r>
      <w:r w:rsidR="009065EA" w:rsidRPr="009065EA">
        <w:rPr>
          <w:i/>
        </w:rPr>
        <w:t>C</w:t>
      </w:r>
      <w:r w:rsidR="0002549D" w:rsidRPr="009065EA">
        <w:rPr>
          <w:i/>
        </w:rPr>
        <w:t xml:space="preserve">hurning with </w:t>
      </w:r>
      <w:r w:rsidR="00DE0B7F">
        <w:rPr>
          <w:i/>
        </w:rPr>
        <w:t>W</w:t>
      </w:r>
      <w:r w:rsidR="0002549D" w:rsidRPr="009065EA">
        <w:rPr>
          <w:i/>
        </w:rPr>
        <w:t>ork</w:t>
      </w:r>
      <w:r w:rsidR="0002549D">
        <w:t xml:space="preserve">), this does not relate to the </w:t>
      </w:r>
      <w:proofErr w:type="spellStart"/>
      <w:r w:rsidR="0002549D">
        <w:t>sub</w:t>
      </w:r>
      <w:r w:rsidR="00C6017F">
        <w:noBreakHyphen/>
      </w:r>
      <w:r w:rsidR="0002549D">
        <w:t>group</w:t>
      </w:r>
      <w:proofErr w:type="spellEnd"/>
      <w:r w:rsidR="0002549D">
        <w:t xml:space="preserve"> of individuals in work throughout</w:t>
      </w:r>
      <w:r w:rsidR="00144AB9">
        <w:t xml:space="preserve"> the ten years</w:t>
      </w:r>
      <w:r w:rsidR="0002549D">
        <w:t xml:space="preserve">. </w:t>
      </w:r>
    </w:p>
    <w:p w:rsidR="0002549D" w:rsidRDefault="0002549D" w:rsidP="0002549D">
      <w:pPr>
        <w:pStyle w:val="Note"/>
      </w:pPr>
      <w:r>
        <w:rPr>
          <w:i/>
        </w:rPr>
        <w:t>Source</w:t>
      </w:r>
      <w:r>
        <w:t xml:space="preserve">: </w:t>
      </w:r>
      <w:r w:rsidR="000C0DCE">
        <w:t>Authors’</w:t>
      </w:r>
      <w:r>
        <w:t xml:space="preserve"> estimates based on HILDA waves 1–10.</w:t>
      </w:r>
    </w:p>
    <w:p w:rsidR="00114899" w:rsidRPr="0002549D" w:rsidRDefault="00114899" w:rsidP="002B78A1">
      <w:pPr>
        <w:pStyle w:val="Heading4"/>
        <w:rPr>
          <w:rStyle w:val="DraftingNote"/>
          <w:b w:val="0"/>
          <w:color w:val="auto"/>
          <w:sz w:val="18"/>
          <w:u w:val="none"/>
        </w:rPr>
      </w:pPr>
      <w:r w:rsidRPr="001C4A7F">
        <w:rPr>
          <w:rStyle w:val="DraftingNote"/>
          <w:b w:val="0"/>
          <w:color w:val="auto"/>
          <w:u w:val="none"/>
        </w:rPr>
        <w:t xml:space="preserve">Data aggregation rules </w:t>
      </w:r>
    </w:p>
    <w:p w:rsidR="00C53A1F" w:rsidRPr="002B78A1" w:rsidRDefault="00114899" w:rsidP="002B78A1">
      <w:pPr>
        <w:pStyle w:val="BodyText"/>
        <w:rPr>
          <w:rStyle w:val="DraftingNote"/>
          <w:b w:val="0"/>
          <w:color w:val="auto"/>
          <w:sz w:val="26"/>
          <w:u w:val="none"/>
        </w:rPr>
      </w:pPr>
      <w:r w:rsidRPr="002B78A1">
        <w:rPr>
          <w:rStyle w:val="DraftingNote"/>
          <w:b w:val="0"/>
          <w:color w:val="auto"/>
          <w:sz w:val="26"/>
          <w:u w:val="none"/>
        </w:rPr>
        <w:t>The rules applied to aggregate the month</w:t>
      </w:r>
      <w:r w:rsidR="00BF7287" w:rsidRPr="002B78A1">
        <w:rPr>
          <w:rStyle w:val="DraftingNote"/>
          <w:b w:val="0"/>
          <w:color w:val="auto"/>
          <w:sz w:val="26"/>
          <w:u w:val="none"/>
        </w:rPr>
        <w:t xml:space="preserve"> </w:t>
      </w:r>
      <w:r w:rsidRPr="002B78A1">
        <w:rPr>
          <w:rStyle w:val="DraftingNote"/>
          <w:b w:val="0"/>
          <w:color w:val="auto"/>
          <w:sz w:val="26"/>
          <w:u w:val="none"/>
        </w:rPr>
        <w:t>third to monthly data have some impacts on the results</w:t>
      </w:r>
      <w:r w:rsidR="00C53A1F" w:rsidRPr="002B78A1">
        <w:rPr>
          <w:rStyle w:val="DraftingNote"/>
          <w:b w:val="0"/>
          <w:color w:val="auto"/>
          <w:sz w:val="26"/>
          <w:u w:val="none"/>
        </w:rPr>
        <w:t xml:space="preserve"> of this analysis</w:t>
      </w:r>
      <w:r w:rsidRPr="002B78A1">
        <w:rPr>
          <w:rStyle w:val="DraftingNote"/>
          <w:b w:val="0"/>
          <w:color w:val="auto"/>
          <w:sz w:val="26"/>
          <w:u w:val="none"/>
        </w:rPr>
        <w:t xml:space="preserve">. Short spells of less than a month in unemployment or </w:t>
      </w:r>
      <w:proofErr w:type="spellStart"/>
      <w:r w:rsidRPr="002B78A1">
        <w:rPr>
          <w:rStyle w:val="DraftingNote"/>
          <w:b w:val="0"/>
          <w:color w:val="auto"/>
          <w:sz w:val="26"/>
          <w:u w:val="none"/>
        </w:rPr>
        <w:t>NILF</w:t>
      </w:r>
      <w:proofErr w:type="spellEnd"/>
      <w:r w:rsidRPr="002B78A1">
        <w:rPr>
          <w:rStyle w:val="DraftingNote"/>
          <w:b w:val="0"/>
          <w:color w:val="auto"/>
          <w:sz w:val="26"/>
          <w:u w:val="none"/>
        </w:rPr>
        <w:t xml:space="preserve"> will not </w:t>
      </w:r>
      <w:r w:rsidR="007555C9" w:rsidRPr="002B78A1">
        <w:rPr>
          <w:rStyle w:val="DraftingNote"/>
          <w:b w:val="0"/>
          <w:color w:val="auto"/>
          <w:sz w:val="26"/>
          <w:u w:val="none"/>
        </w:rPr>
        <w:t>appear</w:t>
      </w:r>
      <w:r w:rsidRPr="002B78A1">
        <w:rPr>
          <w:rStyle w:val="DraftingNote"/>
          <w:b w:val="0"/>
          <w:color w:val="auto"/>
          <w:sz w:val="26"/>
          <w:u w:val="none"/>
        </w:rPr>
        <w:t xml:space="preserve"> in the monthly data if some time in the month is spent in</w:t>
      </w:r>
      <w:r w:rsidR="00C53A1F" w:rsidRPr="002B78A1">
        <w:rPr>
          <w:rStyle w:val="DraftingNote"/>
          <w:b w:val="0"/>
          <w:color w:val="auto"/>
          <w:sz w:val="26"/>
          <w:u w:val="none"/>
        </w:rPr>
        <w:t xml:space="preserve"> </w:t>
      </w:r>
      <w:r w:rsidRPr="002B78A1">
        <w:rPr>
          <w:rStyle w:val="DraftingNote"/>
          <w:b w:val="0"/>
          <w:color w:val="auto"/>
          <w:sz w:val="26"/>
          <w:u w:val="none"/>
        </w:rPr>
        <w:t xml:space="preserve">employment. This suggests that the pathways characterised by long spells of </w:t>
      </w:r>
      <w:r w:rsidRPr="002B78A1">
        <w:rPr>
          <w:rStyle w:val="DraftingNote"/>
          <w:b w:val="0"/>
          <w:color w:val="auto"/>
          <w:sz w:val="26"/>
          <w:u w:val="none"/>
        </w:rPr>
        <w:lastRenderedPageBreak/>
        <w:t xml:space="preserve">employment — the </w:t>
      </w:r>
      <w:r w:rsidRPr="002B78A1">
        <w:rPr>
          <w:rStyle w:val="DraftingNote"/>
          <w:b w:val="0"/>
          <w:i/>
          <w:color w:val="auto"/>
          <w:sz w:val="26"/>
          <w:u w:val="none"/>
        </w:rPr>
        <w:t>Work</w:t>
      </w:r>
      <w:r w:rsidRPr="002B78A1">
        <w:rPr>
          <w:rStyle w:val="DraftingNote"/>
          <w:b w:val="0"/>
          <w:color w:val="auto"/>
          <w:sz w:val="26"/>
          <w:u w:val="none"/>
        </w:rPr>
        <w:t xml:space="preserve">, </w:t>
      </w:r>
      <w:r w:rsidRPr="002B78A1">
        <w:rPr>
          <w:rStyle w:val="DraftingNote"/>
          <w:b w:val="0"/>
          <w:i/>
          <w:color w:val="auto"/>
          <w:sz w:val="26"/>
          <w:u w:val="none"/>
        </w:rPr>
        <w:t xml:space="preserve">Work to </w:t>
      </w:r>
      <w:proofErr w:type="spellStart"/>
      <w:r w:rsidRPr="002B78A1">
        <w:rPr>
          <w:rStyle w:val="DraftingNote"/>
          <w:b w:val="0"/>
          <w:i/>
          <w:color w:val="auto"/>
          <w:sz w:val="26"/>
          <w:u w:val="none"/>
        </w:rPr>
        <w:t>NILF</w:t>
      </w:r>
      <w:proofErr w:type="spellEnd"/>
      <w:r w:rsidRPr="002B78A1">
        <w:rPr>
          <w:rStyle w:val="DraftingNote"/>
          <w:b w:val="0"/>
          <w:color w:val="auto"/>
          <w:sz w:val="26"/>
          <w:u w:val="none"/>
        </w:rPr>
        <w:t xml:space="preserve"> and </w:t>
      </w:r>
      <w:r w:rsidRPr="002B78A1">
        <w:rPr>
          <w:rStyle w:val="DraftingNote"/>
          <w:b w:val="0"/>
          <w:i/>
          <w:color w:val="auto"/>
          <w:sz w:val="26"/>
          <w:u w:val="none"/>
        </w:rPr>
        <w:t xml:space="preserve">Later </w:t>
      </w:r>
      <w:r w:rsidR="00DE0B7F" w:rsidRPr="002B78A1">
        <w:rPr>
          <w:rStyle w:val="DraftingNote"/>
          <w:b w:val="0"/>
          <w:i/>
          <w:color w:val="auto"/>
          <w:sz w:val="26"/>
          <w:u w:val="none"/>
        </w:rPr>
        <w:t>W</w:t>
      </w:r>
      <w:r w:rsidRPr="002B78A1">
        <w:rPr>
          <w:rStyle w:val="DraftingNote"/>
          <w:b w:val="0"/>
          <w:i/>
          <w:color w:val="auto"/>
          <w:sz w:val="26"/>
          <w:u w:val="none"/>
        </w:rPr>
        <w:t xml:space="preserve">ork to </w:t>
      </w:r>
      <w:proofErr w:type="spellStart"/>
      <w:r w:rsidRPr="002B78A1">
        <w:rPr>
          <w:rStyle w:val="DraftingNote"/>
          <w:b w:val="0"/>
          <w:i/>
          <w:color w:val="auto"/>
          <w:sz w:val="26"/>
          <w:u w:val="none"/>
        </w:rPr>
        <w:t>NILF</w:t>
      </w:r>
      <w:proofErr w:type="spellEnd"/>
      <w:r w:rsidRPr="002B78A1">
        <w:rPr>
          <w:rStyle w:val="DraftingNote"/>
          <w:b w:val="0"/>
          <w:color w:val="auto"/>
          <w:sz w:val="26"/>
          <w:u w:val="none"/>
        </w:rPr>
        <w:t xml:space="preserve"> pathways — </w:t>
      </w:r>
      <w:r w:rsidR="00144AB9">
        <w:rPr>
          <w:rStyle w:val="DraftingNote"/>
          <w:b w:val="0"/>
          <w:color w:val="auto"/>
          <w:sz w:val="26"/>
          <w:u w:val="none"/>
        </w:rPr>
        <w:t>would</w:t>
      </w:r>
      <w:r w:rsidR="00A74CB6" w:rsidRPr="002B78A1">
        <w:rPr>
          <w:rStyle w:val="DraftingNote"/>
          <w:b w:val="0"/>
          <w:color w:val="auto"/>
          <w:sz w:val="26"/>
          <w:u w:val="none"/>
        </w:rPr>
        <w:t xml:space="preserve"> </w:t>
      </w:r>
      <w:r w:rsidR="00144AB9">
        <w:rPr>
          <w:rStyle w:val="DraftingNote"/>
          <w:b w:val="0"/>
          <w:color w:val="auto"/>
          <w:sz w:val="26"/>
          <w:u w:val="none"/>
        </w:rPr>
        <w:t xml:space="preserve">not </w:t>
      </w:r>
      <w:r w:rsidRPr="002B78A1">
        <w:rPr>
          <w:rStyle w:val="DraftingNote"/>
          <w:b w:val="0"/>
          <w:color w:val="auto"/>
          <w:sz w:val="26"/>
          <w:u w:val="none"/>
        </w:rPr>
        <w:t xml:space="preserve">show some short spells of unemployment or </w:t>
      </w:r>
      <w:proofErr w:type="spellStart"/>
      <w:r w:rsidRPr="002B78A1">
        <w:rPr>
          <w:rStyle w:val="DraftingNote"/>
          <w:b w:val="0"/>
          <w:color w:val="auto"/>
          <w:sz w:val="26"/>
          <w:u w:val="none"/>
        </w:rPr>
        <w:t>NILF</w:t>
      </w:r>
      <w:proofErr w:type="spellEnd"/>
      <w:r w:rsidRPr="002B78A1">
        <w:rPr>
          <w:rStyle w:val="DraftingNote"/>
          <w:b w:val="0"/>
          <w:color w:val="auto"/>
          <w:sz w:val="26"/>
          <w:u w:val="none"/>
        </w:rPr>
        <w:t xml:space="preserve">, and the average duration of employment spells </w:t>
      </w:r>
      <w:r w:rsidR="00144AB9">
        <w:rPr>
          <w:rStyle w:val="DraftingNote"/>
          <w:b w:val="0"/>
          <w:color w:val="auto"/>
          <w:sz w:val="26"/>
          <w:u w:val="none"/>
        </w:rPr>
        <w:t xml:space="preserve">should </w:t>
      </w:r>
      <w:r w:rsidRPr="002B78A1">
        <w:rPr>
          <w:rStyle w:val="DraftingNote"/>
          <w:b w:val="0"/>
          <w:color w:val="auto"/>
          <w:sz w:val="26"/>
          <w:u w:val="none"/>
        </w:rPr>
        <w:t xml:space="preserve">be </w:t>
      </w:r>
      <w:r w:rsidR="00144AB9">
        <w:rPr>
          <w:rStyle w:val="DraftingNote"/>
          <w:b w:val="0"/>
          <w:color w:val="auto"/>
          <w:sz w:val="26"/>
          <w:u w:val="none"/>
        </w:rPr>
        <w:t>shorter.</w:t>
      </w:r>
    </w:p>
    <w:p w:rsidR="00114899" w:rsidRPr="002B78A1" w:rsidRDefault="00114899" w:rsidP="002B78A1">
      <w:pPr>
        <w:pStyle w:val="BodyText"/>
      </w:pPr>
      <w:r w:rsidRPr="002B78A1">
        <w:rPr>
          <w:rStyle w:val="DraftingNote"/>
          <w:b w:val="0"/>
          <w:color w:val="auto"/>
          <w:sz w:val="26"/>
          <w:u w:val="none"/>
        </w:rPr>
        <w:t xml:space="preserve">Likewise, pathways characterised by significant time spent in study (with or without work) might overestimate the time spent in study, and underestimate the number of short spells of unemployment or </w:t>
      </w:r>
      <w:proofErr w:type="spellStart"/>
      <w:r w:rsidRPr="002B78A1">
        <w:rPr>
          <w:rStyle w:val="DraftingNote"/>
          <w:b w:val="0"/>
          <w:color w:val="auto"/>
          <w:sz w:val="26"/>
          <w:u w:val="none"/>
        </w:rPr>
        <w:t>NILF</w:t>
      </w:r>
      <w:proofErr w:type="spellEnd"/>
      <w:r w:rsidRPr="002B78A1">
        <w:rPr>
          <w:rStyle w:val="DraftingNote"/>
          <w:b w:val="0"/>
          <w:color w:val="auto"/>
          <w:sz w:val="26"/>
          <w:u w:val="none"/>
        </w:rPr>
        <w:t xml:space="preserve">. This relates to the </w:t>
      </w:r>
      <w:r w:rsidRPr="002B78A1">
        <w:rPr>
          <w:rStyle w:val="DraftingNote"/>
          <w:b w:val="0"/>
          <w:i/>
          <w:color w:val="auto"/>
          <w:sz w:val="26"/>
          <w:u w:val="none"/>
        </w:rPr>
        <w:t xml:space="preserve">Education to </w:t>
      </w:r>
      <w:r w:rsidR="00DE0B7F" w:rsidRPr="002B78A1">
        <w:rPr>
          <w:rStyle w:val="DraftingNote"/>
          <w:b w:val="0"/>
          <w:i/>
          <w:color w:val="auto"/>
          <w:sz w:val="26"/>
          <w:u w:val="none"/>
        </w:rPr>
        <w:t>W</w:t>
      </w:r>
      <w:r w:rsidRPr="002B78A1">
        <w:rPr>
          <w:rStyle w:val="DraftingNote"/>
          <w:b w:val="0"/>
          <w:i/>
          <w:color w:val="auto"/>
          <w:sz w:val="26"/>
          <w:u w:val="none"/>
        </w:rPr>
        <w:t>ork</w:t>
      </w:r>
      <w:r w:rsidRPr="002B78A1">
        <w:rPr>
          <w:rStyle w:val="DraftingNote"/>
          <w:b w:val="0"/>
          <w:color w:val="auto"/>
          <w:sz w:val="26"/>
          <w:u w:val="none"/>
        </w:rPr>
        <w:t xml:space="preserve">, </w:t>
      </w:r>
      <w:r w:rsidRPr="002B78A1">
        <w:rPr>
          <w:rStyle w:val="DraftingNote"/>
          <w:b w:val="0"/>
          <w:i/>
          <w:color w:val="auto"/>
          <w:sz w:val="26"/>
          <w:u w:val="none"/>
        </w:rPr>
        <w:t xml:space="preserve">Work and </w:t>
      </w:r>
      <w:r w:rsidR="00DE0B7F" w:rsidRPr="002B78A1">
        <w:rPr>
          <w:rStyle w:val="DraftingNote"/>
          <w:b w:val="0"/>
          <w:i/>
          <w:color w:val="auto"/>
          <w:sz w:val="26"/>
          <w:u w:val="none"/>
        </w:rPr>
        <w:t>S</w:t>
      </w:r>
      <w:r w:rsidRPr="002B78A1">
        <w:rPr>
          <w:rStyle w:val="DraftingNote"/>
          <w:b w:val="0"/>
          <w:i/>
          <w:color w:val="auto"/>
          <w:sz w:val="26"/>
          <w:u w:val="none"/>
        </w:rPr>
        <w:t xml:space="preserve">tudy to </w:t>
      </w:r>
      <w:r w:rsidR="00DE0B7F" w:rsidRPr="002B78A1">
        <w:rPr>
          <w:rStyle w:val="DraftingNote"/>
          <w:b w:val="0"/>
          <w:i/>
          <w:color w:val="auto"/>
          <w:sz w:val="26"/>
          <w:u w:val="none"/>
        </w:rPr>
        <w:t>W</w:t>
      </w:r>
      <w:r w:rsidRPr="002B78A1">
        <w:rPr>
          <w:rStyle w:val="DraftingNote"/>
          <w:b w:val="0"/>
          <w:i/>
          <w:color w:val="auto"/>
          <w:sz w:val="26"/>
          <w:u w:val="none"/>
        </w:rPr>
        <w:t>ork</w:t>
      </w:r>
      <w:r w:rsidRPr="002B78A1">
        <w:rPr>
          <w:rStyle w:val="DraftingNote"/>
          <w:b w:val="0"/>
          <w:color w:val="auto"/>
          <w:sz w:val="26"/>
          <w:u w:val="none"/>
        </w:rPr>
        <w:t xml:space="preserve">, and the </w:t>
      </w:r>
      <w:r w:rsidRPr="002B78A1">
        <w:rPr>
          <w:rStyle w:val="DraftingNote"/>
          <w:b w:val="0"/>
          <w:i/>
          <w:color w:val="auto"/>
          <w:sz w:val="26"/>
          <w:u w:val="none"/>
        </w:rPr>
        <w:t xml:space="preserve">Work, with or without </w:t>
      </w:r>
      <w:r w:rsidR="00DE0B7F" w:rsidRPr="002B78A1">
        <w:rPr>
          <w:rStyle w:val="DraftingNote"/>
          <w:b w:val="0"/>
          <w:i/>
          <w:color w:val="auto"/>
          <w:sz w:val="26"/>
          <w:u w:val="none"/>
        </w:rPr>
        <w:t>S</w:t>
      </w:r>
      <w:r w:rsidRPr="002B78A1">
        <w:rPr>
          <w:rStyle w:val="DraftingNote"/>
          <w:b w:val="0"/>
          <w:i/>
          <w:color w:val="auto"/>
          <w:sz w:val="26"/>
          <w:u w:val="none"/>
        </w:rPr>
        <w:t>tudy</w:t>
      </w:r>
      <w:r w:rsidRPr="002B78A1">
        <w:rPr>
          <w:rStyle w:val="DraftingNote"/>
          <w:b w:val="0"/>
          <w:color w:val="auto"/>
          <w:sz w:val="26"/>
          <w:u w:val="none"/>
        </w:rPr>
        <w:t xml:space="preserve"> pathways.</w:t>
      </w:r>
      <w:r w:rsidRPr="002B78A1">
        <w:t xml:space="preserve"> </w:t>
      </w:r>
    </w:p>
    <w:p w:rsidR="00114899" w:rsidRDefault="00114899" w:rsidP="00114899">
      <w:pPr>
        <w:pStyle w:val="BodyText"/>
      </w:pPr>
      <w:r>
        <w:t xml:space="preserve">The </w:t>
      </w:r>
      <w:r>
        <w:rPr>
          <w:i/>
        </w:rPr>
        <w:t xml:space="preserve">Education to </w:t>
      </w:r>
      <w:r w:rsidR="00DE0B7F">
        <w:rPr>
          <w:i/>
        </w:rPr>
        <w:t>W</w:t>
      </w:r>
      <w:r>
        <w:rPr>
          <w:i/>
        </w:rPr>
        <w:t>ork</w:t>
      </w:r>
      <w:r>
        <w:t xml:space="preserve"> pathway for youth</w:t>
      </w:r>
      <w:r w:rsidR="00DE0B7F">
        <w:t>s</w:t>
      </w:r>
      <w:r>
        <w:t xml:space="preserve"> may reflect some short spells of work and study that do not represent concurrent work and study. For example, where an individual transitions from study only to work only within a month, this will be categorised as work and study</w:t>
      </w:r>
      <w:r w:rsidR="00C53A1F">
        <w:t>.</w:t>
      </w:r>
      <w:r>
        <w:t xml:space="preserve"> It is unlikely that this will impact significantly on spell length for education or work. </w:t>
      </w:r>
    </w:p>
    <w:p w:rsidR="00114899" w:rsidRPr="00C53A1F" w:rsidRDefault="00114899" w:rsidP="00C53A1F">
      <w:pPr>
        <w:pStyle w:val="BodyText"/>
        <w:rPr>
          <w:rStyle w:val="DraftingNote"/>
          <w:b w:val="0"/>
          <w:color w:val="auto"/>
          <w:sz w:val="26"/>
          <w:u w:val="none"/>
        </w:rPr>
      </w:pPr>
      <w:r w:rsidRPr="00C53A1F">
        <w:t xml:space="preserve">A consequence of unemployment dominating </w:t>
      </w:r>
      <w:proofErr w:type="spellStart"/>
      <w:r w:rsidRPr="00C53A1F">
        <w:t>NILF</w:t>
      </w:r>
      <w:proofErr w:type="spellEnd"/>
      <w:r w:rsidRPr="00C53A1F">
        <w:t xml:space="preserve"> is that the pathways characterised by long spells of </w:t>
      </w:r>
      <w:proofErr w:type="spellStart"/>
      <w:r w:rsidRPr="00C53A1F">
        <w:t>NILF</w:t>
      </w:r>
      <w:proofErr w:type="spellEnd"/>
      <w:r w:rsidRPr="00C53A1F">
        <w:t xml:space="preserve"> — mainly the </w:t>
      </w:r>
      <w:r w:rsidRPr="00C53A1F">
        <w:rPr>
          <w:i/>
        </w:rPr>
        <w:t xml:space="preserve">Prolonged </w:t>
      </w:r>
      <w:proofErr w:type="spellStart"/>
      <w:r w:rsidRPr="00C53A1F">
        <w:rPr>
          <w:i/>
        </w:rPr>
        <w:t>NILF</w:t>
      </w:r>
      <w:proofErr w:type="spellEnd"/>
      <w:r w:rsidRPr="00C53A1F">
        <w:t xml:space="preserve"> and </w:t>
      </w:r>
      <w:proofErr w:type="spellStart"/>
      <w:r w:rsidRPr="00C53A1F">
        <w:rPr>
          <w:i/>
        </w:rPr>
        <w:t>NILF</w:t>
      </w:r>
      <w:proofErr w:type="spellEnd"/>
      <w:r w:rsidRPr="00C53A1F">
        <w:t xml:space="preserve"> pathways, but also the </w:t>
      </w:r>
      <w:proofErr w:type="spellStart"/>
      <w:r w:rsidRPr="00C53A1F">
        <w:rPr>
          <w:i/>
        </w:rPr>
        <w:t>NILF</w:t>
      </w:r>
      <w:proofErr w:type="spellEnd"/>
      <w:r w:rsidRPr="00C53A1F">
        <w:rPr>
          <w:i/>
        </w:rPr>
        <w:t xml:space="preserve"> to </w:t>
      </w:r>
      <w:r w:rsidR="00DE0B7F">
        <w:rPr>
          <w:i/>
        </w:rPr>
        <w:t>W</w:t>
      </w:r>
      <w:r w:rsidRPr="00C53A1F">
        <w:rPr>
          <w:i/>
        </w:rPr>
        <w:t>ork</w:t>
      </w:r>
      <w:r w:rsidRPr="00C53A1F">
        <w:t xml:space="preserve">, </w:t>
      </w:r>
      <w:r w:rsidRPr="00C53A1F">
        <w:rPr>
          <w:i/>
        </w:rPr>
        <w:t xml:space="preserve">Work to </w:t>
      </w:r>
      <w:proofErr w:type="spellStart"/>
      <w:r w:rsidRPr="00C53A1F">
        <w:rPr>
          <w:i/>
        </w:rPr>
        <w:t>NILF</w:t>
      </w:r>
      <w:proofErr w:type="spellEnd"/>
      <w:r w:rsidRPr="00C53A1F">
        <w:t xml:space="preserve"> and </w:t>
      </w:r>
      <w:r w:rsidRPr="00C53A1F">
        <w:rPr>
          <w:i/>
        </w:rPr>
        <w:t>Early</w:t>
      </w:r>
      <w:r w:rsidRPr="00C53A1F">
        <w:t xml:space="preserve"> </w:t>
      </w:r>
      <w:r w:rsidR="00144AB9">
        <w:rPr>
          <w:i/>
        </w:rPr>
        <w:t>W</w:t>
      </w:r>
      <w:r w:rsidR="00144AB9" w:rsidRPr="00C53A1F">
        <w:rPr>
          <w:i/>
        </w:rPr>
        <w:t xml:space="preserve">ork to </w:t>
      </w:r>
      <w:proofErr w:type="spellStart"/>
      <w:r w:rsidR="00144AB9" w:rsidRPr="00C53A1F">
        <w:rPr>
          <w:i/>
        </w:rPr>
        <w:t>NILF</w:t>
      </w:r>
      <w:proofErr w:type="spellEnd"/>
      <w:r w:rsidR="00144AB9" w:rsidRPr="00C53A1F">
        <w:t xml:space="preserve"> </w:t>
      </w:r>
      <w:r w:rsidRPr="00C53A1F">
        <w:t xml:space="preserve">and </w:t>
      </w:r>
      <w:r w:rsidRPr="00C53A1F">
        <w:rPr>
          <w:i/>
        </w:rPr>
        <w:t xml:space="preserve">Later </w:t>
      </w:r>
      <w:r w:rsidR="00DE0B7F">
        <w:rPr>
          <w:i/>
        </w:rPr>
        <w:t>W</w:t>
      </w:r>
      <w:r w:rsidRPr="00C53A1F">
        <w:rPr>
          <w:i/>
        </w:rPr>
        <w:t xml:space="preserve">ork to </w:t>
      </w:r>
      <w:proofErr w:type="spellStart"/>
      <w:r w:rsidRPr="00C53A1F">
        <w:rPr>
          <w:i/>
        </w:rPr>
        <w:t>NILF</w:t>
      </w:r>
      <w:proofErr w:type="spellEnd"/>
      <w:r w:rsidRPr="00C53A1F">
        <w:t xml:space="preserve"> pathways —</w:t>
      </w:r>
      <w:r w:rsidR="000108A2">
        <w:t xml:space="preserve"> </w:t>
      </w:r>
      <w:r w:rsidRPr="00C53A1F">
        <w:t xml:space="preserve">reflect </w:t>
      </w:r>
      <w:r w:rsidR="000108A2">
        <w:t>fewer</w:t>
      </w:r>
      <w:r w:rsidRPr="00C53A1F">
        <w:t xml:space="preserve"> short spells of unemployment, and </w:t>
      </w:r>
      <w:r w:rsidR="000108A2">
        <w:t xml:space="preserve">longer spells of </w:t>
      </w:r>
      <w:proofErr w:type="spellStart"/>
      <w:r w:rsidR="000108A2">
        <w:t>NILF</w:t>
      </w:r>
      <w:proofErr w:type="spellEnd"/>
      <w:r w:rsidR="000108A2">
        <w:t xml:space="preserve"> than they would with the original month</w:t>
      </w:r>
      <w:r w:rsidR="000108A2">
        <w:noBreakHyphen/>
        <w:t xml:space="preserve">third data. </w:t>
      </w:r>
    </w:p>
    <w:p w:rsidR="00114899" w:rsidRPr="002B78A1" w:rsidRDefault="00114899" w:rsidP="002B78A1">
      <w:pPr>
        <w:pStyle w:val="Heading4"/>
        <w:rPr>
          <w:rStyle w:val="DraftingNote"/>
          <w:b w:val="0"/>
          <w:color w:val="auto"/>
          <w:u w:val="none"/>
        </w:rPr>
      </w:pPr>
      <w:r w:rsidRPr="002B78A1">
        <w:rPr>
          <w:rStyle w:val="DraftingNote"/>
          <w:b w:val="0"/>
          <w:color w:val="auto"/>
          <w:u w:val="none"/>
        </w:rPr>
        <w:t>Sample selection bias</w:t>
      </w:r>
    </w:p>
    <w:p w:rsidR="00114899" w:rsidRPr="002B78A1" w:rsidRDefault="00114899" w:rsidP="002B78A1">
      <w:pPr>
        <w:pStyle w:val="BodyText"/>
        <w:rPr>
          <w:rStyle w:val="DraftingNote"/>
          <w:b w:val="0"/>
          <w:color w:val="auto"/>
          <w:sz w:val="26"/>
          <w:u w:val="none"/>
        </w:rPr>
      </w:pPr>
      <w:r w:rsidRPr="002B78A1">
        <w:rPr>
          <w:rStyle w:val="DraftingNote"/>
          <w:b w:val="0"/>
          <w:color w:val="auto"/>
          <w:sz w:val="26"/>
          <w:u w:val="none"/>
        </w:rPr>
        <w:t xml:space="preserve">As discussed above, sample selection bias </w:t>
      </w:r>
      <w:r w:rsidR="00C53A1F" w:rsidRPr="002B78A1">
        <w:rPr>
          <w:rStyle w:val="DraftingNote"/>
          <w:b w:val="0"/>
          <w:color w:val="auto"/>
          <w:sz w:val="26"/>
          <w:u w:val="none"/>
        </w:rPr>
        <w:t>may have some</w:t>
      </w:r>
      <w:r w:rsidRPr="002B78A1">
        <w:rPr>
          <w:rStyle w:val="DraftingNote"/>
          <w:b w:val="0"/>
          <w:color w:val="auto"/>
          <w:sz w:val="26"/>
          <w:u w:val="none"/>
        </w:rPr>
        <w:t xml:space="preserve"> impact on the results</w:t>
      </w:r>
      <w:r w:rsidR="00C53A1F" w:rsidRPr="002B78A1">
        <w:rPr>
          <w:rStyle w:val="DraftingNote"/>
          <w:b w:val="0"/>
          <w:color w:val="auto"/>
          <w:sz w:val="26"/>
          <w:u w:val="none"/>
        </w:rPr>
        <w:t xml:space="preserve"> presented in this paper</w:t>
      </w:r>
      <w:r w:rsidRPr="002B78A1">
        <w:rPr>
          <w:rStyle w:val="DraftingNote"/>
          <w:b w:val="0"/>
          <w:color w:val="auto"/>
          <w:sz w:val="26"/>
          <w:u w:val="none"/>
        </w:rPr>
        <w:t xml:space="preserve">. It is difficult to </w:t>
      </w:r>
      <w:r w:rsidR="00C53A1F" w:rsidRPr="002B78A1">
        <w:rPr>
          <w:rStyle w:val="DraftingNote"/>
          <w:b w:val="0"/>
          <w:color w:val="auto"/>
          <w:sz w:val="26"/>
          <w:u w:val="none"/>
        </w:rPr>
        <w:t>ascertain</w:t>
      </w:r>
      <w:r w:rsidR="00C53A1F" w:rsidRPr="002B78A1" w:rsidDel="00A74CB6">
        <w:rPr>
          <w:rStyle w:val="DraftingNote"/>
          <w:b w:val="0"/>
          <w:color w:val="auto"/>
          <w:sz w:val="26"/>
          <w:u w:val="none"/>
        </w:rPr>
        <w:t xml:space="preserve"> </w:t>
      </w:r>
      <w:r w:rsidRPr="002B78A1">
        <w:rPr>
          <w:rStyle w:val="DraftingNote"/>
          <w:b w:val="0"/>
          <w:color w:val="auto"/>
          <w:sz w:val="26"/>
          <w:u w:val="none"/>
        </w:rPr>
        <w:t>how the exclusion of individuals who live in non</w:t>
      </w:r>
      <w:r w:rsidRPr="002B78A1">
        <w:rPr>
          <w:rStyle w:val="DraftingNote"/>
          <w:b w:val="0"/>
          <w:color w:val="auto"/>
          <w:sz w:val="26"/>
          <w:u w:val="none"/>
        </w:rPr>
        <w:noBreakHyphen/>
        <w:t>private dwellings may impact the results</w:t>
      </w:r>
      <w:r w:rsidR="00C53A1F" w:rsidRPr="002B78A1">
        <w:rPr>
          <w:rStyle w:val="DraftingNote"/>
          <w:b w:val="0"/>
          <w:color w:val="auto"/>
          <w:sz w:val="26"/>
          <w:u w:val="none"/>
        </w:rPr>
        <w:t xml:space="preserve"> of this analysis.</w:t>
      </w:r>
      <w:r w:rsidR="00A74CB6" w:rsidRPr="002B78A1">
        <w:rPr>
          <w:rStyle w:val="DraftingNote"/>
          <w:b w:val="0"/>
          <w:color w:val="auto"/>
          <w:sz w:val="26"/>
          <w:u w:val="none"/>
        </w:rPr>
        <w:t xml:space="preserve"> Possibly</w:t>
      </w:r>
      <w:r w:rsidRPr="002B78A1">
        <w:rPr>
          <w:rStyle w:val="DraftingNote"/>
          <w:b w:val="0"/>
          <w:color w:val="auto"/>
          <w:sz w:val="26"/>
          <w:u w:val="none"/>
        </w:rPr>
        <w:t>, individuals living in non</w:t>
      </w:r>
      <w:r w:rsidR="00C6017F">
        <w:rPr>
          <w:rStyle w:val="DraftingNote"/>
          <w:b w:val="0"/>
          <w:color w:val="auto"/>
          <w:sz w:val="26"/>
          <w:u w:val="none"/>
        </w:rPr>
        <w:noBreakHyphen/>
      </w:r>
      <w:r w:rsidRPr="002B78A1">
        <w:rPr>
          <w:rStyle w:val="DraftingNote"/>
          <w:b w:val="0"/>
          <w:color w:val="auto"/>
          <w:sz w:val="26"/>
          <w:u w:val="none"/>
        </w:rPr>
        <w:t>private dwellings are doing so because they are in ill</w:t>
      </w:r>
      <w:r w:rsidR="00144AB9" w:rsidRPr="002B78A1">
        <w:rPr>
          <w:rStyle w:val="DraftingNote"/>
          <w:b w:val="0"/>
          <w:color w:val="auto"/>
          <w:sz w:val="26"/>
          <w:u w:val="none"/>
        </w:rPr>
        <w:noBreakHyphen/>
      </w:r>
      <w:r w:rsidRPr="002B78A1">
        <w:rPr>
          <w:rStyle w:val="DraftingNote"/>
          <w:b w:val="0"/>
          <w:color w:val="auto"/>
          <w:sz w:val="26"/>
          <w:u w:val="none"/>
        </w:rPr>
        <w:t xml:space="preserve">health, have a disability or are in prison. If </w:t>
      </w:r>
      <w:r w:rsidR="00C53A1F" w:rsidRPr="002B78A1">
        <w:rPr>
          <w:rStyle w:val="DraftingNote"/>
          <w:b w:val="0"/>
          <w:color w:val="auto"/>
          <w:sz w:val="26"/>
          <w:u w:val="none"/>
        </w:rPr>
        <w:t xml:space="preserve">it is valid to assume that individuals live </w:t>
      </w:r>
      <w:r w:rsidR="00032A43" w:rsidRPr="002B78A1">
        <w:rPr>
          <w:rStyle w:val="DraftingNote"/>
          <w:b w:val="0"/>
          <w:color w:val="auto"/>
          <w:sz w:val="26"/>
          <w:u w:val="none"/>
        </w:rPr>
        <w:t>in non</w:t>
      </w:r>
      <w:r w:rsidR="00032A43" w:rsidRPr="002B78A1">
        <w:rPr>
          <w:rStyle w:val="DraftingNote"/>
          <w:b w:val="0"/>
          <w:color w:val="auto"/>
          <w:sz w:val="26"/>
          <w:u w:val="none"/>
        </w:rPr>
        <w:noBreakHyphen/>
        <w:t>private dwellings for these reasons</w:t>
      </w:r>
      <w:r w:rsidRPr="002B78A1">
        <w:rPr>
          <w:rStyle w:val="DraftingNote"/>
          <w:b w:val="0"/>
          <w:color w:val="auto"/>
          <w:sz w:val="26"/>
          <w:u w:val="none"/>
        </w:rPr>
        <w:t xml:space="preserve">, activity patterns are likely to involve long periods of </w:t>
      </w:r>
      <w:proofErr w:type="spellStart"/>
      <w:r w:rsidRPr="002B78A1">
        <w:rPr>
          <w:rStyle w:val="DraftingNote"/>
          <w:b w:val="0"/>
          <w:color w:val="auto"/>
          <w:sz w:val="26"/>
          <w:u w:val="none"/>
        </w:rPr>
        <w:t>NILF</w:t>
      </w:r>
      <w:proofErr w:type="spellEnd"/>
      <w:r w:rsidRPr="002B78A1">
        <w:rPr>
          <w:rStyle w:val="DraftingNote"/>
          <w:b w:val="0"/>
          <w:color w:val="auto"/>
          <w:sz w:val="26"/>
          <w:u w:val="none"/>
        </w:rPr>
        <w:t xml:space="preserve">, at least in the early </w:t>
      </w:r>
      <w:proofErr w:type="spellStart"/>
      <w:r w:rsidRPr="002B78A1">
        <w:rPr>
          <w:rStyle w:val="DraftingNote"/>
          <w:b w:val="0"/>
          <w:color w:val="auto"/>
          <w:sz w:val="26"/>
          <w:u w:val="none"/>
        </w:rPr>
        <w:t>2000s</w:t>
      </w:r>
      <w:proofErr w:type="spellEnd"/>
      <w:r w:rsidRPr="002B78A1">
        <w:rPr>
          <w:rStyle w:val="DraftingNote"/>
          <w:b w:val="0"/>
          <w:color w:val="auto"/>
          <w:sz w:val="26"/>
          <w:u w:val="none"/>
        </w:rPr>
        <w:t>. This would suggest that these patterns should be more prevalent than they appear to be in the results</w:t>
      </w:r>
      <w:r w:rsidR="00032A43" w:rsidRPr="002B78A1">
        <w:rPr>
          <w:rStyle w:val="DraftingNote"/>
          <w:b w:val="0"/>
          <w:color w:val="auto"/>
          <w:sz w:val="26"/>
          <w:u w:val="none"/>
        </w:rPr>
        <w:t xml:space="preserve"> presented in this paper</w:t>
      </w:r>
      <w:r w:rsidRPr="002B78A1">
        <w:rPr>
          <w:rStyle w:val="DraftingNote"/>
          <w:b w:val="0"/>
          <w:color w:val="auto"/>
          <w:sz w:val="26"/>
          <w:u w:val="none"/>
        </w:rPr>
        <w:t xml:space="preserve">. </w:t>
      </w:r>
    </w:p>
    <w:p w:rsidR="00114899" w:rsidRPr="002B78A1" w:rsidRDefault="00114899" w:rsidP="002B78A1">
      <w:pPr>
        <w:pStyle w:val="BodyText"/>
        <w:rPr>
          <w:rStyle w:val="DraftingNote"/>
          <w:b w:val="0"/>
          <w:color w:val="auto"/>
          <w:sz w:val="26"/>
          <w:u w:val="none"/>
        </w:rPr>
      </w:pPr>
      <w:r w:rsidRPr="002B78A1">
        <w:rPr>
          <w:rStyle w:val="DraftingNote"/>
          <w:b w:val="0"/>
          <w:color w:val="auto"/>
          <w:sz w:val="26"/>
          <w:u w:val="none"/>
        </w:rPr>
        <w:t xml:space="preserve">The benchmarking exercise indicated that the HILDA wave 1 sample may not </w:t>
      </w:r>
      <w:r w:rsidR="001529DB" w:rsidRPr="002B78A1">
        <w:rPr>
          <w:rStyle w:val="DraftingNote"/>
          <w:b w:val="0"/>
          <w:color w:val="auto"/>
          <w:sz w:val="26"/>
          <w:u w:val="none"/>
        </w:rPr>
        <w:t>include enough</w:t>
      </w:r>
      <w:r w:rsidRPr="002B78A1">
        <w:rPr>
          <w:rStyle w:val="DraftingNote"/>
          <w:b w:val="0"/>
          <w:color w:val="auto"/>
          <w:sz w:val="26"/>
          <w:u w:val="none"/>
        </w:rPr>
        <w:t xml:space="preserve"> individuals who have long periods of unemployment. This may have resulted in pathways with more unemployment appearing less prevalent than they should. </w:t>
      </w:r>
      <w:r w:rsidR="002D7DE2" w:rsidRPr="002B78A1">
        <w:rPr>
          <w:rStyle w:val="DraftingNote"/>
          <w:b w:val="0"/>
          <w:color w:val="auto"/>
          <w:sz w:val="26"/>
          <w:u w:val="none"/>
        </w:rPr>
        <w:t>Analysis of the HILDA sub</w:t>
      </w:r>
      <w:r w:rsidR="002D7DE2" w:rsidRPr="002B78A1">
        <w:rPr>
          <w:rStyle w:val="DraftingNote"/>
          <w:b w:val="0"/>
          <w:color w:val="auto"/>
          <w:sz w:val="26"/>
          <w:u w:val="none"/>
        </w:rPr>
        <w:noBreakHyphen/>
        <w:t>sample indicates that t</w:t>
      </w:r>
      <w:r w:rsidRPr="002B78A1">
        <w:rPr>
          <w:rStyle w:val="DraftingNote"/>
          <w:b w:val="0"/>
          <w:color w:val="auto"/>
          <w:sz w:val="26"/>
          <w:u w:val="none"/>
        </w:rPr>
        <w:t xml:space="preserve">he pathways with more periods in unemployment are also those with long periods of </w:t>
      </w:r>
      <w:proofErr w:type="spellStart"/>
      <w:r w:rsidRPr="002B78A1">
        <w:rPr>
          <w:rStyle w:val="DraftingNote"/>
          <w:b w:val="0"/>
          <w:color w:val="auto"/>
          <w:sz w:val="26"/>
          <w:u w:val="none"/>
        </w:rPr>
        <w:t>NILF</w:t>
      </w:r>
      <w:proofErr w:type="spellEnd"/>
      <w:r w:rsidR="002D7DE2" w:rsidRPr="002B78A1">
        <w:rPr>
          <w:rStyle w:val="DraftingNote"/>
          <w:b w:val="0"/>
          <w:color w:val="auto"/>
          <w:sz w:val="26"/>
          <w:u w:val="none"/>
        </w:rPr>
        <w:t xml:space="preserve">. </w:t>
      </w:r>
    </w:p>
    <w:p w:rsidR="00114899" w:rsidRPr="002B78A1" w:rsidRDefault="00114899" w:rsidP="002B78A1">
      <w:pPr>
        <w:pStyle w:val="Heading4"/>
        <w:rPr>
          <w:rStyle w:val="DraftingNote"/>
          <w:b w:val="0"/>
          <w:color w:val="auto"/>
          <w:u w:val="none"/>
        </w:rPr>
      </w:pPr>
      <w:r w:rsidRPr="002B78A1">
        <w:rPr>
          <w:rStyle w:val="DraftingNote"/>
          <w:b w:val="0"/>
          <w:color w:val="auto"/>
          <w:u w:val="none"/>
        </w:rPr>
        <w:lastRenderedPageBreak/>
        <w:t>Attrition</w:t>
      </w:r>
    </w:p>
    <w:p w:rsidR="00114899" w:rsidRPr="002B78A1" w:rsidRDefault="00114899" w:rsidP="002B78A1">
      <w:pPr>
        <w:pStyle w:val="BodyText"/>
        <w:rPr>
          <w:rStyle w:val="DraftingNote"/>
          <w:b w:val="0"/>
          <w:color w:val="auto"/>
          <w:sz w:val="26"/>
          <w:u w:val="none"/>
        </w:rPr>
      </w:pPr>
      <w:r w:rsidRPr="002B78A1">
        <w:rPr>
          <w:rStyle w:val="DraftingNote"/>
          <w:b w:val="0"/>
          <w:color w:val="auto"/>
          <w:sz w:val="26"/>
          <w:u w:val="none"/>
        </w:rPr>
        <w:t xml:space="preserve">In general, it appears that individuals who follow pathways that are characterised by a significant amount of time spent </w:t>
      </w:r>
      <w:proofErr w:type="spellStart"/>
      <w:r w:rsidRPr="002B78A1">
        <w:rPr>
          <w:rStyle w:val="DraftingNote"/>
          <w:b w:val="0"/>
          <w:color w:val="auto"/>
          <w:sz w:val="26"/>
          <w:u w:val="none"/>
        </w:rPr>
        <w:t>NILF</w:t>
      </w:r>
      <w:proofErr w:type="spellEnd"/>
      <w:r w:rsidRPr="002B78A1">
        <w:rPr>
          <w:rStyle w:val="DraftingNote"/>
          <w:b w:val="0"/>
          <w:color w:val="auto"/>
          <w:sz w:val="26"/>
          <w:u w:val="none"/>
        </w:rPr>
        <w:t xml:space="preserve"> or studying are more likely to drop out of the sample relative to pathways that involve a significant proportion of time working. This implies that these</w:t>
      </w:r>
      <w:r w:rsidR="005D5759">
        <w:rPr>
          <w:rStyle w:val="DraftingNote"/>
          <w:b w:val="0"/>
          <w:color w:val="auto"/>
          <w:sz w:val="26"/>
          <w:u w:val="none"/>
        </w:rPr>
        <w:t xml:space="preserve"> non</w:t>
      </w:r>
      <w:r w:rsidR="005D5759">
        <w:rPr>
          <w:rStyle w:val="DraftingNote"/>
          <w:b w:val="0"/>
          <w:color w:val="auto"/>
          <w:sz w:val="26"/>
          <w:u w:val="none"/>
        </w:rPr>
        <w:noBreakHyphen/>
        <w:t>work</w:t>
      </w:r>
      <w:r w:rsidRPr="002B78A1">
        <w:rPr>
          <w:rStyle w:val="DraftingNote"/>
          <w:b w:val="0"/>
          <w:color w:val="auto"/>
          <w:sz w:val="26"/>
          <w:u w:val="none"/>
        </w:rPr>
        <w:t xml:space="preserve"> pathways would otherwise be </w:t>
      </w:r>
      <w:r w:rsidR="002D7DE2" w:rsidRPr="002B78A1">
        <w:rPr>
          <w:rStyle w:val="DraftingNote"/>
          <w:b w:val="0"/>
          <w:color w:val="auto"/>
          <w:sz w:val="26"/>
          <w:u w:val="none"/>
        </w:rPr>
        <w:t xml:space="preserve">more prevalent </w:t>
      </w:r>
      <w:r w:rsidRPr="002B78A1">
        <w:rPr>
          <w:rStyle w:val="DraftingNote"/>
          <w:b w:val="0"/>
          <w:color w:val="auto"/>
          <w:sz w:val="26"/>
          <w:u w:val="none"/>
        </w:rPr>
        <w:t xml:space="preserve">than they </w:t>
      </w:r>
      <w:r w:rsidR="002D7DE2" w:rsidRPr="002B78A1">
        <w:rPr>
          <w:rStyle w:val="DraftingNote"/>
          <w:b w:val="0"/>
          <w:color w:val="auto"/>
          <w:sz w:val="26"/>
          <w:u w:val="none"/>
        </w:rPr>
        <w:t>appear to be</w:t>
      </w:r>
      <w:r w:rsidRPr="002B78A1">
        <w:rPr>
          <w:rStyle w:val="DraftingNote"/>
          <w:b w:val="0"/>
          <w:color w:val="auto"/>
          <w:sz w:val="26"/>
          <w:u w:val="none"/>
        </w:rPr>
        <w:t xml:space="preserve">. </w:t>
      </w:r>
    </w:p>
    <w:p w:rsidR="00114899" w:rsidRPr="002B78A1" w:rsidRDefault="00114899" w:rsidP="002B78A1">
      <w:pPr>
        <w:pStyle w:val="Heading4"/>
        <w:rPr>
          <w:rStyle w:val="DraftingNote"/>
          <w:b w:val="0"/>
          <w:color w:val="auto"/>
          <w:u w:val="none"/>
        </w:rPr>
      </w:pPr>
      <w:r w:rsidRPr="002B78A1">
        <w:rPr>
          <w:rStyle w:val="DraftingNote"/>
          <w:b w:val="0"/>
          <w:color w:val="auto"/>
          <w:u w:val="none"/>
        </w:rPr>
        <w:t>Recall errors</w:t>
      </w:r>
    </w:p>
    <w:p w:rsidR="00114899" w:rsidRPr="002B78A1" w:rsidRDefault="00114899" w:rsidP="002B78A1">
      <w:pPr>
        <w:pStyle w:val="BodyText"/>
        <w:rPr>
          <w:rStyle w:val="DraftingNote"/>
          <w:b w:val="0"/>
          <w:color w:val="auto"/>
          <w:sz w:val="26"/>
          <w:u w:val="none"/>
        </w:rPr>
      </w:pPr>
      <w:r w:rsidRPr="002B78A1">
        <w:rPr>
          <w:rStyle w:val="DraftingNote"/>
          <w:b w:val="0"/>
          <w:color w:val="auto"/>
          <w:sz w:val="26"/>
          <w:u w:val="none"/>
        </w:rPr>
        <w:t xml:space="preserve">Recall errors may have different impacts on the results, possibly changing the appearance of some of the plots. The plots that are dominated by </w:t>
      </w:r>
      <w:proofErr w:type="spellStart"/>
      <w:r w:rsidRPr="002B78A1">
        <w:rPr>
          <w:rStyle w:val="DraftingNote"/>
          <w:b w:val="0"/>
          <w:color w:val="auto"/>
          <w:sz w:val="26"/>
          <w:u w:val="none"/>
        </w:rPr>
        <w:t>NILF</w:t>
      </w:r>
      <w:proofErr w:type="spellEnd"/>
      <w:r w:rsidRPr="002B78A1">
        <w:rPr>
          <w:rStyle w:val="DraftingNote"/>
          <w:b w:val="0"/>
          <w:color w:val="auto"/>
          <w:sz w:val="26"/>
          <w:u w:val="none"/>
        </w:rPr>
        <w:t xml:space="preserve"> are not likely to reflect education spells accurately. Whether the differences are significant </w:t>
      </w:r>
      <w:r w:rsidR="00A74CB6" w:rsidRPr="002B78A1">
        <w:rPr>
          <w:rStyle w:val="DraftingNote"/>
          <w:b w:val="0"/>
          <w:color w:val="auto"/>
          <w:sz w:val="26"/>
          <w:u w:val="none"/>
        </w:rPr>
        <w:t>enough</w:t>
      </w:r>
      <w:r w:rsidRPr="002B78A1">
        <w:rPr>
          <w:rStyle w:val="DraftingNote"/>
          <w:b w:val="0"/>
          <w:color w:val="auto"/>
          <w:sz w:val="26"/>
          <w:u w:val="none"/>
        </w:rPr>
        <w:t xml:space="preserve"> to cause bias in aggregate is difficult to determine as there may be some balancing out of dropped (forgotten) or added (remembered) spells, and of shortened or lengthened spells, for the pathway as a whole. </w:t>
      </w:r>
    </w:p>
    <w:p w:rsidR="00114899" w:rsidRPr="00114899" w:rsidRDefault="00114899" w:rsidP="00114899">
      <w:pPr>
        <w:pStyle w:val="BodyText"/>
      </w:pPr>
      <w:r w:rsidRPr="002B78A1">
        <w:rPr>
          <w:rStyle w:val="DraftingNote"/>
          <w:b w:val="0"/>
          <w:color w:val="auto"/>
          <w:sz w:val="26"/>
          <w:u w:val="none"/>
        </w:rPr>
        <w:t xml:space="preserve">While table </w:t>
      </w:r>
      <w:proofErr w:type="spellStart"/>
      <w:r w:rsidR="00805798" w:rsidRPr="002B78A1">
        <w:t>A.2</w:t>
      </w:r>
      <w:proofErr w:type="spellEnd"/>
      <w:r w:rsidR="000108A2" w:rsidRPr="002B78A1">
        <w:t xml:space="preserve"> </w:t>
      </w:r>
      <w:r w:rsidRPr="002B78A1">
        <w:t>indicates</w:t>
      </w:r>
      <w:r w:rsidRPr="00E36076">
        <w:rPr>
          <w:lang w:eastAsia="en-US"/>
        </w:rPr>
        <w:t xml:space="preserve"> that the results for all pathways are potentially affected by bias, the main concern would be that the non</w:t>
      </w:r>
      <w:r w:rsidR="00C6017F">
        <w:rPr>
          <w:lang w:eastAsia="en-US"/>
        </w:rPr>
        <w:noBreakHyphen/>
      </w:r>
      <w:r w:rsidRPr="00E36076">
        <w:rPr>
          <w:lang w:eastAsia="en-US"/>
        </w:rPr>
        <w:t>work pathways are smaller than they should be. Other impacts are likely to be small</w:t>
      </w:r>
      <w:r w:rsidR="00A74CB6" w:rsidRPr="00E36076">
        <w:rPr>
          <w:lang w:eastAsia="en-US"/>
        </w:rPr>
        <w:t>er</w:t>
      </w:r>
      <w:r w:rsidRPr="00E36076">
        <w:rPr>
          <w:lang w:eastAsia="en-US"/>
        </w:rPr>
        <w:t xml:space="preserve">, and some may cancel each other out in aggregate. </w:t>
      </w:r>
    </w:p>
    <w:sectPr w:rsidR="00114899" w:rsidRPr="00114899" w:rsidSect="007C0E21">
      <w:headerReference w:type="even" r:id="rId15"/>
      <w:headerReference w:type="default" r:id="rId16"/>
      <w:footerReference w:type="even" r:id="rId17"/>
      <w:footerReference w:type="default" r:id="rId18"/>
      <w:pgSz w:w="11907" w:h="16840" w:code="9"/>
      <w:pgMar w:top="1985" w:right="1304" w:bottom="1418" w:left="1814" w:header="1701" w:footer="567" w:gutter="0"/>
      <w:pgNumType w:start="55" w:chapStyle="1" w:chapSep="period"/>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5F4A" w:rsidRDefault="00385F4A">
      <w:r>
        <w:separator/>
      </w:r>
    </w:p>
  </w:endnote>
  <w:endnote w:type="continuationSeparator" w:id="0">
    <w:p w:rsidR="00385F4A" w:rsidRDefault="00385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644"/>
      <w:gridCol w:w="6634"/>
    </w:tblGrid>
    <w:tr w:rsidR="00385F4A">
      <w:trPr>
        <w:trHeight w:hRule="exact" w:val="740"/>
      </w:trPr>
      <w:tc>
        <w:tcPr>
          <w:tcW w:w="510" w:type="dxa"/>
          <w:tcBorders>
            <w:top w:val="single" w:sz="6" w:space="0" w:color="auto"/>
          </w:tcBorders>
        </w:tcPr>
        <w:p w:rsidR="00385F4A" w:rsidRDefault="00385F4A" w:rsidP="0019293B">
          <w:pPr>
            <w:pStyle w:val="Footer"/>
            <w:tabs>
              <w:tab w:val="left" w:pos="0"/>
            </w:tabs>
            <w:ind w:right="0"/>
            <w:rPr>
              <w:rStyle w:val="PageNumber"/>
            </w:rPr>
          </w:pPr>
          <w:r>
            <w:rPr>
              <w:rStyle w:val="PageNumber"/>
            </w:rPr>
            <w:fldChar w:fldCharType="begin"/>
          </w:r>
          <w:r>
            <w:rPr>
              <w:rStyle w:val="PageNumber"/>
            </w:rPr>
            <w:instrText xml:space="preserve">PAGE  </w:instrText>
          </w:r>
          <w:r>
            <w:rPr>
              <w:rStyle w:val="PageNumber"/>
            </w:rPr>
            <w:fldChar w:fldCharType="separate"/>
          </w:r>
          <w:r w:rsidR="001D5897">
            <w:rPr>
              <w:rStyle w:val="PageNumber"/>
              <w:noProof/>
            </w:rPr>
            <w:t>56</w:t>
          </w:r>
          <w:r>
            <w:rPr>
              <w:rStyle w:val="PageNumber"/>
            </w:rPr>
            <w:fldChar w:fldCharType="end"/>
          </w:r>
        </w:p>
      </w:tc>
      <w:tc>
        <w:tcPr>
          <w:tcW w:w="1644" w:type="dxa"/>
          <w:tcBorders>
            <w:top w:val="single" w:sz="6" w:space="0" w:color="auto"/>
          </w:tcBorders>
        </w:tcPr>
        <w:p w:rsidR="00385F4A" w:rsidRDefault="00B35BAF" w:rsidP="0019293B">
          <w:pPr>
            <w:pStyle w:val="Footer"/>
          </w:pPr>
          <w:fldSimple w:instr=" SUBJECT  \* MERGEFORMAT ">
            <w:r w:rsidR="00476C58">
              <w:t>Prevalence of transition pathways</w:t>
            </w:r>
          </w:fldSimple>
        </w:p>
      </w:tc>
      <w:tc>
        <w:tcPr>
          <w:tcW w:w="6634" w:type="dxa"/>
        </w:tcPr>
        <w:p w:rsidR="00385F4A" w:rsidRDefault="00385F4A" w:rsidP="0019293B">
          <w:pPr>
            <w:pStyle w:val="Footer"/>
          </w:pPr>
        </w:p>
      </w:tc>
    </w:tr>
  </w:tbl>
  <w:p w:rsidR="00385F4A" w:rsidRDefault="00385F4A" w:rsidP="0019293B">
    <w:pPr>
      <w:pStyle w:val="FooterEn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634"/>
      <w:gridCol w:w="1644"/>
      <w:gridCol w:w="510"/>
    </w:tblGrid>
    <w:tr w:rsidR="00385F4A">
      <w:trPr>
        <w:trHeight w:hRule="exact" w:val="740"/>
      </w:trPr>
      <w:tc>
        <w:tcPr>
          <w:tcW w:w="6634" w:type="dxa"/>
        </w:tcPr>
        <w:p w:rsidR="00385F4A" w:rsidRDefault="00385F4A">
          <w:pPr>
            <w:pStyle w:val="Footer"/>
            <w:ind w:right="360" w:firstLine="360"/>
          </w:pPr>
        </w:p>
      </w:tc>
      <w:tc>
        <w:tcPr>
          <w:tcW w:w="1644" w:type="dxa"/>
          <w:tcBorders>
            <w:top w:val="single" w:sz="6" w:space="0" w:color="auto"/>
          </w:tcBorders>
        </w:tcPr>
        <w:p w:rsidR="00385F4A" w:rsidRDefault="00B35BAF">
          <w:pPr>
            <w:pStyle w:val="Footer"/>
          </w:pPr>
          <w:fldSimple w:instr=" TITLE  \* MERGEFORMAT ">
            <w:r w:rsidR="00476C58">
              <w:t>HILDA and the calendar data</w:t>
            </w:r>
          </w:fldSimple>
        </w:p>
      </w:tc>
      <w:tc>
        <w:tcPr>
          <w:tcW w:w="510" w:type="dxa"/>
          <w:tcBorders>
            <w:top w:val="single" w:sz="6" w:space="0" w:color="auto"/>
          </w:tcBorders>
        </w:tcPr>
        <w:p w:rsidR="00385F4A" w:rsidRDefault="00385F4A">
          <w:pPr>
            <w:pStyle w:val="Footer"/>
            <w:jc w:val="right"/>
          </w:pPr>
          <w:r>
            <w:rPr>
              <w:rStyle w:val="PageNumber"/>
            </w:rPr>
            <w:fldChar w:fldCharType="begin"/>
          </w:r>
          <w:r>
            <w:rPr>
              <w:rStyle w:val="PageNumber"/>
            </w:rPr>
            <w:instrText xml:space="preserve">PAGE  </w:instrText>
          </w:r>
          <w:r>
            <w:rPr>
              <w:rStyle w:val="PageNumber"/>
            </w:rPr>
            <w:fldChar w:fldCharType="separate"/>
          </w:r>
          <w:r w:rsidR="001D5897">
            <w:rPr>
              <w:rStyle w:val="PageNumber"/>
              <w:noProof/>
            </w:rPr>
            <w:t>55</w:t>
          </w:r>
          <w:r>
            <w:rPr>
              <w:rStyle w:val="PageNumber"/>
            </w:rPr>
            <w:fldChar w:fldCharType="end"/>
          </w:r>
        </w:p>
      </w:tc>
    </w:tr>
  </w:tbl>
  <w:p w:rsidR="00385F4A" w:rsidRDefault="00385F4A">
    <w:pPr>
      <w:pStyle w:val="FooterEn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5F4A" w:rsidRDefault="00385F4A">
      <w:r>
        <w:separator/>
      </w:r>
    </w:p>
  </w:footnote>
  <w:footnote w:type="continuationSeparator" w:id="0">
    <w:p w:rsidR="00385F4A" w:rsidRDefault="00385F4A">
      <w:r>
        <w:continuationSeparator/>
      </w:r>
    </w:p>
  </w:footnote>
  <w:footnote w:id="1">
    <w:p w:rsidR="00385F4A" w:rsidRDefault="00385F4A">
      <w:pPr>
        <w:pStyle w:val="FootnoteText"/>
      </w:pPr>
      <w:r>
        <w:rPr>
          <w:rStyle w:val="FootnoteReference"/>
        </w:rPr>
        <w:footnoteRef/>
      </w:r>
      <w:r>
        <w:t xml:space="preserve"> </w:t>
      </w:r>
      <w:r>
        <w:tab/>
        <w:t>Although wave 1 was conducted in late 2001, the calendar data collected at that time covered the period from mid-2000 until the time of the interview in 2001.</w:t>
      </w:r>
    </w:p>
  </w:footnote>
  <w:footnote w:id="2">
    <w:p w:rsidR="00385F4A" w:rsidRDefault="00385F4A" w:rsidP="00CC6C62">
      <w:pPr>
        <w:pStyle w:val="FootnoteText"/>
      </w:pPr>
      <w:r>
        <w:rPr>
          <w:rStyle w:val="FootnoteReference"/>
        </w:rPr>
        <w:footnoteRef/>
      </w:r>
      <w:r>
        <w:t xml:space="preserve"> </w:t>
      </w:r>
      <w:r>
        <w:tab/>
        <w:t>Another reason that there is at least two months of overlapping data in the calendar is that it allows consistency of information to be assessed (section </w:t>
      </w:r>
      <w:proofErr w:type="spellStart"/>
      <w:r>
        <w:t>A.3</w:t>
      </w:r>
      <w:proofErr w:type="spellEnd"/>
      <w:r>
        <w:t>).</w:t>
      </w:r>
    </w:p>
  </w:footnote>
  <w:footnote w:id="3">
    <w:p w:rsidR="00385F4A" w:rsidRDefault="00385F4A" w:rsidP="00CC6C62">
      <w:pPr>
        <w:pStyle w:val="FootnoteText"/>
      </w:pPr>
      <w:r>
        <w:rPr>
          <w:rStyle w:val="FootnoteReference"/>
        </w:rPr>
        <w:footnoteRef/>
      </w:r>
      <w:r>
        <w:t xml:space="preserve"> </w:t>
      </w:r>
      <w:r>
        <w:tab/>
        <w:t>Interviews in the year following the survey year were infrequent across the ten waves, representing 4.3 per cent of all interviews at most (Summerfield et al. 2011).</w:t>
      </w:r>
    </w:p>
  </w:footnote>
  <w:footnote w:id="4">
    <w:p w:rsidR="00385F4A" w:rsidRDefault="00385F4A" w:rsidP="00CC6C62">
      <w:pPr>
        <w:pStyle w:val="FootnoteText"/>
      </w:pPr>
      <w:r>
        <w:rPr>
          <w:rStyle w:val="FootnoteReference"/>
        </w:rPr>
        <w:footnoteRef/>
      </w:r>
      <w:r>
        <w:t xml:space="preserve"> </w:t>
      </w:r>
      <w:r>
        <w:tab/>
        <w:t>For a comprehensive comparison of the HILDA survey with other longitudinal surveys see Watson (2009).</w:t>
      </w:r>
    </w:p>
  </w:footnote>
  <w:footnote w:id="5">
    <w:p w:rsidR="00385F4A" w:rsidRDefault="00385F4A" w:rsidP="00CC6C62">
      <w:pPr>
        <w:pStyle w:val="FootnoteText"/>
      </w:pPr>
      <w:r>
        <w:rPr>
          <w:rStyle w:val="FootnoteReference"/>
        </w:rPr>
        <w:footnoteRef/>
      </w:r>
      <w:r>
        <w:t xml:space="preserve"> </w:t>
      </w:r>
      <w:r>
        <w:tab/>
        <w:t xml:space="preserve">That paper uses 2005 data from a </w:t>
      </w:r>
      <w:r w:rsidR="008A1C50">
        <w:t xml:space="preserve">longitudinal survey of Spanish </w:t>
      </w:r>
      <w:r>
        <w:t>school leavers, called the education, training and labour market transition survey (</w:t>
      </w:r>
      <w:proofErr w:type="spellStart"/>
      <w:r>
        <w:t>ETEFIL</w:t>
      </w:r>
      <w:proofErr w:type="spellEnd"/>
      <w:r>
        <w:t xml:space="preserve">). </w:t>
      </w:r>
    </w:p>
  </w:footnote>
  <w:footnote w:id="6">
    <w:p w:rsidR="00385F4A" w:rsidRDefault="00385F4A" w:rsidP="00AB69DF">
      <w:pPr>
        <w:pStyle w:val="FootnoteText"/>
      </w:pPr>
      <w:r>
        <w:rPr>
          <w:rStyle w:val="FootnoteReference"/>
        </w:rPr>
        <w:footnoteRef/>
      </w:r>
      <w:r>
        <w:t xml:space="preserve"> </w:t>
      </w:r>
      <w:r>
        <w:tab/>
        <w:t xml:space="preserve">Activities using monthly and month-third data for each age segment were compared. Relative to monthly data, month-third data show: less study only and more unemployment for youths; more unemployment and less employment only for young adults and mature adults; and very little difference in the activities for seniors as most of their time is spent in employment (without study) and/or </w:t>
      </w:r>
      <w:proofErr w:type="spellStart"/>
      <w:r>
        <w:t>NILF</w:t>
      </w:r>
      <w:proofErr w:type="spellEnd"/>
      <w:r>
        <w:t>.</w:t>
      </w:r>
    </w:p>
  </w:footnote>
  <w:footnote w:id="7">
    <w:p w:rsidR="00385F4A" w:rsidRDefault="00385F4A" w:rsidP="00CC6C62">
      <w:pPr>
        <w:pStyle w:val="FootnoteText"/>
      </w:pPr>
      <w:r>
        <w:rPr>
          <w:rStyle w:val="FootnoteReference"/>
        </w:rPr>
        <w:footnoteRef/>
      </w:r>
      <w:r>
        <w:t xml:space="preserve"> </w:t>
      </w:r>
      <w:r>
        <w:tab/>
        <w:t xml:space="preserve">This appendix presents the potential sources of bias in the HILDA dataset that are most relevant to the analysis in the paper. See Watson and Wooden (2004) for a discussion of other potential sources of bias in the data, such as longitudinal inconsistencies in marital status, and transcription and data entry errors. </w:t>
      </w:r>
    </w:p>
  </w:footnote>
  <w:footnote w:id="8">
    <w:p w:rsidR="00385F4A" w:rsidRDefault="00385F4A">
      <w:pPr>
        <w:pStyle w:val="FootnoteText"/>
      </w:pPr>
      <w:r>
        <w:rPr>
          <w:rStyle w:val="FootnoteReference"/>
        </w:rPr>
        <w:footnoteRef/>
      </w:r>
      <w:r>
        <w:t xml:space="preserve"> </w:t>
      </w:r>
      <w:r>
        <w:tab/>
        <w:t>Those individuals are not included in the wave 1 sample of 19 914 (enumerated) individuals.</w:t>
      </w:r>
    </w:p>
  </w:footnote>
  <w:footnote w:id="9">
    <w:p w:rsidR="00385F4A" w:rsidRDefault="00385F4A" w:rsidP="00CC6C62">
      <w:pPr>
        <w:pStyle w:val="FootnoteText"/>
      </w:pPr>
      <w:r>
        <w:rPr>
          <w:rStyle w:val="FootnoteReference"/>
        </w:rPr>
        <w:footnoteRef/>
      </w:r>
      <w:r>
        <w:t xml:space="preserve"> </w:t>
      </w:r>
      <w:r>
        <w:tab/>
        <w:t xml:space="preserve">See Watson and Wooden (2004; 2006; 2012) for further information about attrition and the HILDA dataset. </w:t>
      </w:r>
    </w:p>
  </w:footnote>
  <w:footnote w:id="10">
    <w:p w:rsidR="00385F4A" w:rsidRDefault="00385F4A" w:rsidP="00CC6C62">
      <w:pPr>
        <w:pStyle w:val="FootnoteText"/>
      </w:pPr>
      <w:r>
        <w:rPr>
          <w:rStyle w:val="FootnoteReference"/>
        </w:rPr>
        <w:footnoteRef/>
      </w:r>
      <w:r>
        <w:tab/>
      </w:r>
      <w:r w:rsidRPr="00CE3244">
        <w:t>For more detailed information about the weights in HILDA see Watson and Wooden (2012).</w:t>
      </w:r>
    </w:p>
  </w:footnote>
  <w:footnote w:id="11">
    <w:p w:rsidR="00385F4A" w:rsidRDefault="00385F4A">
      <w:pPr>
        <w:pStyle w:val="FootnoteText"/>
      </w:pPr>
      <w:r>
        <w:rPr>
          <w:rStyle w:val="FootnoteReference"/>
        </w:rPr>
        <w:footnoteRef/>
      </w:r>
      <w:r>
        <w:tab/>
        <w:t>In the wave 1 sample of 19 914 individuals, 13 969 were interviewed (that is, they were respondents). Of the remaining individuals who were enumerated but did not respond, the vast majority (about 4700) were younger than 15 on 30 June 2001, and were therefore too young to be interviewed.</w:t>
      </w:r>
    </w:p>
  </w:footnote>
  <w:footnote w:id="12">
    <w:p w:rsidR="00385F4A" w:rsidRDefault="00385F4A" w:rsidP="00CC6C62">
      <w:pPr>
        <w:pStyle w:val="FootnoteText"/>
      </w:pPr>
      <w:r>
        <w:rPr>
          <w:rStyle w:val="FootnoteReference"/>
        </w:rPr>
        <w:footnoteRef/>
      </w:r>
      <w:r>
        <w:tab/>
        <w:t xml:space="preserve">Instead of having missing data for month thirds where individuals were uncertain of their activity at a point in time, the respondent and interviewer used ‘their </w:t>
      </w:r>
      <w:r w:rsidR="00AA0B75">
        <w:t>“</w:t>
      </w:r>
      <w:r>
        <w:t>best guess</w:t>
      </w:r>
      <w:r w:rsidR="00AA0B75">
        <w:t>”</w:t>
      </w:r>
      <w:r>
        <w:t xml:space="preserve"> of what happened’ (Watson 2009, p. 8).</w:t>
      </w:r>
    </w:p>
  </w:footnote>
  <w:footnote w:id="13">
    <w:p w:rsidR="00385F4A" w:rsidRDefault="00385F4A" w:rsidP="00CC6C62">
      <w:pPr>
        <w:pStyle w:val="FootnoteText"/>
      </w:pPr>
      <w:r>
        <w:rPr>
          <w:rStyle w:val="FootnoteReference"/>
        </w:rPr>
        <w:footnoteRef/>
      </w:r>
      <w:r>
        <w:tab/>
        <w:t>Twenty</w:t>
      </w:r>
      <w:r>
        <w:noBreakHyphen/>
        <w:t xml:space="preserve">four individuals are lost as a result of weighting because they have a weight of zero. This is because the benchmarks used in the weighting process were changed after wave 1 to be consistent with a change in the ABS definition of very remote areas (Watson 2012). </w:t>
      </w:r>
    </w:p>
  </w:footnote>
  <w:footnote w:id="14">
    <w:p w:rsidR="00385F4A" w:rsidRDefault="00385F4A" w:rsidP="00264D14">
      <w:pPr>
        <w:pStyle w:val="FootnoteText"/>
      </w:pPr>
      <w:r>
        <w:rPr>
          <w:rStyle w:val="FootnoteReference"/>
        </w:rPr>
        <w:footnoteRef/>
      </w:r>
      <w:r>
        <w:tab/>
        <w:t xml:space="preserve">Comparing unweighted HILDA sample statistics with ABS statistics for the same age group (15 years and older) shows even larger gaps in average unemployment duration (not shown).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385F4A">
      <w:tc>
        <w:tcPr>
          <w:tcW w:w="2155" w:type="dxa"/>
          <w:tcBorders>
            <w:top w:val="single" w:sz="24" w:space="0" w:color="auto"/>
          </w:tcBorders>
        </w:tcPr>
        <w:p w:rsidR="00385F4A" w:rsidRDefault="00385F4A" w:rsidP="0019293B">
          <w:pPr>
            <w:pStyle w:val="HeaderEven"/>
          </w:pPr>
        </w:p>
      </w:tc>
      <w:tc>
        <w:tcPr>
          <w:tcW w:w="6634" w:type="dxa"/>
          <w:tcBorders>
            <w:top w:val="single" w:sz="6" w:space="0" w:color="auto"/>
          </w:tcBorders>
        </w:tcPr>
        <w:p w:rsidR="00385F4A" w:rsidRDefault="00385F4A" w:rsidP="0019293B">
          <w:pPr>
            <w:pStyle w:val="HeaderEven"/>
          </w:pPr>
        </w:p>
      </w:tc>
    </w:tr>
  </w:tbl>
  <w:p w:rsidR="00385F4A" w:rsidRDefault="00385F4A" w:rsidP="0019293B">
    <w:pPr>
      <w:pStyle w:val="HeaderEn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385F4A">
      <w:tc>
        <w:tcPr>
          <w:tcW w:w="6634" w:type="dxa"/>
          <w:tcBorders>
            <w:top w:val="single" w:sz="6" w:space="0" w:color="auto"/>
          </w:tcBorders>
        </w:tcPr>
        <w:p w:rsidR="00385F4A" w:rsidRDefault="00385F4A" w:rsidP="00E669E2">
          <w:pPr>
            <w:pStyle w:val="HeaderOdd"/>
          </w:pPr>
        </w:p>
      </w:tc>
      <w:tc>
        <w:tcPr>
          <w:tcW w:w="2155" w:type="dxa"/>
          <w:tcBorders>
            <w:top w:val="single" w:sz="24" w:space="0" w:color="auto"/>
          </w:tcBorders>
        </w:tcPr>
        <w:p w:rsidR="00385F4A" w:rsidRDefault="00385F4A" w:rsidP="00E669E2">
          <w:pPr>
            <w:pStyle w:val="HeaderOdd"/>
          </w:pPr>
        </w:p>
      </w:tc>
    </w:tr>
  </w:tbl>
  <w:p w:rsidR="00385F4A" w:rsidRDefault="00385F4A" w:rsidP="00E669E2">
    <w:pPr>
      <w:pStyle w:val="HeaderEn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84BB9"/>
    <w:multiLevelType w:val="hybridMultilevel"/>
    <w:tmpl w:val="5F24570C"/>
    <w:lvl w:ilvl="0" w:tplc="6C209310">
      <w:start w:val="1"/>
      <w:numFmt w:val="bullet"/>
      <w:pStyle w:val="Jurisdictioncommentslistbullet"/>
      <w:lvlText w:val=""/>
      <w:lvlJc w:val="left"/>
      <w:pPr>
        <w:tabs>
          <w:tab w:val="num" w:pos="318"/>
        </w:tabs>
        <w:ind w:left="318" w:hanging="318"/>
      </w:pPr>
      <w:rPr>
        <w:rFonts w:ascii="Symbol" w:hAnsi="Symbol" w:hint="default"/>
        <w:sz w:val="20"/>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
    <w:nsid w:val="047A7C39"/>
    <w:multiLevelType w:val="singleLevel"/>
    <w:tmpl w:val="4438961C"/>
    <w:lvl w:ilvl="0">
      <w:numFmt w:val="bullet"/>
      <w:pStyle w:val="ListBullet2"/>
      <w:lvlText w:val="–"/>
      <w:lvlJc w:val="left"/>
      <w:pPr>
        <w:tabs>
          <w:tab w:val="num" w:pos="680"/>
        </w:tabs>
        <w:ind w:left="680" w:hanging="340"/>
      </w:pPr>
      <w:rPr>
        <w:rFonts w:ascii="Times New Roman" w:hAnsi="Times New Roman" w:cs="Times New Roman" w:hint="default"/>
      </w:rPr>
    </w:lvl>
  </w:abstractNum>
  <w:abstractNum w:abstractNumId="2">
    <w:nsid w:val="06214B87"/>
    <w:multiLevelType w:val="singleLevel"/>
    <w:tmpl w:val="AB185BC4"/>
    <w:lvl w:ilvl="0">
      <w:numFmt w:val="bullet"/>
      <w:pStyle w:val="BoxListBullet2"/>
      <w:lvlText w:val="–"/>
      <w:lvlJc w:val="left"/>
      <w:pPr>
        <w:tabs>
          <w:tab w:val="num" w:pos="567"/>
        </w:tabs>
        <w:ind w:left="567" w:hanging="283"/>
      </w:pPr>
      <w:rPr>
        <w:rFonts w:ascii="Times New Roman" w:hAnsi="Times New Roman" w:cs="Times New Roman" w:hint="default"/>
      </w:rPr>
    </w:lvl>
  </w:abstractNum>
  <w:abstractNum w:abstractNumId="3">
    <w:nsid w:val="0E116344"/>
    <w:multiLevelType w:val="multilevel"/>
    <w:tmpl w:val="3B188B36"/>
    <w:lvl w:ilvl="0">
      <w:start w:val="1"/>
      <w:numFmt w:val="decimal"/>
      <w:pStyle w:val="BoxListNumber"/>
      <w:lvlText w:val="%1."/>
      <w:lvlJc w:val="left"/>
      <w:pPr>
        <w:tabs>
          <w:tab w:val="num" w:pos="284"/>
        </w:tabs>
        <w:ind w:left="284" w:hanging="284"/>
      </w:pPr>
      <w:rPr>
        <w:rFonts w:hint="default"/>
      </w:rPr>
    </w:lvl>
    <w:lvl w:ilvl="1">
      <w:start w:val="1"/>
      <w:numFmt w:val="lowerLetter"/>
      <w:pStyle w:val="BoxListNumber2"/>
      <w:lvlText w:val="(%2)"/>
      <w:lvlJc w:val="left"/>
      <w:pPr>
        <w:tabs>
          <w:tab w:val="num" w:pos="680"/>
        </w:tabs>
        <w:ind w:left="680" w:hanging="396"/>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ED95F65"/>
    <w:multiLevelType w:val="multilevel"/>
    <w:tmpl w:val="C444122C"/>
    <w:lvl w:ilvl="0">
      <w:start w:val="1"/>
      <w:numFmt w:val="decimal"/>
      <w:pStyle w:val="ListNumber"/>
      <w:lvlText w:val="%1."/>
      <w:lvlJc w:val="left"/>
      <w:pPr>
        <w:tabs>
          <w:tab w:val="num" w:pos="340"/>
        </w:tabs>
        <w:ind w:left="340" w:hanging="340"/>
      </w:pPr>
      <w:rPr>
        <w:rFonts w:hint="default"/>
      </w:rPr>
    </w:lvl>
    <w:lvl w:ilvl="1">
      <w:start w:val="1"/>
      <w:numFmt w:val="lowerLetter"/>
      <w:pStyle w:val="ListNumber2"/>
      <w:lvlText w:val="(%2)"/>
      <w:lvlJc w:val="left"/>
      <w:pPr>
        <w:tabs>
          <w:tab w:val="num" w:pos="794"/>
        </w:tabs>
        <w:ind w:left="794" w:hanging="454"/>
      </w:pPr>
      <w:rPr>
        <w:rFonts w:hint="default"/>
      </w:rPr>
    </w:lvl>
    <w:lvl w:ilvl="2">
      <w:start w:val="1"/>
      <w:numFmt w:val="lowerRoman"/>
      <w:pStyle w:val="ListNumber3"/>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11CE45D8"/>
    <w:multiLevelType w:val="singleLevel"/>
    <w:tmpl w:val="650622E4"/>
    <w:lvl w:ilvl="0">
      <w:numFmt w:val="bullet"/>
      <w:pStyle w:val="SideNoteBullet"/>
      <w:lvlText w:val="–"/>
      <w:lvlJc w:val="left"/>
      <w:pPr>
        <w:tabs>
          <w:tab w:val="num" w:pos="360"/>
        </w:tabs>
        <w:ind w:left="227" w:hanging="227"/>
      </w:pPr>
      <w:rPr>
        <w:rFonts w:ascii="Times New Roman" w:hAnsi="Times New Roman" w:hint="default"/>
      </w:rPr>
    </w:lvl>
  </w:abstractNum>
  <w:abstractNum w:abstractNumId="6">
    <w:nsid w:val="23FF358D"/>
    <w:multiLevelType w:val="singleLevel"/>
    <w:tmpl w:val="4146A198"/>
    <w:lvl w:ilvl="0">
      <w:start w:val="1"/>
      <w:numFmt w:val="bullet"/>
      <w:pStyle w:val="RecBBullet"/>
      <w:lvlText w:val=""/>
      <w:lvlJc w:val="left"/>
      <w:pPr>
        <w:tabs>
          <w:tab w:val="num" w:pos="340"/>
        </w:tabs>
        <w:ind w:left="340" w:hanging="340"/>
      </w:pPr>
      <w:rPr>
        <w:rFonts w:ascii="Symbol" w:hAnsi="Symbol" w:hint="default"/>
        <w:b w:val="0"/>
        <w:i w:val="0"/>
        <w:sz w:val="18"/>
      </w:rPr>
    </w:lvl>
  </w:abstractNum>
  <w:abstractNum w:abstractNumId="7">
    <w:nsid w:val="2B466A13"/>
    <w:multiLevelType w:val="hybridMultilevel"/>
    <w:tmpl w:val="3E0CC5BA"/>
    <w:lvl w:ilvl="0" w:tplc="2B829644">
      <w:numFmt w:val="bullet"/>
      <w:pStyle w:val="BoxQuoteBullet"/>
      <w:lvlText w:val=""/>
      <w:lvlJc w:val="left"/>
      <w:pPr>
        <w:ind w:left="1004" w:hanging="360"/>
      </w:pPr>
      <w:rPr>
        <w:rFonts w:ascii="Symbol" w:hAnsi="Symbol" w:hint="default"/>
        <w:sz w:val="18"/>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8">
    <w:nsid w:val="30E90CE4"/>
    <w:multiLevelType w:val="singleLevel"/>
    <w:tmpl w:val="52F61D9A"/>
    <w:lvl w:ilvl="0">
      <w:start w:val="1"/>
      <w:numFmt w:val="bullet"/>
      <w:pStyle w:val="BoxListBullet"/>
      <w:lvlText w:val=""/>
      <w:lvlJc w:val="left"/>
      <w:pPr>
        <w:tabs>
          <w:tab w:val="num" w:pos="284"/>
        </w:tabs>
        <w:ind w:left="284" w:hanging="284"/>
      </w:pPr>
      <w:rPr>
        <w:rFonts w:ascii="Symbol" w:hAnsi="Symbol" w:hint="default"/>
        <w:sz w:val="18"/>
      </w:rPr>
    </w:lvl>
  </w:abstractNum>
  <w:abstractNum w:abstractNumId="9">
    <w:nsid w:val="4C2B5347"/>
    <w:multiLevelType w:val="hybridMultilevel"/>
    <w:tmpl w:val="8B002072"/>
    <w:lvl w:ilvl="0" w:tplc="720CA4D2">
      <w:start w:val="1"/>
      <w:numFmt w:val="bullet"/>
      <w:pStyle w:val="InformationRequestBullet"/>
      <w:lvlText w:val=""/>
      <w:lvlJc w:val="left"/>
      <w:pPr>
        <w:ind w:left="360" w:hanging="360"/>
      </w:pPr>
      <w:rPr>
        <w:rFonts w:ascii="Symbol" w:hAnsi="Symbol" w:hint="default"/>
        <w:sz w:val="1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54382D6E"/>
    <w:multiLevelType w:val="singleLevel"/>
    <w:tmpl w:val="315ABD1E"/>
    <w:lvl w:ilvl="0">
      <w:numFmt w:val="bullet"/>
      <w:pStyle w:val="ListBullet"/>
      <w:lvlText w:val=""/>
      <w:lvlJc w:val="left"/>
      <w:pPr>
        <w:tabs>
          <w:tab w:val="num" w:pos="340"/>
        </w:tabs>
        <w:ind w:left="340" w:hanging="340"/>
      </w:pPr>
      <w:rPr>
        <w:rFonts w:ascii="Symbol" w:hAnsi="Symbol" w:hint="default"/>
        <w:sz w:val="18"/>
      </w:rPr>
    </w:lvl>
  </w:abstractNum>
  <w:abstractNum w:abstractNumId="11">
    <w:nsid w:val="543E1FD6"/>
    <w:multiLevelType w:val="singleLevel"/>
    <w:tmpl w:val="039AA380"/>
    <w:lvl w:ilvl="0">
      <w:start w:val="1"/>
      <w:numFmt w:val="bullet"/>
      <w:pStyle w:val="TableBullet"/>
      <w:lvlText w:val=""/>
      <w:lvlJc w:val="left"/>
      <w:pPr>
        <w:tabs>
          <w:tab w:val="num" w:pos="170"/>
        </w:tabs>
        <w:ind w:left="170" w:hanging="170"/>
      </w:pPr>
      <w:rPr>
        <w:rFonts w:ascii="Symbol" w:hAnsi="Symbol" w:hint="default"/>
        <w:b w:val="0"/>
        <w:i w:val="0"/>
        <w:sz w:val="18"/>
      </w:rPr>
    </w:lvl>
  </w:abstractNum>
  <w:abstractNum w:abstractNumId="12">
    <w:nsid w:val="56107838"/>
    <w:multiLevelType w:val="singleLevel"/>
    <w:tmpl w:val="775A3F3A"/>
    <w:lvl w:ilvl="0">
      <w:start w:val="1"/>
      <w:numFmt w:val="bullet"/>
      <w:pStyle w:val="QuoteBullet"/>
      <w:lvlText w:val=""/>
      <w:lvlJc w:val="left"/>
      <w:pPr>
        <w:tabs>
          <w:tab w:val="num" w:pos="680"/>
        </w:tabs>
        <w:ind w:left="680" w:hanging="340"/>
      </w:pPr>
      <w:rPr>
        <w:rFonts w:ascii="Symbol" w:hAnsi="Symbol" w:hint="default"/>
        <w:sz w:val="18"/>
      </w:rPr>
    </w:lvl>
  </w:abstractNum>
  <w:abstractNum w:abstractNumId="13">
    <w:nsid w:val="592D6D4E"/>
    <w:multiLevelType w:val="hybridMultilevel"/>
    <w:tmpl w:val="0C44FF7A"/>
    <w:lvl w:ilvl="0" w:tplc="B4385E08">
      <w:start w:val="1"/>
      <w:numFmt w:val="bullet"/>
      <w:pStyle w:val="BoxListBullet3"/>
      <w:lvlText w:val=""/>
      <w:lvlJc w:val="left"/>
      <w:pPr>
        <w:ind w:left="1287" w:hanging="360"/>
      </w:pPr>
      <w:rPr>
        <w:rFonts w:ascii="MT Extra" w:hAnsi="MT Extra" w:hint="default"/>
        <w:b w:val="0"/>
        <w:i w:val="0"/>
        <w:sz w:val="16"/>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14">
    <w:nsid w:val="643516F3"/>
    <w:multiLevelType w:val="singleLevel"/>
    <w:tmpl w:val="C05AE1DC"/>
    <w:lvl w:ilvl="0">
      <w:start w:val="1"/>
      <w:numFmt w:val="bullet"/>
      <w:pStyle w:val="ListBullet3"/>
      <w:lvlText w:val=""/>
      <w:lvlJc w:val="left"/>
      <w:pPr>
        <w:tabs>
          <w:tab w:val="num" w:pos="1021"/>
        </w:tabs>
        <w:ind w:left="1021" w:hanging="341"/>
      </w:pPr>
      <w:rPr>
        <w:rFonts w:ascii="MT Extra" w:hAnsi="MT Extra" w:hint="default"/>
        <w:b w:val="0"/>
        <w:i w:val="0"/>
        <w:sz w:val="16"/>
      </w:rPr>
    </w:lvl>
  </w:abstractNum>
  <w:abstractNum w:abstractNumId="15">
    <w:nsid w:val="700B146D"/>
    <w:multiLevelType w:val="hybridMultilevel"/>
    <w:tmpl w:val="E5489826"/>
    <w:lvl w:ilvl="0" w:tplc="C86A0BC6">
      <w:start w:val="1"/>
      <w:numFmt w:val="bullet"/>
      <w:lvlText w:val="-"/>
      <w:lvlJc w:val="left"/>
      <w:pPr>
        <w:ind w:left="720" w:hanging="360"/>
      </w:pPr>
      <w:rPr>
        <w:rFonts w:ascii="Calibri" w:eastAsia="Times New Roman" w:hAnsi="Calibri"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7A1373DF"/>
    <w:multiLevelType w:val="singleLevel"/>
    <w:tmpl w:val="66CC34AA"/>
    <w:lvl w:ilvl="0">
      <w:start w:val="1"/>
      <w:numFmt w:val="bullet"/>
      <w:pStyle w:val="FindingBullet"/>
      <w:lvlText w:val=""/>
      <w:lvlJc w:val="left"/>
      <w:pPr>
        <w:tabs>
          <w:tab w:val="num" w:pos="340"/>
        </w:tabs>
        <w:ind w:left="340" w:hanging="340"/>
      </w:pPr>
      <w:rPr>
        <w:rFonts w:ascii="Symbol" w:hAnsi="Symbol" w:hint="default"/>
        <w:b w:val="0"/>
        <w:i w:val="0"/>
        <w:sz w:val="18"/>
      </w:rPr>
    </w:lvl>
  </w:abstractNum>
  <w:abstractNum w:abstractNumId="17">
    <w:nsid w:val="7BFA7D75"/>
    <w:multiLevelType w:val="singleLevel"/>
    <w:tmpl w:val="B4C476FC"/>
    <w:lvl w:ilvl="0">
      <w:start w:val="1"/>
      <w:numFmt w:val="bullet"/>
      <w:pStyle w:val="RecBullet"/>
      <w:lvlText w:val=""/>
      <w:lvlJc w:val="left"/>
      <w:pPr>
        <w:tabs>
          <w:tab w:val="num" w:pos="340"/>
        </w:tabs>
        <w:ind w:left="340" w:hanging="340"/>
      </w:pPr>
      <w:rPr>
        <w:rFonts w:ascii="Symbol" w:hAnsi="Symbol" w:hint="default"/>
        <w:b w:val="0"/>
        <w:i w:val="0"/>
        <w:sz w:val="18"/>
      </w:rPr>
    </w:lvl>
  </w:abstractNum>
  <w:num w:numId="1">
    <w:abstractNumId w:val="8"/>
  </w:num>
  <w:num w:numId="2">
    <w:abstractNumId w:val="16"/>
  </w:num>
  <w:num w:numId="3">
    <w:abstractNumId w:val="0"/>
  </w:num>
  <w:num w:numId="4">
    <w:abstractNumId w:val="10"/>
  </w:num>
  <w:num w:numId="5">
    <w:abstractNumId w:val="1"/>
  </w:num>
  <w:num w:numId="6">
    <w:abstractNumId w:val="14"/>
  </w:num>
  <w:num w:numId="7">
    <w:abstractNumId w:val="12"/>
  </w:num>
  <w:num w:numId="8">
    <w:abstractNumId w:val="17"/>
  </w:num>
  <w:num w:numId="9">
    <w:abstractNumId w:val="5"/>
  </w:num>
  <w:num w:numId="10">
    <w:abstractNumId w:val="11"/>
  </w:num>
  <w:num w:numId="11">
    <w:abstractNumId w:val="4"/>
  </w:num>
  <w:num w:numId="12">
    <w:abstractNumId w:val="3"/>
  </w:num>
  <w:num w:numId="13">
    <w:abstractNumId w:val="6"/>
  </w:num>
  <w:num w:numId="14">
    <w:abstractNumId w:val="7"/>
  </w:num>
  <w:num w:numId="15">
    <w:abstractNumId w:val="9"/>
  </w:num>
  <w:num w:numId="16">
    <w:abstractNumId w:val="2"/>
  </w:num>
  <w:num w:numId="17">
    <w:abstractNumId w:val="13"/>
  </w:num>
  <w:num w:numId="18">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lickAndTypeStyle w:val="BodyText"/>
  <w:evenAndOddHeaders/>
  <w:characterSpacingControl w:val="doNotCompress"/>
  <w:hdrShapeDefaults>
    <o:shapedefaults v:ext="edit" spidmax="1126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pendixNumber" w:val="A"/>
    <w:docVar w:name="FindingOptions" w:val="1"/>
    <w:docVar w:name="RecOptions" w:val="111"/>
    <w:docVar w:name="ShortChapterTitle" w:val="HILDA and the calendar data"/>
    <w:docVar w:name="ShortReportTitle" w:val="Prevalence of transition pathways"/>
  </w:docVars>
  <w:rsids>
    <w:rsidRoot w:val="00CC6C62"/>
    <w:rsid w:val="000012D6"/>
    <w:rsid w:val="000108A2"/>
    <w:rsid w:val="000227D5"/>
    <w:rsid w:val="000245AA"/>
    <w:rsid w:val="00024801"/>
    <w:rsid w:val="0002549D"/>
    <w:rsid w:val="00032A43"/>
    <w:rsid w:val="00036565"/>
    <w:rsid w:val="0003664B"/>
    <w:rsid w:val="00036D52"/>
    <w:rsid w:val="0004111F"/>
    <w:rsid w:val="00050280"/>
    <w:rsid w:val="00053740"/>
    <w:rsid w:val="00054727"/>
    <w:rsid w:val="000565B3"/>
    <w:rsid w:val="0006580E"/>
    <w:rsid w:val="00065FA5"/>
    <w:rsid w:val="00066761"/>
    <w:rsid w:val="0007150B"/>
    <w:rsid w:val="00072F33"/>
    <w:rsid w:val="000938F5"/>
    <w:rsid w:val="00096E55"/>
    <w:rsid w:val="000B601B"/>
    <w:rsid w:val="000C0A41"/>
    <w:rsid w:val="000C0DCE"/>
    <w:rsid w:val="000C1A1A"/>
    <w:rsid w:val="000C207E"/>
    <w:rsid w:val="000C6240"/>
    <w:rsid w:val="000C64CC"/>
    <w:rsid w:val="000E013A"/>
    <w:rsid w:val="000F0035"/>
    <w:rsid w:val="000F420B"/>
    <w:rsid w:val="00100B32"/>
    <w:rsid w:val="00101059"/>
    <w:rsid w:val="00110116"/>
    <w:rsid w:val="00112D5E"/>
    <w:rsid w:val="00114899"/>
    <w:rsid w:val="00115FF3"/>
    <w:rsid w:val="00120072"/>
    <w:rsid w:val="00124B55"/>
    <w:rsid w:val="00126EB8"/>
    <w:rsid w:val="001274D4"/>
    <w:rsid w:val="001278A7"/>
    <w:rsid w:val="00131B46"/>
    <w:rsid w:val="00134EC8"/>
    <w:rsid w:val="001363AA"/>
    <w:rsid w:val="00144AB9"/>
    <w:rsid w:val="00145609"/>
    <w:rsid w:val="001529DB"/>
    <w:rsid w:val="00152C4D"/>
    <w:rsid w:val="00170E69"/>
    <w:rsid w:val="00183E82"/>
    <w:rsid w:val="001878BB"/>
    <w:rsid w:val="00191AE0"/>
    <w:rsid w:val="0019293B"/>
    <w:rsid w:val="0019426B"/>
    <w:rsid w:val="001962C8"/>
    <w:rsid w:val="001A735D"/>
    <w:rsid w:val="001A7FCA"/>
    <w:rsid w:val="001C0865"/>
    <w:rsid w:val="001C3ABA"/>
    <w:rsid w:val="001C4A7F"/>
    <w:rsid w:val="001D327C"/>
    <w:rsid w:val="001D5897"/>
    <w:rsid w:val="001D6D00"/>
    <w:rsid w:val="001E4D04"/>
    <w:rsid w:val="001E7BE8"/>
    <w:rsid w:val="001F0248"/>
    <w:rsid w:val="001F3EB3"/>
    <w:rsid w:val="001F4F86"/>
    <w:rsid w:val="00202C2C"/>
    <w:rsid w:val="002039B7"/>
    <w:rsid w:val="00204B64"/>
    <w:rsid w:val="0020635D"/>
    <w:rsid w:val="002135AB"/>
    <w:rsid w:val="00213C5D"/>
    <w:rsid w:val="002144BE"/>
    <w:rsid w:val="00242279"/>
    <w:rsid w:val="002455FF"/>
    <w:rsid w:val="00245C82"/>
    <w:rsid w:val="0025750F"/>
    <w:rsid w:val="00264D14"/>
    <w:rsid w:val="0026502F"/>
    <w:rsid w:val="00270DFA"/>
    <w:rsid w:val="0028572A"/>
    <w:rsid w:val="00291B40"/>
    <w:rsid w:val="002928C9"/>
    <w:rsid w:val="00296DF8"/>
    <w:rsid w:val="002A7A7D"/>
    <w:rsid w:val="002B4008"/>
    <w:rsid w:val="002B4CA6"/>
    <w:rsid w:val="002B78A1"/>
    <w:rsid w:val="002C28E9"/>
    <w:rsid w:val="002D0E8E"/>
    <w:rsid w:val="002D1CE9"/>
    <w:rsid w:val="002D4183"/>
    <w:rsid w:val="002D7DE2"/>
    <w:rsid w:val="002E1717"/>
    <w:rsid w:val="002E61FA"/>
    <w:rsid w:val="002F38E7"/>
    <w:rsid w:val="00301189"/>
    <w:rsid w:val="00313590"/>
    <w:rsid w:val="00323E09"/>
    <w:rsid w:val="0032607E"/>
    <w:rsid w:val="0032701C"/>
    <w:rsid w:val="00333932"/>
    <w:rsid w:val="00335886"/>
    <w:rsid w:val="003427FE"/>
    <w:rsid w:val="0034588C"/>
    <w:rsid w:val="003503FB"/>
    <w:rsid w:val="003518AA"/>
    <w:rsid w:val="00352165"/>
    <w:rsid w:val="00353182"/>
    <w:rsid w:val="003565D9"/>
    <w:rsid w:val="003602E1"/>
    <w:rsid w:val="0036160A"/>
    <w:rsid w:val="00365F5E"/>
    <w:rsid w:val="0037026F"/>
    <w:rsid w:val="00370A51"/>
    <w:rsid w:val="00371240"/>
    <w:rsid w:val="00373FC0"/>
    <w:rsid w:val="00374731"/>
    <w:rsid w:val="00376DE3"/>
    <w:rsid w:val="00376E59"/>
    <w:rsid w:val="00385055"/>
    <w:rsid w:val="00385F4A"/>
    <w:rsid w:val="003919F9"/>
    <w:rsid w:val="003A080B"/>
    <w:rsid w:val="003B56C4"/>
    <w:rsid w:val="003C187D"/>
    <w:rsid w:val="003C344B"/>
    <w:rsid w:val="003C38B5"/>
    <w:rsid w:val="003C5D99"/>
    <w:rsid w:val="003D3980"/>
    <w:rsid w:val="003E218E"/>
    <w:rsid w:val="003E2F59"/>
    <w:rsid w:val="003F0789"/>
    <w:rsid w:val="003F1A4F"/>
    <w:rsid w:val="00401882"/>
    <w:rsid w:val="00402BB8"/>
    <w:rsid w:val="004100C8"/>
    <w:rsid w:val="00411DBD"/>
    <w:rsid w:val="00412ACE"/>
    <w:rsid w:val="00416271"/>
    <w:rsid w:val="00431249"/>
    <w:rsid w:val="00433733"/>
    <w:rsid w:val="00434C19"/>
    <w:rsid w:val="0044507A"/>
    <w:rsid w:val="00450810"/>
    <w:rsid w:val="004542DD"/>
    <w:rsid w:val="00460263"/>
    <w:rsid w:val="0046228B"/>
    <w:rsid w:val="004651CB"/>
    <w:rsid w:val="00476C58"/>
    <w:rsid w:val="00477144"/>
    <w:rsid w:val="00491380"/>
    <w:rsid w:val="0049459F"/>
    <w:rsid w:val="004A38DD"/>
    <w:rsid w:val="004B01E9"/>
    <w:rsid w:val="004B43AE"/>
    <w:rsid w:val="004C30ED"/>
    <w:rsid w:val="004C3324"/>
    <w:rsid w:val="004D5675"/>
    <w:rsid w:val="004F54C3"/>
    <w:rsid w:val="00503F51"/>
    <w:rsid w:val="00511485"/>
    <w:rsid w:val="00521B0C"/>
    <w:rsid w:val="00523639"/>
    <w:rsid w:val="0053062B"/>
    <w:rsid w:val="00530663"/>
    <w:rsid w:val="00531FE5"/>
    <w:rsid w:val="00533548"/>
    <w:rsid w:val="00533842"/>
    <w:rsid w:val="00534256"/>
    <w:rsid w:val="005402FA"/>
    <w:rsid w:val="00545A87"/>
    <w:rsid w:val="00546E8A"/>
    <w:rsid w:val="0054731C"/>
    <w:rsid w:val="00547EF1"/>
    <w:rsid w:val="005511EC"/>
    <w:rsid w:val="00576B30"/>
    <w:rsid w:val="0058335B"/>
    <w:rsid w:val="00583C39"/>
    <w:rsid w:val="00586E77"/>
    <w:rsid w:val="00587F28"/>
    <w:rsid w:val="005909CF"/>
    <w:rsid w:val="00591E71"/>
    <w:rsid w:val="005920F1"/>
    <w:rsid w:val="00595FA4"/>
    <w:rsid w:val="005974DB"/>
    <w:rsid w:val="005A0D41"/>
    <w:rsid w:val="005B2CF9"/>
    <w:rsid w:val="005B719A"/>
    <w:rsid w:val="005D1BA4"/>
    <w:rsid w:val="005D5759"/>
    <w:rsid w:val="005E4B70"/>
    <w:rsid w:val="005F4E2A"/>
    <w:rsid w:val="005F53A7"/>
    <w:rsid w:val="00603132"/>
    <w:rsid w:val="00607BF1"/>
    <w:rsid w:val="00610C9F"/>
    <w:rsid w:val="00616EFF"/>
    <w:rsid w:val="006307CE"/>
    <w:rsid w:val="00630D4D"/>
    <w:rsid w:val="00632A74"/>
    <w:rsid w:val="00641ECC"/>
    <w:rsid w:val="00650040"/>
    <w:rsid w:val="006514E6"/>
    <w:rsid w:val="00676575"/>
    <w:rsid w:val="00687938"/>
    <w:rsid w:val="00690FF6"/>
    <w:rsid w:val="006A4655"/>
    <w:rsid w:val="006B2B3C"/>
    <w:rsid w:val="006B7385"/>
    <w:rsid w:val="006C1D81"/>
    <w:rsid w:val="006C28C7"/>
    <w:rsid w:val="006C7038"/>
    <w:rsid w:val="006E0A70"/>
    <w:rsid w:val="006E28AA"/>
    <w:rsid w:val="006E4A6A"/>
    <w:rsid w:val="006E6AF6"/>
    <w:rsid w:val="006E73EF"/>
    <w:rsid w:val="006F28A8"/>
    <w:rsid w:val="00714D4D"/>
    <w:rsid w:val="00736C23"/>
    <w:rsid w:val="00736DCA"/>
    <w:rsid w:val="00736F6C"/>
    <w:rsid w:val="007419D8"/>
    <w:rsid w:val="0075263C"/>
    <w:rsid w:val="00754315"/>
    <w:rsid w:val="007555C9"/>
    <w:rsid w:val="00757B75"/>
    <w:rsid w:val="007604BB"/>
    <w:rsid w:val="00764587"/>
    <w:rsid w:val="00785232"/>
    <w:rsid w:val="00786BD8"/>
    <w:rsid w:val="007905D8"/>
    <w:rsid w:val="00791132"/>
    <w:rsid w:val="007978A1"/>
    <w:rsid w:val="007A21EB"/>
    <w:rsid w:val="007A2F6F"/>
    <w:rsid w:val="007A4791"/>
    <w:rsid w:val="007A4F69"/>
    <w:rsid w:val="007A65FC"/>
    <w:rsid w:val="007B1A93"/>
    <w:rsid w:val="007C0E21"/>
    <w:rsid w:val="007C36C9"/>
    <w:rsid w:val="007D6401"/>
    <w:rsid w:val="007E01E4"/>
    <w:rsid w:val="007E5BE0"/>
    <w:rsid w:val="007F7107"/>
    <w:rsid w:val="00800D4C"/>
    <w:rsid w:val="00805798"/>
    <w:rsid w:val="0081030F"/>
    <w:rsid w:val="0082087D"/>
    <w:rsid w:val="008227D0"/>
    <w:rsid w:val="00823C63"/>
    <w:rsid w:val="00835771"/>
    <w:rsid w:val="00835B05"/>
    <w:rsid w:val="00842933"/>
    <w:rsid w:val="008460A7"/>
    <w:rsid w:val="008534B2"/>
    <w:rsid w:val="008577FC"/>
    <w:rsid w:val="0086082C"/>
    <w:rsid w:val="00863D5D"/>
    <w:rsid w:val="00864ADC"/>
    <w:rsid w:val="008662BD"/>
    <w:rsid w:val="00867CE8"/>
    <w:rsid w:val="00867D83"/>
    <w:rsid w:val="00880153"/>
    <w:rsid w:val="00880F97"/>
    <w:rsid w:val="0088133A"/>
    <w:rsid w:val="0088403A"/>
    <w:rsid w:val="00886603"/>
    <w:rsid w:val="0089285E"/>
    <w:rsid w:val="0089436C"/>
    <w:rsid w:val="008A1C50"/>
    <w:rsid w:val="008A7603"/>
    <w:rsid w:val="008B3132"/>
    <w:rsid w:val="008C0A73"/>
    <w:rsid w:val="008C3713"/>
    <w:rsid w:val="008D365C"/>
    <w:rsid w:val="008D3944"/>
    <w:rsid w:val="008D4B12"/>
    <w:rsid w:val="008E2F26"/>
    <w:rsid w:val="009030BF"/>
    <w:rsid w:val="009065EA"/>
    <w:rsid w:val="0091032F"/>
    <w:rsid w:val="00910C1E"/>
    <w:rsid w:val="009140CC"/>
    <w:rsid w:val="00914368"/>
    <w:rsid w:val="00924990"/>
    <w:rsid w:val="00927C58"/>
    <w:rsid w:val="00931076"/>
    <w:rsid w:val="009345D9"/>
    <w:rsid w:val="00934B15"/>
    <w:rsid w:val="00940648"/>
    <w:rsid w:val="00940C87"/>
    <w:rsid w:val="00942B62"/>
    <w:rsid w:val="00945894"/>
    <w:rsid w:val="0095323B"/>
    <w:rsid w:val="00954A86"/>
    <w:rsid w:val="00956A0C"/>
    <w:rsid w:val="00956BD9"/>
    <w:rsid w:val="00957E11"/>
    <w:rsid w:val="00962489"/>
    <w:rsid w:val="00964CE1"/>
    <w:rsid w:val="00965D0F"/>
    <w:rsid w:val="00983155"/>
    <w:rsid w:val="00985B83"/>
    <w:rsid w:val="00990C2C"/>
    <w:rsid w:val="009A7A2B"/>
    <w:rsid w:val="009D5D45"/>
    <w:rsid w:val="009E1844"/>
    <w:rsid w:val="009E3989"/>
    <w:rsid w:val="009E615B"/>
    <w:rsid w:val="009F0D1B"/>
    <w:rsid w:val="009F1287"/>
    <w:rsid w:val="009F696D"/>
    <w:rsid w:val="009F6BC6"/>
    <w:rsid w:val="00A02867"/>
    <w:rsid w:val="00A17328"/>
    <w:rsid w:val="00A23A20"/>
    <w:rsid w:val="00A268B9"/>
    <w:rsid w:val="00A2703A"/>
    <w:rsid w:val="00A33DFF"/>
    <w:rsid w:val="00A35115"/>
    <w:rsid w:val="00A358E8"/>
    <w:rsid w:val="00A36D9A"/>
    <w:rsid w:val="00A37729"/>
    <w:rsid w:val="00A554AB"/>
    <w:rsid w:val="00A57062"/>
    <w:rsid w:val="00A74CB6"/>
    <w:rsid w:val="00A77770"/>
    <w:rsid w:val="00A92B53"/>
    <w:rsid w:val="00A94FA6"/>
    <w:rsid w:val="00AA0B75"/>
    <w:rsid w:val="00AA49A0"/>
    <w:rsid w:val="00AA6710"/>
    <w:rsid w:val="00AB0681"/>
    <w:rsid w:val="00AB4709"/>
    <w:rsid w:val="00AB69DF"/>
    <w:rsid w:val="00AC5066"/>
    <w:rsid w:val="00AD520B"/>
    <w:rsid w:val="00AD6E1D"/>
    <w:rsid w:val="00AE7A41"/>
    <w:rsid w:val="00AF0309"/>
    <w:rsid w:val="00AF696A"/>
    <w:rsid w:val="00B22FE3"/>
    <w:rsid w:val="00B35BAF"/>
    <w:rsid w:val="00B425C3"/>
    <w:rsid w:val="00B440AD"/>
    <w:rsid w:val="00B46391"/>
    <w:rsid w:val="00B479BB"/>
    <w:rsid w:val="00B53E7E"/>
    <w:rsid w:val="00B56BCE"/>
    <w:rsid w:val="00B6342E"/>
    <w:rsid w:val="00B7113F"/>
    <w:rsid w:val="00B96A6F"/>
    <w:rsid w:val="00BA5889"/>
    <w:rsid w:val="00BA5D29"/>
    <w:rsid w:val="00BA73B6"/>
    <w:rsid w:val="00BA7E27"/>
    <w:rsid w:val="00BB2603"/>
    <w:rsid w:val="00BB4FCD"/>
    <w:rsid w:val="00BC04E9"/>
    <w:rsid w:val="00BC0921"/>
    <w:rsid w:val="00BC7944"/>
    <w:rsid w:val="00BD1385"/>
    <w:rsid w:val="00BD13EA"/>
    <w:rsid w:val="00BE1F64"/>
    <w:rsid w:val="00BE2CA9"/>
    <w:rsid w:val="00BE3808"/>
    <w:rsid w:val="00BE6B79"/>
    <w:rsid w:val="00BF015A"/>
    <w:rsid w:val="00BF02A4"/>
    <w:rsid w:val="00BF3EC2"/>
    <w:rsid w:val="00BF459E"/>
    <w:rsid w:val="00BF7287"/>
    <w:rsid w:val="00C015FA"/>
    <w:rsid w:val="00C029BA"/>
    <w:rsid w:val="00C02FE6"/>
    <w:rsid w:val="00C062E9"/>
    <w:rsid w:val="00C07B64"/>
    <w:rsid w:val="00C12AA9"/>
    <w:rsid w:val="00C13721"/>
    <w:rsid w:val="00C14FE4"/>
    <w:rsid w:val="00C2778B"/>
    <w:rsid w:val="00C3066D"/>
    <w:rsid w:val="00C370BE"/>
    <w:rsid w:val="00C4133E"/>
    <w:rsid w:val="00C510AC"/>
    <w:rsid w:val="00C52416"/>
    <w:rsid w:val="00C53A1F"/>
    <w:rsid w:val="00C543F4"/>
    <w:rsid w:val="00C6017F"/>
    <w:rsid w:val="00C6291C"/>
    <w:rsid w:val="00C633CB"/>
    <w:rsid w:val="00C736B7"/>
    <w:rsid w:val="00C81D4A"/>
    <w:rsid w:val="00C85294"/>
    <w:rsid w:val="00C8762C"/>
    <w:rsid w:val="00C96E4D"/>
    <w:rsid w:val="00C976B2"/>
    <w:rsid w:val="00CA00F9"/>
    <w:rsid w:val="00CA2961"/>
    <w:rsid w:val="00CB50D7"/>
    <w:rsid w:val="00CB7177"/>
    <w:rsid w:val="00CC1998"/>
    <w:rsid w:val="00CC4946"/>
    <w:rsid w:val="00CC6C62"/>
    <w:rsid w:val="00CD5B65"/>
    <w:rsid w:val="00CF6C75"/>
    <w:rsid w:val="00D06CAD"/>
    <w:rsid w:val="00D10D02"/>
    <w:rsid w:val="00D1104E"/>
    <w:rsid w:val="00D270A4"/>
    <w:rsid w:val="00D31FE9"/>
    <w:rsid w:val="00D32510"/>
    <w:rsid w:val="00D33EA5"/>
    <w:rsid w:val="00D34E1B"/>
    <w:rsid w:val="00D376BA"/>
    <w:rsid w:val="00D45634"/>
    <w:rsid w:val="00D5568A"/>
    <w:rsid w:val="00D63D73"/>
    <w:rsid w:val="00D64452"/>
    <w:rsid w:val="00D66E1E"/>
    <w:rsid w:val="00D67F8D"/>
    <w:rsid w:val="00D71D91"/>
    <w:rsid w:val="00D73CAD"/>
    <w:rsid w:val="00D75722"/>
    <w:rsid w:val="00D80C5A"/>
    <w:rsid w:val="00D80CF5"/>
    <w:rsid w:val="00DA5BBA"/>
    <w:rsid w:val="00DB26D2"/>
    <w:rsid w:val="00DB67C9"/>
    <w:rsid w:val="00DC0C95"/>
    <w:rsid w:val="00DC48B9"/>
    <w:rsid w:val="00DD08F8"/>
    <w:rsid w:val="00DD6580"/>
    <w:rsid w:val="00DD7A4B"/>
    <w:rsid w:val="00DE0B7F"/>
    <w:rsid w:val="00DF5BA3"/>
    <w:rsid w:val="00E13AAE"/>
    <w:rsid w:val="00E17C72"/>
    <w:rsid w:val="00E21FC6"/>
    <w:rsid w:val="00E23700"/>
    <w:rsid w:val="00E31927"/>
    <w:rsid w:val="00E36076"/>
    <w:rsid w:val="00E379A3"/>
    <w:rsid w:val="00E431A9"/>
    <w:rsid w:val="00E46F07"/>
    <w:rsid w:val="00E669E2"/>
    <w:rsid w:val="00E76135"/>
    <w:rsid w:val="00E82F4F"/>
    <w:rsid w:val="00EA775B"/>
    <w:rsid w:val="00EC2844"/>
    <w:rsid w:val="00EC5500"/>
    <w:rsid w:val="00ED18F8"/>
    <w:rsid w:val="00EE7281"/>
    <w:rsid w:val="00EF47CE"/>
    <w:rsid w:val="00EF6C6C"/>
    <w:rsid w:val="00F056FC"/>
    <w:rsid w:val="00F10476"/>
    <w:rsid w:val="00F135D8"/>
    <w:rsid w:val="00F26230"/>
    <w:rsid w:val="00F31299"/>
    <w:rsid w:val="00F33DCA"/>
    <w:rsid w:val="00F3534A"/>
    <w:rsid w:val="00F449DF"/>
    <w:rsid w:val="00F45AA5"/>
    <w:rsid w:val="00F470DC"/>
    <w:rsid w:val="00F478A4"/>
    <w:rsid w:val="00F51609"/>
    <w:rsid w:val="00F65B49"/>
    <w:rsid w:val="00F719EE"/>
    <w:rsid w:val="00F73EC8"/>
    <w:rsid w:val="00F74D31"/>
    <w:rsid w:val="00F81006"/>
    <w:rsid w:val="00F85325"/>
    <w:rsid w:val="00F871C2"/>
    <w:rsid w:val="00F94A8A"/>
    <w:rsid w:val="00F94F8C"/>
    <w:rsid w:val="00F96B08"/>
    <w:rsid w:val="00FA1C80"/>
    <w:rsid w:val="00FA7B71"/>
    <w:rsid w:val="00FB6DA2"/>
    <w:rsid w:val="00FC3B99"/>
    <w:rsid w:val="00FC799B"/>
    <w:rsid w:val="00FD22B1"/>
    <w:rsid w:val="00FE0039"/>
    <w:rsid w:val="00FE5397"/>
    <w:rsid w:val="00FE6A0F"/>
    <w:rsid w:val="00FF50C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2" w:qFormat="1"/>
    <w:lsdException w:name="heading 3" w:qFormat="1"/>
    <w:lsdException w:name="heading 4" w:qFormat="1"/>
    <w:lsdException w:name="heading 5" w:qFormat="1"/>
    <w:lsdException w:name="Body Text" w:qFormat="1"/>
    <w:lsdException w:name="Subtitle" w:qFormat="1"/>
    <w:lsdException w:name="No Lis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CC6C62"/>
    <w:rPr>
      <w:rFonts w:ascii="Calibri" w:hAnsi="Calibri"/>
      <w:sz w:val="22"/>
      <w:szCs w:val="22"/>
      <w:lang w:eastAsia="en-US"/>
    </w:rPr>
  </w:style>
  <w:style w:type="paragraph" w:styleId="Heading1">
    <w:name w:val="heading 1"/>
    <w:basedOn w:val="Normal"/>
    <w:next w:val="BodyText"/>
    <w:rsid w:val="00FD22B1"/>
    <w:pPr>
      <w:keepNext/>
      <w:spacing w:before="160" w:after="1360" w:line="600" w:lineRule="exact"/>
      <w:ind w:left="907" w:hanging="907"/>
      <w:outlineLvl w:val="0"/>
    </w:pPr>
    <w:rPr>
      <w:sz w:val="52"/>
    </w:rPr>
  </w:style>
  <w:style w:type="paragraph" w:styleId="Heading2">
    <w:name w:val="heading 2"/>
    <w:basedOn w:val="Chapter"/>
    <w:next w:val="BodyText"/>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rsid w:val="00A17328"/>
    <w:pPr>
      <w:spacing w:before="560" w:line="320" w:lineRule="exact"/>
      <w:ind w:left="0" w:firstLine="0"/>
      <w:outlineLvl w:val="2"/>
    </w:pPr>
    <w:rPr>
      <w:sz w:val="26"/>
    </w:rPr>
  </w:style>
  <w:style w:type="paragraph" w:styleId="Heading4">
    <w:name w:val="heading 4"/>
    <w:basedOn w:val="Heading3"/>
    <w:next w:val="BodyText"/>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rsid w:val="00A17328"/>
    <w:pPr>
      <w:spacing w:after="60"/>
      <w:jc w:val="left"/>
      <w:outlineLvl w:val="5"/>
    </w:pPr>
    <w:rPr>
      <w:i/>
      <w:sz w:val="22"/>
    </w:rPr>
  </w:style>
  <w:style w:type="paragraph" w:styleId="Heading7">
    <w:name w:val="heading 7"/>
    <w:basedOn w:val="BodyText"/>
    <w:next w:val="BodyText"/>
    <w:rsid w:val="00A17328"/>
    <w:pPr>
      <w:spacing w:after="60" w:line="240" w:lineRule="auto"/>
      <w:jc w:val="left"/>
      <w:outlineLvl w:val="6"/>
    </w:pPr>
    <w:rPr>
      <w:rFonts w:ascii="Arial" w:hAnsi="Arial"/>
      <w:sz w:val="20"/>
    </w:rPr>
  </w:style>
  <w:style w:type="paragraph" w:styleId="Heading8">
    <w:name w:val="heading 8"/>
    <w:basedOn w:val="BodyText"/>
    <w:next w:val="BodyText"/>
    <w:rsid w:val="00A17328"/>
    <w:pPr>
      <w:spacing w:after="60" w:line="240" w:lineRule="auto"/>
      <w:jc w:val="left"/>
      <w:outlineLvl w:val="7"/>
    </w:pPr>
    <w:rPr>
      <w:rFonts w:ascii="Arial" w:hAnsi="Arial"/>
      <w:i/>
      <w:sz w:val="20"/>
    </w:rPr>
  </w:style>
  <w:style w:type="paragraph" w:styleId="Heading9">
    <w:name w:val="heading 9"/>
    <w:basedOn w:val="BodyText"/>
    <w:next w:val="BodyTex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9345D9"/>
    <w:pPr>
      <w:spacing w:before="240" w:line="320" w:lineRule="atLeast"/>
      <w:jc w:val="both"/>
    </w:pPr>
    <w:rPr>
      <w:sz w:val="26"/>
    </w:rPr>
  </w:style>
  <w:style w:type="character" w:customStyle="1" w:styleId="BodyTextChar">
    <w:name w:val="Body Text Char"/>
    <w:basedOn w:val="DefaultParagraphFont"/>
    <w:link w:val="BodyText"/>
    <w:rsid w:val="00CC6C62"/>
    <w:rPr>
      <w:sz w:val="26"/>
    </w:rPr>
  </w:style>
  <w:style w:type="paragraph" w:customStyle="1" w:styleId="Chapter">
    <w:name w:val="Chapter"/>
    <w:basedOn w:val="Heading1"/>
    <w:next w:val="BodyText"/>
    <w:semiHidden/>
    <w:rsid w:val="00A17328"/>
    <w:pPr>
      <w:ind w:left="0" w:firstLine="0"/>
      <w:outlineLvl w:val="9"/>
    </w:pPr>
  </w:style>
  <w:style w:type="paragraph" w:styleId="Footer">
    <w:name w:val="footer"/>
    <w:basedOn w:val="BodyText"/>
    <w:link w:val="FooterChar"/>
    <w:rsid w:val="00A17328"/>
    <w:pPr>
      <w:spacing w:before="80" w:line="200" w:lineRule="exact"/>
      <w:ind w:right="6"/>
      <w:jc w:val="left"/>
    </w:pPr>
    <w:rPr>
      <w:caps/>
      <w:spacing w:val="-4"/>
      <w:sz w:val="16"/>
    </w:rPr>
  </w:style>
  <w:style w:type="character" w:customStyle="1" w:styleId="FooterChar">
    <w:name w:val="Footer Char"/>
    <w:basedOn w:val="DefaultParagraphFont"/>
    <w:link w:val="Footer"/>
    <w:rsid w:val="00CC6C62"/>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rsid w:val="00C543F4"/>
  </w:style>
  <w:style w:type="paragraph" w:customStyle="1" w:styleId="HeaderOdd">
    <w:name w:val="Header Odd"/>
    <w:basedOn w:val="Header"/>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376E59"/>
    <w:pPr>
      <w:keepNext/>
      <w:numPr>
        <w:numId w:val="1"/>
      </w:numPr>
      <w:spacing w:before="60" w:line="280" w:lineRule="atLeast"/>
    </w:pPr>
    <w:rPr>
      <w:rFonts w:ascii="Arial" w:hAnsi="Arial"/>
      <w:sz w:val="22"/>
    </w:rPr>
  </w:style>
  <w:style w:type="paragraph" w:customStyle="1" w:styleId="BoxListBullet2">
    <w:name w:val="Box List Bullet 2"/>
    <w:basedOn w:val="BodyText"/>
    <w:rsid w:val="009F0D1B"/>
    <w:pPr>
      <w:keepNext/>
      <w:numPr>
        <w:numId w:val="16"/>
      </w:numPr>
      <w:spacing w:before="60" w:line="280" w:lineRule="atLeast"/>
    </w:pPr>
    <w:rPr>
      <w:rFonts w:ascii="Arial" w:hAnsi="Arial"/>
      <w:sz w:val="22"/>
    </w:rPr>
  </w:style>
  <w:style w:type="paragraph" w:customStyle="1" w:styleId="BoxListNumber">
    <w:name w:val="Box List Number"/>
    <w:basedOn w:val="BodyText"/>
    <w:rsid w:val="00376E59"/>
    <w:pPr>
      <w:keepNext/>
      <w:numPr>
        <w:numId w:val="12"/>
      </w:numPr>
      <w:spacing w:before="60" w:line="280" w:lineRule="atLeast"/>
    </w:pPr>
    <w:rPr>
      <w:rFonts w:ascii="Arial" w:hAnsi="Arial"/>
      <w:sz w:val="22"/>
    </w:rPr>
  </w:style>
  <w:style w:type="paragraph" w:customStyle="1" w:styleId="BoxListNumber2">
    <w:name w:val="Box List Number 2"/>
    <w:basedOn w:val="BoxListNumber"/>
    <w:rsid w:val="00864ADC"/>
    <w:pPr>
      <w:numPr>
        <w:ilvl w:val="1"/>
      </w:numPr>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BodyText"/>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Above">
    <w:name w:val="Box Space Abov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BoxSubtitle"/>
    <w:rsid w:val="00D80CF5"/>
    <w:pPr>
      <w:spacing w:before="120" w:after="0"/>
      <w:ind w:left="1304" w:hanging="1304"/>
    </w:pPr>
    <w:rPr>
      <w:sz w:val="24"/>
    </w:r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Summary">
    <w:name w:val="Chapter Summary"/>
    <w:basedOn w:val="BodyText"/>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link w:val="CommentTextChar"/>
    <w:semiHidden/>
    <w:rsid w:val="00A17328"/>
    <w:pPr>
      <w:spacing w:before="120" w:line="240" w:lineRule="atLeast"/>
      <w:ind w:left="567" w:hanging="567"/>
    </w:pPr>
    <w:rPr>
      <w:sz w:val="20"/>
    </w:rPr>
  </w:style>
  <w:style w:type="character" w:customStyle="1" w:styleId="CommentTextChar">
    <w:name w:val="Comment Text Char"/>
    <w:basedOn w:val="DefaultParagraphFont"/>
    <w:link w:val="CommentText"/>
    <w:semiHidden/>
    <w:rsid w:val="00CC6C62"/>
    <w:rPr>
      <w:szCs w:val="24"/>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D80CF5"/>
    <w:rPr>
      <w:sz w:val="24"/>
    </w:rPr>
  </w:style>
  <w:style w:type="paragraph" w:styleId="Subtitle">
    <w:name w:val="Subtitle"/>
    <w:basedOn w:val="Caption"/>
    <w:link w:val="SubtitleChar"/>
    <w:qFormat/>
    <w:rsid w:val="00A17328"/>
    <w:pPr>
      <w:spacing w:before="0" w:line="200" w:lineRule="exact"/>
      <w:ind w:firstLine="0"/>
    </w:pPr>
    <w:rPr>
      <w:b w:val="0"/>
      <w:sz w:val="20"/>
    </w:rPr>
  </w:style>
  <w:style w:type="character" w:customStyle="1" w:styleId="SubtitleChar">
    <w:name w:val="Subtitle Char"/>
    <w:basedOn w:val="DefaultParagraphFont"/>
    <w:link w:val="Subtitle"/>
    <w:rsid w:val="00F10476"/>
    <w:rPr>
      <w:rFonts w:ascii="Arial" w:hAnsi="Arial"/>
      <w:szCs w:val="24"/>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2"/>
      </w:numPr>
      <w:spacing w:before="80"/>
    </w:pPr>
  </w:style>
  <w:style w:type="paragraph" w:customStyle="1" w:styleId="FindingNoTitle">
    <w:name w:val="Finding NoTitle"/>
    <w:basedOn w:val="Finding"/>
    <w:semiHidden/>
    <w:rsid w:val="00AB0681"/>
    <w:pPr>
      <w:spacing w:before="240"/>
    </w:pPr>
  </w:style>
  <w:style w:type="paragraph" w:customStyle="1" w:styleId="RecTitle">
    <w:name w:val="Rec Title"/>
    <w:basedOn w:val="BodyText"/>
    <w:next w:val="Normal"/>
    <w:rsid w:val="000F420B"/>
    <w:pPr>
      <w:keepNext/>
      <w:keepLines/>
    </w:pPr>
    <w:rPr>
      <w:caps/>
      <w:sz w:val="20"/>
    </w:rPr>
  </w:style>
  <w:style w:type="paragraph" w:customStyle="1" w:styleId="FindingTitle">
    <w:name w:val="Finding Title"/>
    <w:basedOn w:val="RecTitle"/>
    <w:next w:val="Finding"/>
    <w:rsid w:val="00A17328"/>
    <w:pPr>
      <w:framePr w:wrap="notBeside" w:hAnchor="text"/>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rsid w:val="000227D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3"/>
      </w:numPr>
      <w:spacing w:after="140"/>
      <w:jc w:val="both"/>
    </w:pPr>
    <w:rPr>
      <w:rFonts w:ascii="Arial" w:hAnsi="Arial"/>
      <w:sz w:val="24"/>
      <w:lang w:eastAsia="en-US"/>
    </w:rPr>
  </w:style>
  <w:style w:type="paragraph" w:styleId="ListBullet">
    <w:name w:val="List Bullet"/>
    <w:basedOn w:val="BodyText"/>
    <w:rsid w:val="00DB67C9"/>
    <w:pPr>
      <w:numPr>
        <w:numId w:val="4"/>
      </w:numPr>
      <w:spacing w:before="120"/>
    </w:pPr>
  </w:style>
  <w:style w:type="paragraph" w:styleId="ListBullet2">
    <w:name w:val="List Bullet 2"/>
    <w:basedOn w:val="BodyText"/>
    <w:rsid w:val="00DB67C9"/>
    <w:pPr>
      <w:numPr>
        <w:numId w:val="5"/>
      </w:numPr>
      <w:spacing w:before="120"/>
    </w:pPr>
  </w:style>
  <w:style w:type="paragraph" w:styleId="ListBullet3">
    <w:name w:val="List Bullet 3"/>
    <w:basedOn w:val="BodyText"/>
    <w:rsid w:val="00DB67C9"/>
    <w:pPr>
      <w:numPr>
        <w:numId w:val="6"/>
      </w:numPr>
      <w:spacing w:before="120"/>
    </w:pPr>
  </w:style>
  <w:style w:type="paragraph" w:styleId="ListNumber">
    <w:name w:val="List Number"/>
    <w:basedOn w:val="BodyText"/>
    <w:rsid w:val="00864ADC"/>
    <w:pPr>
      <w:numPr>
        <w:numId w:val="11"/>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C52416"/>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A17328"/>
    <w:pPr>
      <w:spacing w:before="120" w:line="280" w:lineRule="exact"/>
      <w:ind w:left="340"/>
    </w:pPr>
    <w:rPr>
      <w:sz w:val="24"/>
    </w:rPr>
  </w:style>
  <w:style w:type="paragraph" w:customStyle="1" w:styleId="QuoteBullet">
    <w:name w:val="Quote Bullet"/>
    <w:basedOn w:val="Quote"/>
    <w:rsid w:val="00323E09"/>
    <w:pPr>
      <w:numPr>
        <w:numId w:val="7"/>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8"/>
      </w:numPr>
      <w:spacing w:before="80"/>
    </w:pPr>
  </w:style>
  <w:style w:type="paragraph" w:customStyle="1" w:styleId="RecB">
    <w:name w:val="RecB"/>
    <w:basedOn w:val="Normal"/>
    <w:semiHidden/>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semiHidden/>
    <w:rsid w:val="00F85325"/>
    <w:pPr>
      <w:numPr>
        <w:numId w:val="13"/>
      </w:numPr>
      <w:spacing w:before="80"/>
    </w:pPr>
  </w:style>
  <w:style w:type="paragraph" w:customStyle="1" w:styleId="RecBNoTitle">
    <w:name w:val="RecB NoTitle"/>
    <w:basedOn w:val="RecB"/>
    <w:semiHidden/>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9"/>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0"/>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D80CF5"/>
    <w:rPr>
      <w:sz w:val="24"/>
    </w:rPr>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paragraph" w:customStyle="1" w:styleId="RecBBullet2">
    <w:name w:val="RecB Bullet 2"/>
    <w:basedOn w:val="ListBullet2"/>
    <w:semiHidden/>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paragraph" w:customStyle="1" w:styleId="BoxListBullet3">
    <w:name w:val="Box List Bullet 3"/>
    <w:basedOn w:val="ListBullet3"/>
    <w:rsid w:val="005402FA"/>
    <w:pPr>
      <w:numPr>
        <w:numId w:val="17"/>
      </w:numPr>
      <w:tabs>
        <w:tab w:val="left" w:pos="907"/>
      </w:tabs>
      <w:spacing w:before="60" w:line="280" w:lineRule="atLeast"/>
      <w:ind w:left="907" w:hanging="340"/>
    </w:pPr>
    <w:rPr>
      <w:rFonts w:ascii="Arial" w:hAnsi="Arial"/>
      <w:sz w:val="22"/>
    </w:rPr>
  </w:style>
  <w:style w:type="character" w:styleId="Emphasis">
    <w:name w:val="Emphasis"/>
    <w:basedOn w:val="DefaultParagraphFont"/>
    <w:rsid w:val="00DA5BBA"/>
    <w:rPr>
      <w:i/>
      <w:iCs/>
    </w:rPr>
  </w:style>
  <w:style w:type="paragraph" w:customStyle="1" w:styleId="BoxQuoteBullet">
    <w:name w:val="Box Quote Bullet"/>
    <w:basedOn w:val="BoxQuote"/>
    <w:next w:val="Box"/>
    <w:rsid w:val="00C81D4A"/>
    <w:pPr>
      <w:numPr>
        <w:numId w:val="14"/>
      </w:numPr>
      <w:ind w:left="568" w:hanging="284"/>
    </w:pPr>
  </w:style>
  <w:style w:type="paragraph" w:customStyle="1" w:styleId="InformationRequestBullet">
    <w:name w:val="Information Request Bullet"/>
    <w:basedOn w:val="ListBullet"/>
    <w:next w:val="BodyText"/>
    <w:rsid w:val="00BA7E27"/>
    <w:pPr>
      <w:numPr>
        <w:numId w:val="15"/>
      </w:numPr>
      <w:ind w:left="340" w:hanging="340"/>
    </w:pPr>
    <w:rPr>
      <w:rFonts w:ascii="Arial" w:hAnsi="Arial"/>
      <w:i/>
      <w:sz w:val="24"/>
    </w:rPr>
  </w:style>
  <w:style w:type="paragraph" w:customStyle="1" w:styleId="BoxSpaceBelow">
    <w:name w:val="Box Space Below"/>
    <w:basedOn w:val="Box"/>
    <w:rsid w:val="009E1844"/>
    <w:pPr>
      <w:keepNext w:val="0"/>
      <w:spacing w:before="60" w:after="60" w:line="80" w:lineRule="exact"/>
    </w:pPr>
    <w:rPr>
      <w:sz w:val="14"/>
    </w:rPr>
  </w:style>
  <w:style w:type="paragraph" w:styleId="CommentSubject">
    <w:name w:val="annotation subject"/>
    <w:basedOn w:val="CommentText"/>
    <w:next w:val="CommentText"/>
    <w:link w:val="CommentSubjectChar"/>
    <w:rsid w:val="00CC6C62"/>
    <w:pPr>
      <w:spacing w:before="0" w:line="240" w:lineRule="auto"/>
      <w:ind w:left="0" w:firstLine="0"/>
    </w:pPr>
    <w:rPr>
      <w:b/>
      <w:bCs/>
      <w:szCs w:val="20"/>
    </w:rPr>
  </w:style>
  <w:style w:type="character" w:customStyle="1" w:styleId="CommentSubjectChar">
    <w:name w:val="Comment Subject Char"/>
    <w:basedOn w:val="CommentTextChar"/>
    <w:link w:val="CommentSubject"/>
    <w:rsid w:val="00CC6C62"/>
    <w:rPr>
      <w:rFonts w:ascii="Calibri" w:hAnsi="Calibri"/>
      <w:b/>
      <w:bCs/>
      <w:szCs w:val="24"/>
      <w:lang w:eastAsia="en-US"/>
    </w:rPr>
  </w:style>
  <w:style w:type="paragraph" w:customStyle="1" w:styleId="Default">
    <w:name w:val="Default"/>
    <w:rsid w:val="00CC6C62"/>
    <w:pPr>
      <w:autoSpaceDE w:val="0"/>
      <w:autoSpaceDN w:val="0"/>
      <w:adjustRightInd w:val="0"/>
    </w:pPr>
    <w:rPr>
      <w:color w:val="000000"/>
      <w:sz w:val="24"/>
      <w:szCs w:val="24"/>
    </w:rPr>
  </w:style>
  <w:style w:type="character" w:styleId="PlaceholderText">
    <w:name w:val="Placeholder Text"/>
    <w:basedOn w:val="DefaultParagraphFont"/>
    <w:uiPriority w:val="99"/>
    <w:semiHidden/>
    <w:rsid w:val="0033588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2" w:qFormat="1"/>
    <w:lsdException w:name="heading 3" w:qFormat="1"/>
    <w:lsdException w:name="heading 4" w:qFormat="1"/>
    <w:lsdException w:name="heading 5" w:qFormat="1"/>
    <w:lsdException w:name="Body Text" w:qFormat="1"/>
    <w:lsdException w:name="Subtitle" w:qFormat="1"/>
    <w:lsdException w:name="No Lis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CC6C62"/>
    <w:rPr>
      <w:rFonts w:ascii="Calibri" w:hAnsi="Calibri"/>
      <w:sz w:val="22"/>
      <w:szCs w:val="22"/>
      <w:lang w:eastAsia="en-US"/>
    </w:rPr>
  </w:style>
  <w:style w:type="paragraph" w:styleId="Heading1">
    <w:name w:val="heading 1"/>
    <w:basedOn w:val="Normal"/>
    <w:next w:val="BodyText"/>
    <w:rsid w:val="00FD22B1"/>
    <w:pPr>
      <w:keepNext/>
      <w:spacing w:before="160" w:after="1360" w:line="600" w:lineRule="exact"/>
      <w:ind w:left="907" w:hanging="907"/>
      <w:outlineLvl w:val="0"/>
    </w:pPr>
    <w:rPr>
      <w:sz w:val="52"/>
    </w:rPr>
  </w:style>
  <w:style w:type="paragraph" w:styleId="Heading2">
    <w:name w:val="heading 2"/>
    <w:basedOn w:val="Chapter"/>
    <w:next w:val="BodyText"/>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rsid w:val="00A17328"/>
    <w:pPr>
      <w:spacing w:before="560" w:line="320" w:lineRule="exact"/>
      <w:ind w:left="0" w:firstLine="0"/>
      <w:outlineLvl w:val="2"/>
    </w:pPr>
    <w:rPr>
      <w:sz w:val="26"/>
    </w:rPr>
  </w:style>
  <w:style w:type="paragraph" w:styleId="Heading4">
    <w:name w:val="heading 4"/>
    <w:basedOn w:val="Heading3"/>
    <w:next w:val="BodyText"/>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rsid w:val="00A17328"/>
    <w:pPr>
      <w:spacing w:after="60"/>
      <w:jc w:val="left"/>
      <w:outlineLvl w:val="5"/>
    </w:pPr>
    <w:rPr>
      <w:i/>
      <w:sz w:val="22"/>
    </w:rPr>
  </w:style>
  <w:style w:type="paragraph" w:styleId="Heading7">
    <w:name w:val="heading 7"/>
    <w:basedOn w:val="BodyText"/>
    <w:next w:val="BodyText"/>
    <w:rsid w:val="00A17328"/>
    <w:pPr>
      <w:spacing w:after="60" w:line="240" w:lineRule="auto"/>
      <w:jc w:val="left"/>
      <w:outlineLvl w:val="6"/>
    </w:pPr>
    <w:rPr>
      <w:rFonts w:ascii="Arial" w:hAnsi="Arial"/>
      <w:sz w:val="20"/>
    </w:rPr>
  </w:style>
  <w:style w:type="paragraph" w:styleId="Heading8">
    <w:name w:val="heading 8"/>
    <w:basedOn w:val="BodyText"/>
    <w:next w:val="BodyText"/>
    <w:rsid w:val="00A17328"/>
    <w:pPr>
      <w:spacing w:after="60" w:line="240" w:lineRule="auto"/>
      <w:jc w:val="left"/>
      <w:outlineLvl w:val="7"/>
    </w:pPr>
    <w:rPr>
      <w:rFonts w:ascii="Arial" w:hAnsi="Arial"/>
      <w:i/>
      <w:sz w:val="20"/>
    </w:rPr>
  </w:style>
  <w:style w:type="paragraph" w:styleId="Heading9">
    <w:name w:val="heading 9"/>
    <w:basedOn w:val="BodyText"/>
    <w:next w:val="BodyTex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9345D9"/>
    <w:pPr>
      <w:spacing w:before="240" w:line="320" w:lineRule="atLeast"/>
      <w:jc w:val="both"/>
    </w:pPr>
    <w:rPr>
      <w:sz w:val="26"/>
    </w:rPr>
  </w:style>
  <w:style w:type="character" w:customStyle="1" w:styleId="BodyTextChar">
    <w:name w:val="Body Text Char"/>
    <w:basedOn w:val="DefaultParagraphFont"/>
    <w:link w:val="BodyText"/>
    <w:rsid w:val="00CC6C62"/>
    <w:rPr>
      <w:sz w:val="26"/>
    </w:rPr>
  </w:style>
  <w:style w:type="paragraph" w:customStyle="1" w:styleId="Chapter">
    <w:name w:val="Chapter"/>
    <w:basedOn w:val="Heading1"/>
    <w:next w:val="BodyText"/>
    <w:semiHidden/>
    <w:rsid w:val="00A17328"/>
    <w:pPr>
      <w:ind w:left="0" w:firstLine="0"/>
      <w:outlineLvl w:val="9"/>
    </w:pPr>
  </w:style>
  <w:style w:type="paragraph" w:styleId="Footer">
    <w:name w:val="footer"/>
    <w:basedOn w:val="BodyText"/>
    <w:link w:val="FooterChar"/>
    <w:rsid w:val="00A17328"/>
    <w:pPr>
      <w:spacing w:before="80" w:line="200" w:lineRule="exact"/>
      <w:ind w:right="6"/>
      <w:jc w:val="left"/>
    </w:pPr>
    <w:rPr>
      <w:caps/>
      <w:spacing w:val="-4"/>
      <w:sz w:val="16"/>
    </w:rPr>
  </w:style>
  <w:style w:type="character" w:customStyle="1" w:styleId="FooterChar">
    <w:name w:val="Footer Char"/>
    <w:basedOn w:val="DefaultParagraphFont"/>
    <w:link w:val="Footer"/>
    <w:rsid w:val="00CC6C62"/>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rsid w:val="00C543F4"/>
  </w:style>
  <w:style w:type="paragraph" w:customStyle="1" w:styleId="HeaderOdd">
    <w:name w:val="Header Odd"/>
    <w:basedOn w:val="Header"/>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376E59"/>
    <w:pPr>
      <w:keepNext/>
      <w:numPr>
        <w:numId w:val="1"/>
      </w:numPr>
      <w:spacing w:before="60" w:line="280" w:lineRule="atLeast"/>
    </w:pPr>
    <w:rPr>
      <w:rFonts w:ascii="Arial" w:hAnsi="Arial"/>
      <w:sz w:val="22"/>
    </w:rPr>
  </w:style>
  <w:style w:type="paragraph" w:customStyle="1" w:styleId="BoxListBullet2">
    <w:name w:val="Box List Bullet 2"/>
    <w:basedOn w:val="BodyText"/>
    <w:rsid w:val="009F0D1B"/>
    <w:pPr>
      <w:keepNext/>
      <w:numPr>
        <w:numId w:val="16"/>
      </w:numPr>
      <w:spacing w:before="60" w:line="280" w:lineRule="atLeast"/>
    </w:pPr>
    <w:rPr>
      <w:rFonts w:ascii="Arial" w:hAnsi="Arial"/>
      <w:sz w:val="22"/>
    </w:rPr>
  </w:style>
  <w:style w:type="paragraph" w:customStyle="1" w:styleId="BoxListNumber">
    <w:name w:val="Box List Number"/>
    <w:basedOn w:val="BodyText"/>
    <w:rsid w:val="00376E59"/>
    <w:pPr>
      <w:keepNext/>
      <w:numPr>
        <w:numId w:val="12"/>
      </w:numPr>
      <w:spacing w:before="60" w:line="280" w:lineRule="atLeast"/>
    </w:pPr>
    <w:rPr>
      <w:rFonts w:ascii="Arial" w:hAnsi="Arial"/>
      <w:sz w:val="22"/>
    </w:rPr>
  </w:style>
  <w:style w:type="paragraph" w:customStyle="1" w:styleId="BoxListNumber2">
    <w:name w:val="Box List Number 2"/>
    <w:basedOn w:val="BoxListNumber"/>
    <w:rsid w:val="00864ADC"/>
    <w:pPr>
      <w:numPr>
        <w:ilvl w:val="1"/>
      </w:numPr>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BodyText"/>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Above">
    <w:name w:val="Box Space Abov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BoxSubtitle"/>
    <w:rsid w:val="00D80CF5"/>
    <w:pPr>
      <w:spacing w:before="120" w:after="0"/>
      <w:ind w:left="1304" w:hanging="1304"/>
    </w:pPr>
    <w:rPr>
      <w:sz w:val="24"/>
    </w:r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Summary">
    <w:name w:val="Chapter Summary"/>
    <w:basedOn w:val="BodyText"/>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link w:val="CommentTextChar"/>
    <w:semiHidden/>
    <w:rsid w:val="00A17328"/>
    <w:pPr>
      <w:spacing w:before="120" w:line="240" w:lineRule="atLeast"/>
      <w:ind w:left="567" w:hanging="567"/>
    </w:pPr>
    <w:rPr>
      <w:sz w:val="20"/>
    </w:rPr>
  </w:style>
  <w:style w:type="character" w:customStyle="1" w:styleId="CommentTextChar">
    <w:name w:val="Comment Text Char"/>
    <w:basedOn w:val="DefaultParagraphFont"/>
    <w:link w:val="CommentText"/>
    <w:semiHidden/>
    <w:rsid w:val="00CC6C62"/>
    <w:rPr>
      <w:szCs w:val="24"/>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D80CF5"/>
    <w:rPr>
      <w:sz w:val="24"/>
    </w:rPr>
  </w:style>
  <w:style w:type="paragraph" w:styleId="Subtitle">
    <w:name w:val="Subtitle"/>
    <w:basedOn w:val="Caption"/>
    <w:link w:val="SubtitleChar"/>
    <w:qFormat/>
    <w:rsid w:val="00A17328"/>
    <w:pPr>
      <w:spacing w:before="0" w:line="200" w:lineRule="exact"/>
      <w:ind w:firstLine="0"/>
    </w:pPr>
    <w:rPr>
      <w:b w:val="0"/>
      <w:sz w:val="20"/>
    </w:rPr>
  </w:style>
  <w:style w:type="character" w:customStyle="1" w:styleId="SubtitleChar">
    <w:name w:val="Subtitle Char"/>
    <w:basedOn w:val="DefaultParagraphFont"/>
    <w:link w:val="Subtitle"/>
    <w:rsid w:val="00F10476"/>
    <w:rPr>
      <w:rFonts w:ascii="Arial" w:hAnsi="Arial"/>
      <w:szCs w:val="24"/>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2"/>
      </w:numPr>
      <w:spacing w:before="80"/>
    </w:pPr>
  </w:style>
  <w:style w:type="paragraph" w:customStyle="1" w:styleId="FindingNoTitle">
    <w:name w:val="Finding NoTitle"/>
    <w:basedOn w:val="Finding"/>
    <w:semiHidden/>
    <w:rsid w:val="00AB0681"/>
    <w:pPr>
      <w:spacing w:before="240"/>
    </w:pPr>
  </w:style>
  <w:style w:type="paragraph" w:customStyle="1" w:styleId="RecTitle">
    <w:name w:val="Rec Title"/>
    <w:basedOn w:val="BodyText"/>
    <w:next w:val="Normal"/>
    <w:rsid w:val="000F420B"/>
    <w:pPr>
      <w:keepNext/>
      <w:keepLines/>
    </w:pPr>
    <w:rPr>
      <w:caps/>
      <w:sz w:val="20"/>
    </w:rPr>
  </w:style>
  <w:style w:type="paragraph" w:customStyle="1" w:styleId="FindingTitle">
    <w:name w:val="Finding Title"/>
    <w:basedOn w:val="RecTitle"/>
    <w:next w:val="Finding"/>
    <w:rsid w:val="00A17328"/>
    <w:pPr>
      <w:framePr w:wrap="notBeside" w:hAnchor="text"/>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rsid w:val="000227D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3"/>
      </w:numPr>
      <w:spacing w:after="140"/>
      <w:jc w:val="both"/>
    </w:pPr>
    <w:rPr>
      <w:rFonts w:ascii="Arial" w:hAnsi="Arial"/>
      <w:sz w:val="24"/>
      <w:lang w:eastAsia="en-US"/>
    </w:rPr>
  </w:style>
  <w:style w:type="paragraph" w:styleId="ListBullet">
    <w:name w:val="List Bullet"/>
    <w:basedOn w:val="BodyText"/>
    <w:rsid w:val="00DB67C9"/>
    <w:pPr>
      <w:numPr>
        <w:numId w:val="4"/>
      </w:numPr>
      <w:spacing w:before="120"/>
    </w:pPr>
  </w:style>
  <w:style w:type="paragraph" w:styleId="ListBullet2">
    <w:name w:val="List Bullet 2"/>
    <w:basedOn w:val="BodyText"/>
    <w:rsid w:val="00DB67C9"/>
    <w:pPr>
      <w:numPr>
        <w:numId w:val="5"/>
      </w:numPr>
      <w:spacing w:before="120"/>
    </w:pPr>
  </w:style>
  <w:style w:type="paragraph" w:styleId="ListBullet3">
    <w:name w:val="List Bullet 3"/>
    <w:basedOn w:val="BodyText"/>
    <w:rsid w:val="00DB67C9"/>
    <w:pPr>
      <w:numPr>
        <w:numId w:val="6"/>
      </w:numPr>
      <w:spacing w:before="120"/>
    </w:pPr>
  </w:style>
  <w:style w:type="paragraph" w:styleId="ListNumber">
    <w:name w:val="List Number"/>
    <w:basedOn w:val="BodyText"/>
    <w:rsid w:val="00864ADC"/>
    <w:pPr>
      <w:numPr>
        <w:numId w:val="11"/>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C52416"/>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A17328"/>
    <w:pPr>
      <w:spacing w:before="120" w:line="280" w:lineRule="exact"/>
      <w:ind w:left="340"/>
    </w:pPr>
    <w:rPr>
      <w:sz w:val="24"/>
    </w:rPr>
  </w:style>
  <w:style w:type="paragraph" w:customStyle="1" w:styleId="QuoteBullet">
    <w:name w:val="Quote Bullet"/>
    <w:basedOn w:val="Quote"/>
    <w:rsid w:val="00323E09"/>
    <w:pPr>
      <w:numPr>
        <w:numId w:val="7"/>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8"/>
      </w:numPr>
      <w:spacing w:before="80"/>
    </w:pPr>
  </w:style>
  <w:style w:type="paragraph" w:customStyle="1" w:styleId="RecB">
    <w:name w:val="RecB"/>
    <w:basedOn w:val="Normal"/>
    <w:semiHidden/>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semiHidden/>
    <w:rsid w:val="00F85325"/>
    <w:pPr>
      <w:numPr>
        <w:numId w:val="13"/>
      </w:numPr>
      <w:spacing w:before="80"/>
    </w:pPr>
  </w:style>
  <w:style w:type="paragraph" w:customStyle="1" w:styleId="RecBNoTitle">
    <w:name w:val="RecB NoTitle"/>
    <w:basedOn w:val="RecB"/>
    <w:semiHidden/>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9"/>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0"/>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D80CF5"/>
    <w:rPr>
      <w:sz w:val="24"/>
    </w:rPr>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paragraph" w:customStyle="1" w:styleId="RecBBullet2">
    <w:name w:val="RecB Bullet 2"/>
    <w:basedOn w:val="ListBullet2"/>
    <w:semiHidden/>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paragraph" w:customStyle="1" w:styleId="BoxListBullet3">
    <w:name w:val="Box List Bullet 3"/>
    <w:basedOn w:val="ListBullet3"/>
    <w:rsid w:val="005402FA"/>
    <w:pPr>
      <w:numPr>
        <w:numId w:val="17"/>
      </w:numPr>
      <w:tabs>
        <w:tab w:val="left" w:pos="907"/>
      </w:tabs>
      <w:spacing w:before="60" w:line="280" w:lineRule="atLeast"/>
      <w:ind w:left="907" w:hanging="340"/>
    </w:pPr>
    <w:rPr>
      <w:rFonts w:ascii="Arial" w:hAnsi="Arial"/>
      <w:sz w:val="22"/>
    </w:rPr>
  </w:style>
  <w:style w:type="character" w:styleId="Emphasis">
    <w:name w:val="Emphasis"/>
    <w:basedOn w:val="DefaultParagraphFont"/>
    <w:rsid w:val="00DA5BBA"/>
    <w:rPr>
      <w:i/>
      <w:iCs/>
    </w:rPr>
  </w:style>
  <w:style w:type="paragraph" w:customStyle="1" w:styleId="BoxQuoteBullet">
    <w:name w:val="Box Quote Bullet"/>
    <w:basedOn w:val="BoxQuote"/>
    <w:next w:val="Box"/>
    <w:rsid w:val="00C81D4A"/>
    <w:pPr>
      <w:numPr>
        <w:numId w:val="14"/>
      </w:numPr>
      <w:ind w:left="568" w:hanging="284"/>
    </w:pPr>
  </w:style>
  <w:style w:type="paragraph" w:customStyle="1" w:styleId="InformationRequestBullet">
    <w:name w:val="Information Request Bullet"/>
    <w:basedOn w:val="ListBullet"/>
    <w:next w:val="BodyText"/>
    <w:rsid w:val="00BA7E27"/>
    <w:pPr>
      <w:numPr>
        <w:numId w:val="15"/>
      </w:numPr>
      <w:ind w:left="340" w:hanging="340"/>
    </w:pPr>
    <w:rPr>
      <w:rFonts w:ascii="Arial" w:hAnsi="Arial"/>
      <w:i/>
      <w:sz w:val="24"/>
    </w:rPr>
  </w:style>
  <w:style w:type="paragraph" w:customStyle="1" w:styleId="BoxSpaceBelow">
    <w:name w:val="Box Space Below"/>
    <w:basedOn w:val="Box"/>
    <w:rsid w:val="009E1844"/>
    <w:pPr>
      <w:keepNext w:val="0"/>
      <w:spacing w:before="60" w:after="60" w:line="80" w:lineRule="exact"/>
    </w:pPr>
    <w:rPr>
      <w:sz w:val="14"/>
    </w:rPr>
  </w:style>
  <w:style w:type="paragraph" w:styleId="CommentSubject">
    <w:name w:val="annotation subject"/>
    <w:basedOn w:val="CommentText"/>
    <w:next w:val="CommentText"/>
    <w:link w:val="CommentSubjectChar"/>
    <w:rsid w:val="00CC6C62"/>
    <w:pPr>
      <w:spacing w:before="0" w:line="240" w:lineRule="auto"/>
      <w:ind w:left="0" w:firstLine="0"/>
    </w:pPr>
    <w:rPr>
      <w:b/>
      <w:bCs/>
      <w:szCs w:val="20"/>
    </w:rPr>
  </w:style>
  <w:style w:type="character" w:customStyle="1" w:styleId="CommentSubjectChar">
    <w:name w:val="Comment Subject Char"/>
    <w:basedOn w:val="CommentTextChar"/>
    <w:link w:val="CommentSubject"/>
    <w:rsid w:val="00CC6C62"/>
    <w:rPr>
      <w:rFonts w:ascii="Calibri" w:hAnsi="Calibri"/>
      <w:b/>
      <w:bCs/>
      <w:szCs w:val="24"/>
      <w:lang w:eastAsia="en-US"/>
    </w:rPr>
  </w:style>
  <w:style w:type="paragraph" w:customStyle="1" w:styleId="Default">
    <w:name w:val="Default"/>
    <w:rsid w:val="00CC6C62"/>
    <w:pPr>
      <w:autoSpaceDE w:val="0"/>
      <w:autoSpaceDN w:val="0"/>
      <w:adjustRightInd w:val="0"/>
    </w:pPr>
    <w:rPr>
      <w:color w:val="000000"/>
      <w:sz w:val="24"/>
      <w:szCs w:val="24"/>
    </w:rPr>
  </w:style>
  <w:style w:type="character" w:styleId="PlaceholderText">
    <w:name w:val="Placeholder Text"/>
    <w:basedOn w:val="DefaultParagraphFont"/>
    <w:uiPriority w:val="99"/>
    <w:semiHidden/>
    <w:rsid w:val="0033588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174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G:\office\template2010\chapte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C5C66C-E784-41C7-95D8-3DE8DDCC0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chapter.dotm</Template>
  <TotalTime>1855</TotalTime>
  <Pages>23</Pages>
  <Words>7340</Words>
  <Characters>37473</Characters>
  <Application>Microsoft Office Word</Application>
  <DocSecurity>0</DocSecurity>
  <Lines>823</Lines>
  <Paragraphs>292</Paragraphs>
  <ScaleCrop>false</ScaleCrop>
  <HeadingPairs>
    <vt:vector size="2" baseType="variant">
      <vt:variant>
        <vt:lpstr>Title</vt:lpstr>
      </vt:variant>
      <vt:variant>
        <vt:i4>1</vt:i4>
      </vt:variant>
    </vt:vector>
  </HeadingPairs>
  <TitlesOfParts>
    <vt:vector size="1" baseType="lpstr">
      <vt:lpstr>HILDA and the calendar data</vt:lpstr>
    </vt:vector>
  </TitlesOfParts>
  <Company>Productivity Commission</Company>
  <LinksUpToDate>false</LinksUpToDate>
  <CharactersWithSpaces>44726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HILDA and the calendar data</dc:title>
  <dc:subject>Prevalence of transition pathways</dc:subject>
  <dc:creator>Productivity Commission</dc:creator>
  <cp:keywords/>
  <dc:description>A.</dc:description>
  <cp:lastModifiedBy>Productivity Commission</cp:lastModifiedBy>
  <cp:revision>139</cp:revision>
  <cp:lastPrinted>2013-08-23T03:02:00Z</cp:lastPrinted>
  <dcterms:created xsi:type="dcterms:W3CDTF">2013-06-28T00:58:00Z</dcterms:created>
  <dcterms:modified xsi:type="dcterms:W3CDTF">2013-08-27T01:36:00Z</dcterms:modified>
</cp:coreProperties>
</file>