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7F172C" w:rsidP="007F172C">
      <w:pPr>
        <w:pStyle w:val="Chapter"/>
        <w:ind w:left="907" w:hanging="907"/>
      </w:pPr>
      <w:bookmarkStart w:id="0" w:name="_AppendixNotByChapter"/>
      <w:bookmarkStart w:id="1" w:name="ChapterNumber"/>
      <w:bookmarkStart w:id="2" w:name="_GoBack"/>
      <w:bookmarkEnd w:id="0"/>
      <w:bookmarkEnd w:id="2"/>
      <w:r>
        <w:t>B</w:t>
      </w:r>
      <w:bookmarkEnd w:id="1"/>
      <w:r>
        <w:tab/>
      </w:r>
      <w:bookmarkStart w:id="3" w:name="ChapterTitle"/>
      <w:r>
        <w:t>Optimal matching and cluster analysis</w:t>
      </w:r>
      <w:bookmarkEnd w:id="3"/>
    </w:p>
    <w:p w:rsidR="00CB66F0" w:rsidRDefault="00CB66F0" w:rsidP="00CB66F0">
      <w:pPr>
        <w:pStyle w:val="BodyText"/>
      </w:pPr>
      <w:bookmarkStart w:id="4" w:name="begin"/>
      <w:bookmarkEnd w:id="4"/>
      <w:r>
        <w:t xml:space="preserve">In the social sciences, sequence analysis </w:t>
      </w:r>
      <w:r w:rsidR="00A33AFD">
        <w:t xml:space="preserve">is frequently conducted using </w:t>
      </w:r>
      <w:r w:rsidR="00E06467">
        <w:t>o</w:t>
      </w:r>
      <w:r>
        <w:t xml:space="preserve">ptimal </w:t>
      </w:r>
      <w:r w:rsidR="00E06467">
        <w:t>m</w:t>
      </w:r>
      <w:r>
        <w:t xml:space="preserve">atching (OM) to measure </w:t>
      </w:r>
      <w:r w:rsidR="00A33AFD">
        <w:t xml:space="preserve">the </w:t>
      </w:r>
      <w:r>
        <w:t>similarity of individual sequences</w:t>
      </w:r>
      <w:r w:rsidR="00884B91">
        <w:t xml:space="preserve"> of activities</w:t>
      </w:r>
      <w:r>
        <w:t xml:space="preserve"> and </w:t>
      </w:r>
      <w:r w:rsidR="00E06467">
        <w:t>c</w:t>
      </w:r>
      <w:r>
        <w:t xml:space="preserve">luster </w:t>
      </w:r>
      <w:r w:rsidR="00E06467">
        <w:t>a</w:t>
      </w:r>
      <w:r>
        <w:t xml:space="preserve">nalysis </w:t>
      </w:r>
      <w:r w:rsidR="00884B91">
        <w:t xml:space="preserve">(CA) </w:t>
      </w:r>
      <w:r w:rsidR="00A33AFD">
        <w:t xml:space="preserve">to </w:t>
      </w:r>
      <w:r>
        <w:t>identify groups of similar sequences.</w:t>
      </w:r>
      <w:r w:rsidR="007E5E17">
        <w:t xml:space="preserve"> Together the techniques are referred to </w:t>
      </w:r>
      <w:r w:rsidR="004D604A">
        <w:t xml:space="preserve">as </w:t>
      </w:r>
      <w:proofErr w:type="spellStart"/>
      <w:r w:rsidR="007E5E17">
        <w:t>OMCA</w:t>
      </w:r>
      <w:proofErr w:type="spellEnd"/>
      <w:r w:rsidR="007E5E17">
        <w:t>.</w:t>
      </w:r>
    </w:p>
    <w:p w:rsidR="007E5E17" w:rsidRDefault="007E5E17" w:rsidP="007E5E17">
      <w:pPr>
        <w:pStyle w:val="BodyText"/>
      </w:pPr>
      <w:proofErr w:type="spellStart"/>
      <w:r>
        <w:t>OMCA</w:t>
      </w:r>
      <w:proofErr w:type="spellEnd"/>
      <w:r>
        <w:t xml:space="preserve"> is a tool to describe sequence data. It does not impose any assumptions about </w:t>
      </w:r>
      <w:r w:rsidR="009A136D">
        <w:t xml:space="preserve">the data generating process (Martin and Wiggins 2011). </w:t>
      </w:r>
      <w:r>
        <w:t xml:space="preserve">According to </w:t>
      </w:r>
      <w:proofErr w:type="spellStart"/>
      <w:r>
        <w:t>Quintini</w:t>
      </w:r>
      <w:proofErr w:type="spellEnd"/>
      <w:r>
        <w:t xml:space="preserve"> and </w:t>
      </w:r>
      <w:proofErr w:type="spellStart"/>
      <w:r>
        <w:t>Manfredi</w:t>
      </w:r>
      <w:proofErr w:type="spellEnd"/>
      <w:r>
        <w:t xml:space="preserve"> (2</w:t>
      </w:r>
      <w:r w:rsidR="004D604A">
        <w:t>0</w:t>
      </w:r>
      <w:r>
        <w:t>09, p. 15),</w:t>
      </w:r>
      <w:r w:rsidR="008A63CC">
        <w:t xml:space="preserve"> </w:t>
      </w:r>
      <w:proofErr w:type="spellStart"/>
      <w:r>
        <w:t>OMCA</w:t>
      </w:r>
      <w:proofErr w:type="spellEnd"/>
      <w:r w:rsidR="003B1A86">
        <w:t xml:space="preserve"> </w:t>
      </w:r>
      <w:r>
        <w:t>‘allows us to explore a dataset and discover (or confirm) some underlying patterns without any priors based on economic theory</w:t>
      </w:r>
      <w:r w:rsidR="0050167C">
        <w:t>’</w:t>
      </w:r>
      <w:r>
        <w:t>.</w:t>
      </w:r>
      <w:r w:rsidR="0050167C">
        <w:t xml:space="preserve"> </w:t>
      </w:r>
    </w:p>
    <w:p w:rsidR="00231E7E" w:rsidRDefault="007E5E17" w:rsidP="004537A5">
      <w:pPr>
        <w:pStyle w:val="BodyText"/>
      </w:pPr>
      <w:r>
        <w:t xml:space="preserve">Uncovering the same </w:t>
      </w:r>
      <w:r w:rsidR="004D604A">
        <w:t>amount of information</w:t>
      </w:r>
      <w:r>
        <w:t xml:space="preserve"> in the data using more typical descriptive statistics </w:t>
      </w:r>
      <w:r w:rsidR="00A33AFD">
        <w:t>is</w:t>
      </w:r>
      <w:r>
        <w:t xml:space="preserve"> difficult, if possible at all (Corrales</w:t>
      </w:r>
      <w:r w:rsidR="00BE0745">
        <w:noBreakHyphen/>
      </w:r>
      <w:proofErr w:type="spellStart"/>
      <w:r>
        <w:t>Herrero</w:t>
      </w:r>
      <w:proofErr w:type="spellEnd"/>
      <w:r>
        <w:t xml:space="preserve"> and </w:t>
      </w:r>
      <w:r w:rsidR="000001D8">
        <w:t>Rodríguez</w:t>
      </w:r>
      <w:r w:rsidR="0050167C">
        <w:noBreakHyphen/>
      </w:r>
      <w:r>
        <w:t xml:space="preserve">Prado 2012). </w:t>
      </w:r>
      <w:r w:rsidR="00FC535F">
        <w:t>The longer the sequences</w:t>
      </w:r>
      <w:r w:rsidR="00D253DA">
        <w:t>,</w:t>
      </w:r>
      <w:r w:rsidR="00FC535F">
        <w:t xml:space="preserve"> the greater the </w:t>
      </w:r>
      <w:r w:rsidR="004537A5">
        <w:t xml:space="preserve">number of possible activities and the larger the dataset, the greater the possible number of unique sequences. </w:t>
      </w:r>
      <w:r w:rsidR="00706B07">
        <w:t>Analysis becomes too difficult, particularly where there are similarities in the order of activities across time, but differences in timing and persistence (</w:t>
      </w:r>
      <w:proofErr w:type="spellStart"/>
      <w:r w:rsidR="00706B07">
        <w:t>Brzinsky</w:t>
      </w:r>
      <w:proofErr w:type="spellEnd"/>
      <w:r w:rsidR="0050167C">
        <w:noBreakHyphen/>
      </w:r>
      <w:r w:rsidR="00706B07">
        <w:t xml:space="preserve">Fay 2007). </w:t>
      </w:r>
    </w:p>
    <w:p w:rsidR="001958FF" w:rsidRDefault="001958FF" w:rsidP="001958FF">
      <w:pPr>
        <w:pStyle w:val="BodyText"/>
      </w:pPr>
      <w:proofErr w:type="spellStart"/>
      <w:r>
        <w:t>OMCA</w:t>
      </w:r>
      <w:proofErr w:type="spellEnd"/>
      <w:r>
        <w:t xml:space="preserve"> </w:t>
      </w:r>
      <w:r w:rsidR="007E5E17">
        <w:t>reduc</w:t>
      </w:r>
      <w:r w:rsidR="00A33AFD">
        <w:t>es</w:t>
      </w:r>
      <w:r w:rsidR="007E5E17">
        <w:t xml:space="preserve"> the </w:t>
      </w:r>
      <w:r>
        <w:t>heterogeneity in the data to a level where patterns can be detected and sub</w:t>
      </w:r>
      <w:r w:rsidR="0050167C">
        <w:noBreakHyphen/>
      </w:r>
      <w:r>
        <w:t xml:space="preserve">groups of individuals with similar </w:t>
      </w:r>
      <w:r w:rsidR="00E07E51">
        <w:t>sequences</w:t>
      </w:r>
      <w:r>
        <w:t xml:space="preserve"> can be identified (</w:t>
      </w:r>
      <w:proofErr w:type="spellStart"/>
      <w:r>
        <w:t>A</w:t>
      </w:r>
      <w:r w:rsidR="004D604A">
        <w:t>n</w:t>
      </w:r>
      <w:r>
        <w:t>yadi</w:t>
      </w:r>
      <w:r w:rsidR="00BE0745">
        <w:t>k</w:t>
      </w:r>
      <w:r>
        <w:t>e</w:t>
      </w:r>
      <w:proofErr w:type="spellEnd"/>
      <w:r w:rsidR="0050167C">
        <w:noBreakHyphen/>
      </w:r>
      <w:r>
        <w:t xml:space="preserve">Danes and </w:t>
      </w:r>
      <w:proofErr w:type="spellStart"/>
      <w:r>
        <w:t>McVicar</w:t>
      </w:r>
      <w:proofErr w:type="spellEnd"/>
      <w:r>
        <w:t xml:space="preserve"> 2010). </w:t>
      </w:r>
    </w:p>
    <w:p w:rsidR="004537A5" w:rsidRDefault="004537A5" w:rsidP="004537A5">
      <w:pPr>
        <w:pStyle w:val="BodyText"/>
      </w:pPr>
      <w:r>
        <w:t>This appendix provides an overview of</w:t>
      </w:r>
      <w:r w:rsidR="00CE4BB5">
        <w:t xml:space="preserve"> how the techniques work </w:t>
      </w:r>
      <w:r w:rsidR="00E07E51">
        <w:t xml:space="preserve">(sections </w:t>
      </w:r>
      <w:proofErr w:type="spellStart"/>
      <w:r w:rsidR="00E07E51">
        <w:t>B.1</w:t>
      </w:r>
      <w:proofErr w:type="spellEnd"/>
      <w:r w:rsidR="00E07E51">
        <w:t xml:space="preserve"> and </w:t>
      </w:r>
      <w:proofErr w:type="spellStart"/>
      <w:r w:rsidR="00E07E51">
        <w:t>B.2</w:t>
      </w:r>
      <w:proofErr w:type="spellEnd"/>
      <w:r w:rsidR="00E07E51">
        <w:t xml:space="preserve">) </w:t>
      </w:r>
      <w:r w:rsidR="00CE4BB5">
        <w:t xml:space="preserve">and </w:t>
      </w:r>
      <w:r w:rsidR="00025242">
        <w:t xml:space="preserve">their </w:t>
      </w:r>
      <w:r w:rsidR="00CE4BB5">
        <w:t>limitations</w:t>
      </w:r>
      <w:r w:rsidR="00E07E51">
        <w:t xml:space="preserve"> (section </w:t>
      </w:r>
      <w:proofErr w:type="spellStart"/>
      <w:r w:rsidR="00E07E51">
        <w:t>B.</w:t>
      </w:r>
      <w:r w:rsidR="00545088">
        <w:t>3</w:t>
      </w:r>
      <w:proofErr w:type="spellEnd"/>
      <w:r w:rsidR="00E07E51">
        <w:t>)</w:t>
      </w:r>
      <w:r>
        <w:t>.</w:t>
      </w:r>
      <w:r w:rsidR="00CB66F0">
        <w:rPr>
          <w:rStyle w:val="FootnoteReference"/>
        </w:rPr>
        <w:footnoteReference w:id="1"/>
      </w:r>
      <w:r w:rsidR="00611FCA">
        <w:rPr>
          <w:rStyle w:val="FootnoteReference"/>
        </w:rPr>
        <w:t>,</w:t>
      </w:r>
      <w:r w:rsidR="002E241A">
        <w:rPr>
          <w:rStyle w:val="FootnoteReference"/>
        </w:rPr>
        <w:footnoteReference w:id="2"/>
      </w:r>
    </w:p>
    <w:p w:rsidR="007C67F7" w:rsidRDefault="007F172C" w:rsidP="007C67F7">
      <w:pPr>
        <w:pStyle w:val="Heading2"/>
      </w:pPr>
      <w:bookmarkStart w:id="5" w:name="OLE_LINK5"/>
      <w:proofErr w:type="spellStart"/>
      <w:r>
        <w:lastRenderedPageBreak/>
        <w:t>B.</w:t>
      </w:r>
      <w:bookmarkEnd w:id="5"/>
      <w:r w:rsidR="00545088">
        <w:t>1</w:t>
      </w:r>
      <w:proofErr w:type="spellEnd"/>
      <w:r w:rsidR="004537A5">
        <w:tab/>
        <w:t>O</w:t>
      </w:r>
      <w:r w:rsidR="002E241A">
        <w:t>ptimal matching</w:t>
      </w:r>
    </w:p>
    <w:p w:rsidR="007C67F7" w:rsidRDefault="004D604A" w:rsidP="004537A5">
      <w:pPr>
        <w:pStyle w:val="BodyText"/>
      </w:pPr>
      <w:r>
        <w:t>OM</w:t>
      </w:r>
      <w:r w:rsidR="000673E6">
        <w:t xml:space="preserve"> is used to compare sequences of events, activities or states across time (box </w:t>
      </w:r>
      <w:proofErr w:type="spellStart"/>
      <w:r w:rsidR="007F172C">
        <w:t>B.1</w:t>
      </w:r>
      <w:proofErr w:type="spellEnd"/>
      <w:r w:rsidR="000673E6">
        <w:t xml:space="preserve">). </w:t>
      </w:r>
      <w:r w:rsidR="00A33AFD">
        <w:t xml:space="preserve">The use of </w:t>
      </w:r>
      <w:r w:rsidR="000673E6">
        <w:t xml:space="preserve">OM </w:t>
      </w:r>
      <w:r w:rsidR="00A33AFD">
        <w:t>is</w:t>
      </w:r>
      <w:r w:rsidR="000673E6">
        <w:t xml:space="preserve"> a relatively </w:t>
      </w:r>
      <w:r w:rsidR="00A33AFD">
        <w:t xml:space="preserve">recent development </w:t>
      </w:r>
      <w:r w:rsidR="000673E6">
        <w:t xml:space="preserve">in the labour market transitions literature, compared to other fields such as </w:t>
      </w:r>
      <w:r w:rsidR="00A33AFD">
        <w:t>b</w:t>
      </w:r>
      <w:r w:rsidR="000673E6">
        <w:t xml:space="preserve">iology. </w:t>
      </w:r>
    </w:p>
    <w:p w:rsidR="00833273" w:rsidRDefault="00833273">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33273">
        <w:tc>
          <w:tcPr>
            <w:tcW w:w="8771" w:type="dxa"/>
            <w:tcBorders>
              <w:top w:val="single" w:sz="6" w:space="0" w:color="auto"/>
              <w:bottom w:val="nil"/>
            </w:tcBorders>
          </w:tcPr>
          <w:p w:rsidR="00833273" w:rsidRDefault="00833273">
            <w:pPr>
              <w:pStyle w:val="BoxTitle"/>
            </w:pPr>
            <w:r>
              <w:rPr>
                <w:b w:val="0"/>
              </w:rPr>
              <w:t xml:space="preserve">Box </w:t>
            </w:r>
            <w:bookmarkStart w:id="6" w:name="OLE_LINK6"/>
            <w:proofErr w:type="spellStart"/>
            <w:r w:rsidR="007F172C">
              <w:rPr>
                <w:b w:val="0"/>
              </w:rPr>
              <w:t>B.</w:t>
            </w:r>
            <w:r w:rsidR="004815E1">
              <w:rPr>
                <w:b w:val="0"/>
                <w:noProof/>
              </w:rPr>
              <w:t>1</w:t>
            </w:r>
            <w:bookmarkEnd w:id="6"/>
            <w:proofErr w:type="spellEnd"/>
            <w:r>
              <w:tab/>
              <w:t>Origins and applications of OM</w:t>
            </w:r>
          </w:p>
        </w:tc>
      </w:tr>
      <w:tr w:rsidR="00833273">
        <w:trPr>
          <w:cantSplit/>
        </w:trPr>
        <w:tc>
          <w:tcPr>
            <w:tcW w:w="8771" w:type="dxa"/>
            <w:tcBorders>
              <w:top w:val="nil"/>
              <w:left w:val="single" w:sz="6" w:space="0" w:color="auto"/>
              <w:bottom w:val="nil"/>
              <w:right w:val="single" w:sz="6" w:space="0" w:color="auto"/>
            </w:tcBorders>
          </w:tcPr>
          <w:p w:rsidR="00833273" w:rsidRDefault="00833273" w:rsidP="00833273">
            <w:pPr>
              <w:pStyle w:val="Box"/>
            </w:pPr>
            <w:r>
              <w:t>OM originated in the field of computer science in the mid</w:t>
            </w:r>
            <w:r>
              <w:noBreakHyphen/>
            </w:r>
            <w:proofErr w:type="spellStart"/>
            <w:r>
              <w:t>1960s</w:t>
            </w:r>
            <w:proofErr w:type="spellEnd"/>
            <w:r w:rsidR="00441079">
              <w:t xml:space="preserve"> (</w:t>
            </w:r>
            <w:proofErr w:type="spellStart"/>
            <w:r w:rsidR="00441079">
              <w:t>Lesnard</w:t>
            </w:r>
            <w:proofErr w:type="spellEnd"/>
            <w:r w:rsidR="00441079">
              <w:t xml:space="preserve"> 2010)</w:t>
            </w:r>
            <w:r>
              <w:t xml:space="preserve">. It was later adopted </w:t>
            </w:r>
            <w:r w:rsidR="00A33AFD">
              <w:t>in</w:t>
            </w:r>
            <w:r>
              <w:t xml:space="preserve"> other areas of science (for example, </w:t>
            </w:r>
            <w:r w:rsidR="00A56FBC">
              <w:t>b</w:t>
            </w:r>
            <w:r>
              <w:t xml:space="preserve">iologists used OM to compare </w:t>
            </w:r>
            <w:proofErr w:type="spellStart"/>
            <w:r>
              <w:t>deoxy</w:t>
            </w:r>
            <w:proofErr w:type="spellEnd"/>
            <w:r>
              <w:noBreakHyphen/>
              <w:t>ribonucleic acid (DNA) sequences)</w:t>
            </w:r>
            <w:r w:rsidR="00441079">
              <w:t xml:space="preserve"> (</w:t>
            </w:r>
            <w:proofErr w:type="spellStart"/>
            <w:r w:rsidR="00441079">
              <w:t>Brzinsky</w:t>
            </w:r>
            <w:proofErr w:type="spellEnd"/>
            <w:r w:rsidR="00441079">
              <w:noBreakHyphen/>
              <w:t>Fay 2007)</w:t>
            </w:r>
            <w:r>
              <w:t>. In the mid</w:t>
            </w:r>
            <w:r>
              <w:noBreakHyphen/>
            </w:r>
            <w:proofErr w:type="spellStart"/>
            <w:r>
              <w:t>1980s</w:t>
            </w:r>
            <w:proofErr w:type="spellEnd"/>
            <w:r w:rsidR="00A56FBC">
              <w:t>,</w:t>
            </w:r>
            <w:r>
              <w:t xml:space="preserve"> the technique was first applied in the social sciences by Abbott and Forrest</w:t>
            </w:r>
            <w:r w:rsidR="00441079">
              <w:t xml:space="preserve"> (</w:t>
            </w:r>
            <w:proofErr w:type="spellStart"/>
            <w:r w:rsidR="00441079">
              <w:t>Brzinsky</w:t>
            </w:r>
            <w:proofErr w:type="spellEnd"/>
            <w:r w:rsidR="00441079">
              <w:noBreakHyphen/>
              <w:t>Fay 2007)</w:t>
            </w:r>
            <w:r>
              <w:t xml:space="preserve">. By combining OM with cluster analysis, common patterns among sequences </w:t>
            </w:r>
            <w:r w:rsidR="00A33AFD">
              <w:t xml:space="preserve">are </w:t>
            </w:r>
            <w:r>
              <w:t>more easily identified. A few examples are</w:t>
            </w:r>
            <w:r w:rsidR="00D957E2">
              <w:t xml:space="preserve"> patterns of</w:t>
            </w:r>
            <w:r>
              <w:t>:</w:t>
            </w:r>
          </w:p>
          <w:p w:rsidR="00833273" w:rsidRPr="00285977" w:rsidRDefault="00833273" w:rsidP="003C548C">
            <w:pPr>
              <w:pStyle w:val="BoxListBullet"/>
              <w:numPr>
                <w:ilvl w:val="0"/>
                <w:numId w:val="50"/>
              </w:numPr>
            </w:pPr>
            <w:r>
              <w:t xml:space="preserve">types of housing </w:t>
            </w:r>
            <w:r w:rsidR="00D957E2">
              <w:t xml:space="preserve">(house, unit) </w:t>
            </w:r>
            <w:r>
              <w:t xml:space="preserve">and housing states </w:t>
            </w:r>
            <w:r w:rsidR="00D957E2">
              <w:t>(buying, renting)</w:t>
            </w:r>
          </w:p>
          <w:p w:rsidR="00833273" w:rsidRDefault="00833273" w:rsidP="003C548C">
            <w:pPr>
              <w:pStyle w:val="BoxListBullet"/>
              <w:numPr>
                <w:ilvl w:val="0"/>
                <w:numId w:val="50"/>
              </w:numPr>
            </w:pPr>
            <w:r>
              <w:t>mental health patients’ service use and hospitalisation</w:t>
            </w:r>
          </w:p>
          <w:p w:rsidR="00833273" w:rsidRDefault="00833273" w:rsidP="003C548C">
            <w:pPr>
              <w:pStyle w:val="BoxListBullet"/>
              <w:numPr>
                <w:ilvl w:val="0"/>
                <w:numId w:val="50"/>
              </w:numPr>
            </w:pPr>
            <w:r>
              <w:t>steps in traditional dances</w:t>
            </w:r>
          </w:p>
          <w:p w:rsidR="00833273" w:rsidRDefault="00833273" w:rsidP="003C548C">
            <w:pPr>
              <w:pStyle w:val="BoxListBullet"/>
              <w:numPr>
                <w:ilvl w:val="0"/>
                <w:numId w:val="50"/>
              </w:numPr>
            </w:pPr>
            <w:r>
              <w:t>sounds in bird calls</w:t>
            </w:r>
            <w:r w:rsidR="00441079">
              <w:t xml:space="preserve"> (Martin and Wiggins 2011)</w:t>
            </w:r>
            <w:r>
              <w:t>.</w:t>
            </w:r>
          </w:p>
          <w:p w:rsidR="00833273" w:rsidRDefault="00833273" w:rsidP="00833273">
            <w:pPr>
              <w:pStyle w:val="Box"/>
            </w:pPr>
            <w:r>
              <w:t xml:space="preserve">Although OM is the predominant approach to measuring dissimilarity between sequences, Martin and Wiggins indicated that </w:t>
            </w:r>
            <w:r w:rsidR="00E81738">
              <w:t xml:space="preserve">the </w:t>
            </w:r>
            <w:r>
              <w:t>u</w:t>
            </w:r>
            <w:r w:rsidR="00E81738">
              <w:t>se of</w:t>
            </w:r>
            <w:r>
              <w:t xml:space="preserve"> OM </w:t>
            </w:r>
            <w:r w:rsidR="00316B19">
              <w:t>and</w:t>
            </w:r>
            <w:r>
              <w:t xml:space="preserve"> cluster analysis </w:t>
            </w:r>
            <w:r w:rsidR="00316B19">
              <w:t>have</w:t>
            </w:r>
            <w:r>
              <w:t xml:space="preserve"> yet to meet widespread acceptance in the social science literature: </w:t>
            </w:r>
          </w:p>
          <w:p w:rsidR="00833273" w:rsidRDefault="00FC73DB" w:rsidP="00833273">
            <w:pPr>
              <w:pStyle w:val="BoxQuote"/>
            </w:pPr>
            <w:r>
              <w:t>OM …</w:t>
            </w:r>
            <w:r w:rsidR="00833273">
              <w:t xml:space="preserve"> is not a brand new method any longer, but is still sufficiently maverick that most authors feel obliged to introduce its technicalities in some detail in every publication (rather as if one were to explain the idea of min</w:t>
            </w:r>
            <w:r w:rsidR="00833273" w:rsidRPr="00657938">
              <w:t xml:space="preserve">imizing squared errors every time one published an </w:t>
            </w:r>
            <w:proofErr w:type="spellStart"/>
            <w:r w:rsidR="00833273" w:rsidRPr="00657938">
              <w:t>OLS</w:t>
            </w:r>
            <w:proofErr w:type="spellEnd"/>
            <w:r w:rsidR="00833273" w:rsidRPr="00657938">
              <w:t xml:space="preserve"> regressio</w:t>
            </w:r>
            <w:r>
              <w:t>n analysis</w:t>
            </w:r>
            <w:r w:rsidR="00833273">
              <w:t>). (2011, p.</w:t>
            </w:r>
            <w:r w:rsidR="00F74690">
              <w:t> </w:t>
            </w:r>
            <w:r w:rsidR="00833273">
              <w:t>386)</w:t>
            </w:r>
          </w:p>
          <w:p w:rsidR="00833273" w:rsidRDefault="00833273" w:rsidP="00441079">
            <w:pPr>
              <w:pStyle w:val="Box"/>
            </w:pPr>
            <w:r>
              <w:t>Over the past decade or more, the OM technique (</w:t>
            </w:r>
            <w:r w:rsidR="00E81738">
              <w:t xml:space="preserve">and </w:t>
            </w:r>
            <w:proofErr w:type="spellStart"/>
            <w:r w:rsidR="00E81738">
              <w:t>OMCA</w:t>
            </w:r>
            <w:proofErr w:type="spellEnd"/>
            <w:r>
              <w:t>) has increasingly been used to better understand different career pathways and transitions in the labour market</w:t>
            </w:r>
            <w:r w:rsidR="00441079">
              <w:t xml:space="preserve"> (Martin and Wiggins 2011)</w:t>
            </w:r>
            <w:r>
              <w:t xml:space="preserve">, </w:t>
            </w:r>
            <w:r w:rsidR="00316B19">
              <w:t>with</w:t>
            </w:r>
            <w:r>
              <w:t xml:space="preserve"> the focus to date largely be</w:t>
            </w:r>
            <w:r w:rsidR="00316B19">
              <w:t>ing</w:t>
            </w:r>
            <w:r>
              <w:t xml:space="preserve"> on youth</w:t>
            </w:r>
            <w:r w:rsidR="00D37EAC">
              <w:t>s</w:t>
            </w:r>
            <w:r>
              <w:t>.</w:t>
            </w:r>
          </w:p>
        </w:tc>
      </w:tr>
      <w:tr w:rsidR="00833273">
        <w:trPr>
          <w:cantSplit/>
        </w:trPr>
        <w:tc>
          <w:tcPr>
            <w:tcW w:w="8771" w:type="dxa"/>
            <w:tcBorders>
              <w:top w:val="nil"/>
              <w:left w:val="single" w:sz="6" w:space="0" w:color="auto"/>
              <w:bottom w:val="single" w:sz="6" w:space="0" w:color="auto"/>
              <w:right w:val="single" w:sz="6" w:space="0" w:color="auto"/>
            </w:tcBorders>
          </w:tcPr>
          <w:p w:rsidR="00833273" w:rsidRDefault="00833273">
            <w:pPr>
              <w:pStyle w:val="Box"/>
              <w:spacing w:before="0" w:line="120" w:lineRule="exact"/>
            </w:pPr>
          </w:p>
        </w:tc>
      </w:tr>
      <w:tr w:rsidR="00833273" w:rsidRPr="000863A5">
        <w:tc>
          <w:tcPr>
            <w:tcW w:w="8771" w:type="dxa"/>
            <w:tcBorders>
              <w:top w:val="nil"/>
              <w:left w:val="nil"/>
              <w:bottom w:val="nil"/>
              <w:right w:val="nil"/>
            </w:tcBorders>
          </w:tcPr>
          <w:p w:rsidR="00833273" w:rsidRPr="00626D32" w:rsidRDefault="00833273" w:rsidP="00DF42D9">
            <w:pPr>
              <w:pStyle w:val="BoxSpaceBelow"/>
            </w:pPr>
          </w:p>
        </w:tc>
      </w:tr>
    </w:tbl>
    <w:p w:rsidR="001E6099" w:rsidRDefault="004537A5" w:rsidP="004537A5">
      <w:pPr>
        <w:pStyle w:val="BodyText"/>
      </w:pPr>
      <w:r>
        <w:t>OM measures similarity by matching two sequences in an optimal way</w:t>
      </w:r>
      <w:r w:rsidR="00316B19">
        <w:t xml:space="preserve"> by </w:t>
      </w:r>
      <w:r w:rsidR="003A2449">
        <w:t>quantif</w:t>
      </w:r>
      <w:r w:rsidR="00316B19">
        <w:t>ying</w:t>
      </w:r>
      <w:r w:rsidR="003A2449">
        <w:t xml:space="preserve"> (dis)similarity on a numerical scale. </w:t>
      </w:r>
      <w:r w:rsidR="00316B19">
        <w:t>It</w:t>
      </w:r>
      <w:r w:rsidR="004C1FFC">
        <w:t xml:space="preserve"> does not </w:t>
      </w:r>
      <w:r w:rsidR="006A6623">
        <w:t>measure similarity using</w:t>
      </w:r>
      <w:r w:rsidR="0040184E">
        <w:t xml:space="preserve"> just two or three </w:t>
      </w:r>
      <w:r w:rsidR="006A6623">
        <w:t>categories</w:t>
      </w:r>
      <w:r w:rsidR="0040184E">
        <w:t xml:space="preserve"> (</w:t>
      </w:r>
      <w:r w:rsidR="00F82908">
        <w:t xml:space="preserve">for example, </w:t>
      </w:r>
      <w:r w:rsidR="0040184E">
        <w:t>exactly the same, completely different or somewhat different)</w:t>
      </w:r>
      <w:r w:rsidR="004C1FFC">
        <w:t>. Instead,</w:t>
      </w:r>
      <w:r w:rsidR="0040184E">
        <w:t xml:space="preserve"> OM allows the analyst to </w:t>
      </w:r>
      <w:r w:rsidR="00D957E2">
        <w:t xml:space="preserve">examine a large number of sequences with multiple activities in many (pattern) variations and </w:t>
      </w:r>
      <w:r w:rsidR="0040184E">
        <w:t xml:space="preserve">quantify ‘how different’ </w:t>
      </w:r>
      <w:r w:rsidR="00D957E2">
        <w:t xml:space="preserve">the </w:t>
      </w:r>
      <w:r w:rsidR="0040184E">
        <w:t xml:space="preserve">sequences are. </w:t>
      </w:r>
      <w:r w:rsidR="001E6099">
        <w:t xml:space="preserve">By measuring how close each pair of sequences in the dataset </w:t>
      </w:r>
      <w:r w:rsidR="00D26803">
        <w:t>is</w:t>
      </w:r>
      <w:r w:rsidR="001E6099">
        <w:t xml:space="preserve"> to each other, all sequences can be ranked</w:t>
      </w:r>
      <w:r w:rsidR="00D957E2">
        <w:t xml:space="preserve"> according to their similarity.</w:t>
      </w:r>
    </w:p>
    <w:p w:rsidR="00C44E1A" w:rsidRDefault="00C44E1A" w:rsidP="004537A5">
      <w:pPr>
        <w:pStyle w:val="BodyText"/>
      </w:pPr>
      <w:r>
        <w:t xml:space="preserve">More specifically, the technique identifies the number and </w:t>
      </w:r>
      <w:r w:rsidRPr="0096054D">
        <w:t xml:space="preserve">type of changes that must be made to one sequence to </w:t>
      </w:r>
      <w:r>
        <w:t xml:space="preserve">transform it to </w:t>
      </w:r>
      <w:r w:rsidR="00316B19">
        <w:t>be identical to</w:t>
      </w:r>
      <w:r>
        <w:t xml:space="preserve"> another sequence. </w:t>
      </w:r>
    </w:p>
    <w:p w:rsidR="00F93777" w:rsidRDefault="00F93777" w:rsidP="00F93777">
      <w:pPr>
        <w:pStyle w:val="Heading3"/>
      </w:pPr>
      <w:r>
        <w:lastRenderedPageBreak/>
        <w:t>Transformations</w:t>
      </w:r>
    </w:p>
    <w:p w:rsidR="004537A5" w:rsidRDefault="00C44E1A" w:rsidP="004537A5">
      <w:pPr>
        <w:pStyle w:val="BodyText"/>
      </w:pPr>
      <w:r>
        <w:t>In transforming sequences, t</w:t>
      </w:r>
      <w:r w:rsidR="004537A5">
        <w:t>hree types of changes are permitted: substitutions (swap one activity for another)</w:t>
      </w:r>
      <w:r w:rsidR="00D957E2">
        <w:t>;</w:t>
      </w:r>
      <w:r w:rsidR="004537A5">
        <w:t xml:space="preserve"> deletions</w:t>
      </w:r>
      <w:r w:rsidR="00D957E2">
        <w:t>;</w:t>
      </w:r>
      <w:r w:rsidR="004537A5">
        <w:t xml:space="preserve"> and insertions. Deletions and insertions are used to align sequences that are similar </w:t>
      </w:r>
      <w:r>
        <w:t>over</w:t>
      </w:r>
      <w:r w:rsidR="004537A5">
        <w:t xml:space="preserve"> different </w:t>
      </w:r>
      <w:r>
        <w:t>interval</w:t>
      </w:r>
      <w:r w:rsidR="004537A5">
        <w:t xml:space="preserve">s. </w:t>
      </w:r>
      <w:r w:rsidR="00C0372C">
        <w:t xml:space="preserve">A realignment can be effected by an insertion in one sequence or a deletion in the other. </w:t>
      </w:r>
      <w:r w:rsidR="004537A5">
        <w:t xml:space="preserve">Since an insertion in one sequence is equivalent to a deletion in the other, the two operations are grouped together and called </w:t>
      </w:r>
      <w:r w:rsidR="00D957E2">
        <w:t>‘</w:t>
      </w:r>
      <w:proofErr w:type="spellStart"/>
      <w:r w:rsidR="004537A5">
        <w:t>indels</w:t>
      </w:r>
      <w:proofErr w:type="spellEnd"/>
      <w:r w:rsidR="00D957E2">
        <w:t>’</w:t>
      </w:r>
      <w:r w:rsidR="004537A5">
        <w:t xml:space="preserve">. </w:t>
      </w:r>
    </w:p>
    <w:p w:rsidR="00F93777" w:rsidRDefault="00F93777" w:rsidP="004537A5">
      <w:pPr>
        <w:pStyle w:val="BodyText"/>
      </w:pPr>
      <w:r>
        <w:t>Each type of operation is given a ‘cost’</w:t>
      </w:r>
      <w:r w:rsidR="00C44E1A">
        <w:t>, and the distance is the sum of these costs (box</w:t>
      </w:r>
      <w:r w:rsidR="00DF42D9">
        <w:t> </w:t>
      </w:r>
      <w:proofErr w:type="spellStart"/>
      <w:r w:rsidR="007F172C">
        <w:t>B.2</w:t>
      </w:r>
      <w:proofErr w:type="spellEnd"/>
      <w:r w:rsidR="00C44E1A">
        <w:t>)</w:t>
      </w:r>
      <w:r>
        <w:t>.</w:t>
      </w:r>
      <w:r w:rsidR="00D957E2">
        <w:rPr>
          <w:rStyle w:val="FootnoteReference"/>
        </w:rPr>
        <w:footnoteReference w:id="3"/>
      </w:r>
      <w:r>
        <w:t xml:space="preserve"> </w:t>
      </w:r>
      <w:r w:rsidR="00C14DD4">
        <w:t>If</w:t>
      </w:r>
      <w:r>
        <w:t xml:space="preserve"> there </w:t>
      </w:r>
      <w:r w:rsidR="00C14DD4">
        <w:t>are</w:t>
      </w:r>
      <w:r>
        <w:t xml:space="preserve"> different ways to </w:t>
      </w:r>
      <w:r w:rsidR="00C14DD4">
        <w:t>transform</w:t>
      </w:r>
      <w:r>
        <w:t xml:space="preserve"> the sequences, resulting in different total cost</w:t>
      </w:r>
      <w:r w:rsidR="00316B19">
        <w:t>s</w:t>
      </w:r>
      <w:r>
        <w:t xml:space="preserve">, the distance between the two sequences is given by the minimum total cost of </w:t>
      </w:r>
      <w:r w:rsidR="00C44E1A">
        <w:t xml:space="preserve">the </w:t>
      </w:r>
      <w:r>
        <w:t>operations required to transform one sequence into another.</w:t>
      </w:r>
    </w:p>
    <w:p w:rsidR="004537A5" w:rsidRDefault="004537A5">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537A5" w:rsidTr="002C739C">
        <w:trPr>
          <w:cantSplit/>
        </w:trPr>
        <w:tc>
          <w:tcPr>
            <w:tcW w:w="8771" w:type="dxa"/>
            <w:tcBorders>
              <w:top w:val="single" w:sz="6" w:space="0" w:color="auto"/>
              <w:bottom w:val="nil"/>
            </w:tcBorders>
          </w:tcPr>
          <w:p w:rsidR="004537A5" w:rsidRDefault="004537A5" w:rsidP="002C739C">
            <w:pPr>
              <w:pStyle w:val="BoxTitle"/>
            </w:pPr>
            <w:r>
              <w:rPr>
                <w:b w:val="0"/>
              </w:rPr>
              <w:t xml:space="preserve">Box </w:t>
            </w:r>
            <w:bookmarkStart w:id="7" w:name="OLE_LINK1"/>
            <w:proofErr w:type="spellStart"/>
            <w:r w:rsidR="007F172C">
              <w:rPr>
                <w:b w:val="0"/>
              </w:rPr>
              <w:t>B.</w:t>
            </w:r>
            <w:r w:rsidR="004815E1">
              <w:rPr>
                <w:b w:val="0"/>
                <w:noProof/>
              </w:rPr>
              <w:t>2</w:t>
            </w:r>
            <w:bookmarkEnd w:id="7"/>
            <w:proofErr w:type="spellEnd"/>
            <w:r>
              <w:tab/>
              <w:t xml:space="preserve">Calculating the distance between two </w:t>
            </w:r>
            <w:r w:rsidR="00B0267C">
              <w:t>activity sequences</w:t>
            </w:r>
          </w:p>
        </w:tc>
      </w:tr>
      <w:tr w:rsidR="004537A5" w:rsidTr="002C739C">
        <w:trPr>
          <w:cantSplit/>
        </w:trPr>
        <w:tc>
          <w:tcPr>
            <w:tcW w:w="8771" w:type="dxa"/>
            <w:tcBorders>
              <w:top w:val="nil"/>
              <w:left w:val="single" w:sz="6" w:space="0" w:color="auto"/>
              <w:bottom w:val="nil"/>
              <w:right w:val="single" w:sz="6" w:space="0" w:color="auto"/>
            </w:tcBorders>
          </w:tcPr>
          <w:p w:rsidR="004537A5" w:rsidRDefault="00797536" w:rsidP="002C739C">
            <w:pPr>
              <w:pStyle w:val="Box"/>
              <w:keepLines/>
            </w:pPr>
            <w:r>
              <w:t>T</w:t>
            </w:r>
            <w:r w:rsidR="004537A5">
              <w:t xml:space="preserve">o illustrate how OM works, </w:t>
            </w:r>
            <w:r>
              <w:t xml:space="preserve">consider </w:t>
            </w:r>
            <w:r w:rsidR="004537A5">
              <w:t xml:space="preserve">two short hypothetical </w:t>
            </w:r>
            <w:r w:rsidR="00B0267C">
              <w:t>activity sequences</w:t>
            </w:r>
            <w:r>
              <w:t>, for Jane and Clare</w:t>
            </w:r>
            <w:r w:rsidR="004537A5">
              <w:t>. Jane was not in the labour force</w:t>
            </w:r>
            <w:r w:rsidR="008A63CC">
              <w:t xml:space="preserve"> (</w:t>
            </w:r>
            <w:proofErr w:type="spellStart"/>
            <w:r w:rsidR="008A63CC">
              <w:t>NILF</w:t>
            </w:r>
            <w:proofErr w:type="spellEnd"/>
            <w:r w:rsidR="008A63CC">
              <w:t>)</w:t>
            </w:r>
            <w:r w:rsidR="004537A5">
              <w:t xml:space="preserve"> for the first month but started a new job in the second month</w:t>
            </w:r>
            <w:r w:rsidR="002C739C">
              <w:t>.</w:t>
            </w:r>
            <w:r w:rsidR="004537A5">
              <w:t xml:space="preserve"> </w:t>
            </w:r>
            <w:r w:rsidR="002C739C">
              <w:t>T</w:t>
            </w:r>
            <w:r w:rsidR="004537A5">
              <w:t xml:space="preserve">hat job was not a good fit for her and she spent the third month looking for a new job. She was employed in the second job for the fourth and fifth months. Clare, on the other hand, was employed at the beginning of the first month, but lost her job at the end of the second month. It took her a month to find another job, and after working in that job for two months </w:t>
            </w:r>
            <w:r>
              <w:t xml:space="preserve">she </w:t>
            </w:r>
            <w:r w:rsidR="004537A5">
              <w:t xml:space="preserve">decided to study while continuing to work. So the two women have the same activities </w:t>
            </w:r>
            <w:r w:rsidR="00F82908">
              <w:t>in only one of the five months (</w:t>
            </w:r>
            <w:r w:rsidR="004537A5">
              <w:t>month 4</w:t>
            </w:r>
            <w:r w:rsidR="00F82908">
              <w:t>)</w:t>
            </w:r>
            <w:r w:rsidR="004537A5">
              <w:t>.</w:t>
            </w:r>
          </w:p>
          <w:p w:rsidR="001C0C17" w:rsidRDefault="00625B29" w:rsidP="002C739C">
            <w:pPr>
              <w:pStyle w:val="Box"/>
              <w:keepLines/>
              <w:spacing w:before="0" w:after="120"/>
              <w:jc w:val="left"/>
            </w:pPr>
            <w:r>
              <w:tab/>
            </w:r>
            <w:r w:rsidR="00227AF5">
              <w:rPr>
                <w:noProof/>
              </w:rPr>
              <w:drawing>
                <wp:inline distT="0" distB="0" distL="0" distR="0" wp14:anchorId="39ABBFCB" wp14:editId="0CE9A883">
                  <wp:extent cx="3891600" cy="723600"/>
                  <wp:effectExtent l="0" t="0" r="0" b="635"/>
                  <wp:docPr id="4" name="Picture 4" descr="Five months of education and labour market activities for Jane and C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1600" cy="723600"/>
                          </a:xfrm>
                          <a:prstGeom prst="rect">
                            <a:avLst/>
                          </a:prstGeom>
                          <a:noFill/>
                          <a:ln>
                            <a:noFill/>
                          </a:ln>
                        </pic:spPr>
                      </pic:pic>
                    </a:graphicData>
                  </a:graphic>
                </wp:inline>
              </w:drawing>
            </w:r>
          </w:p>
          <w:p w:rsidR="004537A5" w:rsidRDefault="0096054D" w:rsidP="001C0C17">
            <w:pPr>
              <w:pStyle w:val="Box"/>
              <w:keepLines/>
            </w:pPr>
            <w:r>
              <w:t xml:space="preserve">Clare’s </w:t>
            </w:r>
            <w:r w:rsidR="00B0267C">
              <w:t>sequence</w:t>
            </w:r>
            <w:r>
              <w:t xml:space="preserve"> can be transformed to be </w:t>
            </w:r>
            <w:r w:rsidR="00797536">
              <w:t>identical to</w:t>
            </w:r>
            <w:r>
              <w:t xml:space="preserve"> Jane’s by substituting the </w:t>
            </w:r>
            <w:r w:rsidR="007D367B">
              <w:t>four</w:t>
            </w:r>
            <w:r>
              <w:t xml:space="preserve"> months of activities </w:t>
            </w:r>
            <w:r w:rsidR="00A17313">
              <w:t>that</w:t>
            </w:r>
            <w:r>
              <w:t xml:space="preserve"> differ. </w:t>
            </w:r>
            <w:r w:rsidR="00A17313">
              <w:t xml:space="preserve">Superficially, </w:t>
            </w:r>
            <w:r>
              <w:t xml:space="preserve">Jane and Clare’s </w:t>
            </w:r>
            <w:r w:rsidR="00B0267C">
              <w:t>sequence</w:t>
            </w:r>
            <w:r>
              <w:t xml:space="preserve">s </w:t>
            </w:r>
            <w:r w:rsidR="00A17313">
              <w:t>appear</w:t>
            </w:r>
            <w:r>
              <w:t xml:space="preserve"> dissimilar</w:t>
            </w:r>
            <w:r w:rsidR="00A17313">
              <w:t>. It</w:t>
            </w:r>
            <w:r w:rsidR="00EA4DF3">
              <w:t xml:space="preserve"> </w:t>
            </w:r>
            <w:r>
              <w:t>takes 4 substitutions, or equivalently, 4 insertions and 4 deletions (</w:t>
            </w:r>
            <w:r w:rsidR="00601550">
              <w:t>8 </w:t>
            </w:r>
            <w:proofErr w:type="spellStart"/>
            <w:r>
              <w:t>indels</w:t>
            </w:r>
            <w:proofErr w:type="spellEnd"/>
            <w:r>
              <w:t>) to align them</w:t>
            </w:r>
            <w:r w:rsidR="00022701">
              <w:t xml:space="preserve">, as shown </w:t>
            </w:r>
            <w:r w:rsidR="00F93777">
              <w:t>in transformation A</w:t>
            </w:r>
            <w:r w:rsidR="00543F0B">
              <w:t xml:space="preserve"> below</w:t>
            </w:r>
            <w:r>
              <w:t>.</w:t>
            </w:r>
            <w:r w:rsidR="00EA3CED">
              <w:t xml:space="preserve"> </w:t>
            </w:r>
          </w:p>
        </w:tc>
      </w:tr>
      <w:tr w:rsidR="004537A5" w:rsidTr="002C739C">
        <w:trPr>
          <w:cantSplit/>
        </w:trPr>
        <w:tc>
          <w:tcPr>
            <w:tcW w:w="8771" w:type="dxa"/>
            <w:tcBorders>
              <w:top w:val="nil"/>
              <w:left w:val="single" w:sz="6" w:space="0" w:color="auto"/>
              <w:bottom w:val="nil"/>
              <w:right w:val="single" w:sz="6" w:space="0" w:color="auto"/>
            </w:tcBorders>
          </w:tcPr>
          <w:p w:rsidR="004537A5" w:rsidRDefault="004537A5" w:rsidP="002C739C">
            <w:pPr>
              <w:pStyle w:val="Continued"/>
              <w:keepNext/>
              <w:keepLines/>
            </w:pPr>
            <w:r>
              <w:t>(Continued next page)</w:t>
            </w:r>
          </w:p>
        </w:tc>
      </w:tr>
      <w:tr w:rsidR="004537A5" w:rsidTr="002C739C">
        <w:trPr>
          <w:cantSplit/>
        </w:trPr>
        <w:tc>
          <w:tcPr>
            <w:tcW w:w="8771" w:type="dxa"/>
            <w:tcBorders>
              <w:top w:val="nil"/>
              <w:left w:val="single" w:sz="6" w:space="0" w:color="auto"/>
              <w:bottom w:val="single" w:sz="6" w:space="0" w:color="auto"/>
              <w:right w:val="single" w:sz="6" w:space="0" w:color="auto"/>
            </w:tcBorders>
          </w:tcPr>
          <w:p w:rsidR="004537A5" w:rsidRDefault="004537A5" w:rsidP="002C739C">
            <w:pPr>
              <w:pStyle w:val="Box"/>
              <w:keepLines/>
              <w:spacing w:before="0" w:line="120" w:lineRule="exact"/>
            </w:pPr>
          </w:p>
        </w:tc>
      </w:tr>
      <w:tr w:rsidR="004537A5" w:rsidRPr="000863A5" w:rsidTr="002C739C">
        <w:trPr>
          <w:cantSplit/>
        </w:trPr>
        <w:tc>
          <w:tcPr>
            <w:tcW w:w="8771" w:type="dxa"/>
            <w:tcBorders>
              <w:top w:val="nil"/>
              <w:left w:val="nil"/>
              <w:bottom w:val="nil"/>
              <w:right w:val="nil"/>
            </w:tcBorders>
          </w:tcPr>
          <w:p w:rsidR="004537A5" w:rsidRPr="00626D32" w:rsidRDefault="004537A5" w:rsidP="00D67CF7">
            <w:pPr>
              <w:pStyle w:val="BoxSpaceBelow"/>
            </w:pPr>
          </w:p>
        </w:tc>
      </w:tr>
    </w:tbl>
    <w:p w:rsidR="004537A5" w:rsidRDefault="004537A5">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537A5">
        <w:tc>
          <w:tcPr>
            <w:tcW w:w="8771" w:type="dxa"/>
            <w:tcBorders>
              <w:top w:val="single" w:sz="6" w:space="0" w:color="auto"/>
              <w:bottom w:val="nil"/>
            </w:tcBorders>
          </w:tcPr>
          <w:p w:rsidR="004537A5" w:rsidRDefault="004537A5" w:rsidP="003E36E7">
            <w:pPr>
              <w:pStyle w:val="BoxTitle"/>
            </w:pPr>
            <w:r w:rsidRPr="003E36E7">
              <w:rPr>
                <w:b w:val="0"/>
              </w:rPr>
              <w:t>Box</w:t>
            </w:r>
            <w:r w:rsidR="003E36E7" w:rsidRPr="003E36E7">
              <w:rPr>
                <w:b w:val="0"/>
              </w:rPr>
              <w:t xml:space="preserve"> </w:t>
            </w:r>
            <w:proofErr w:type="spellStart"/>
            <w:r w:rsidR="007F172C" w:rsidRPr="007F172C">
              <w:rPr>
                <w:b w:val="0"/>
              </w:rPr>
              <w:t>B.2</w:t>
            </w:r>
            <w:proofErr w:type="spellEnd"/>
            <w:r>
              <w:tab/>
            </w:r>
            <w:r w:rsidRPr="004537A5">
              <w:rPr>
                <w:b w:val="0"/>
                <w:sz w:val="18"/>
                <w:szCs w:val="18"/>
              </w:rPr>
              <w:t>(continued)</w:t>
            </w:r>
          </w:p>
        </w:tc>
      </w:tr>
      <w:tr w:rsidR="004537A5">
        <w:trPr>
          <w:cantSplit/>
        </w:trPr>
        <w:tc>
          <w:tcPr>
            <w:tcW w:w="8771" w:type="dxa"/>
            <w:tcBorders>
              <w:top w:val="nil"/>
              <w:left w:val="single" w:sz="6" w:space="0" w:color="auto"/>
              <w:bottom w:val="nil"/>
              <w:right w:val="single" w:sz="6" w:space="0" w:color="auto"/>
            </w:tcBorders>
          </w:tcPr>
          <w:p w:rsidR="001C0C17" w:rsidRDefault="001C0C17" w:rsidP="00625B29">
            <w:pPr>
              <w:pStyle w:val="Box"/>
              <w:jc w:val="left"/>
            </w:pPr>
            <w:r>
              <w:t xml:space="preserve">To keep things simple, no preference is given to a particular type of change. Each </w:t>
            </w:r>
            <w:proofErr w:type="spellStart"/>
            <w:r>
              <w:t>indel</w:t>
            </w:r>
            <w:proofErr w:type="spellEnd"/>
            <w:r>
              <w:t xml:space="preserve"> operation ‘costs’ 1 and each substitution ‘costs’ 2 (as a substitution is equivalent to an insertion at one point in a sequence and a deletion at the next point along the same sequence). So regardless of whether 4 substitutions or 8 </w:t>
            </w:r>
            <w:proofErr w:type="spellStart"/>
            <w:r>
              <w:t>indels</w:t>
            </w:r>
            <w:proofErr w:type="spellEnd"/>
            <w:r>
              <w:t xml:space="preserve"> are used to transform Clare’s sequence to match Jane’s, it costs 8 to do so.</w:t>
            </w:r>
          </w:p>
          <w:p w:rsidR="0096054D" w:rsidRDefault="00625B29" w:rsidP="00625B29">
            <w:pPr>
              <w:pStyle w:val="Box"/>
              <w:jc w:val="left"/>
            </w:pPr>
            <w:r>
              <w:tab/>
            </w:r>
            <w:r>
              <w:rPr>
                <w:noProof/>
              </w:rPr>
              <w:drawing>
                <wp:inline distT="0" distB="0" distL="0" distR="0" wp14:anchorId="7AF2744A" wp14:editId="42643EC2">
                  <wp:extent cx="3916800" cy="1746000"/>
                  <wp:effectExtent l="0" t="0" r="7620" b="0"/>
                  <wp:docPr id="6" name="Picture 6" descr="Transformation A (4 substitutions; or 8 ind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6800" cy="1746000"/>
                          </a:xfrm>
                          <a:prstGeom prst="rect">
                            <a:avLst/>
                          </a:prstGeom>
                          <a:noFill/>
                          <a:ln>
                            <a:noFill/>
                          </a:ln>
                        </pic:spPr>
                      </pic:pic>
                    </a:graphicData>
                  </a:graphic>
                </wp:inline>
              </w:drawing>
            </w:r>
          </w:p>
          <w:p w:rsidR="0096054D" w:rsidRDefault="00D76C7F" w:rsidP="0096054D">
            <w:pPr>
              <w:pStyle w:val="Box"/>
            </w:pPr>
            <w:r>
              <w:t>A</w:t>
            </w:r>
            <w:r w:rsidR="00F2664A">
              <w:t>n</w:t>
            </w:r>
            <w:r w:rsidR="0096054D">
              <w:t xml:space="preserve"> alternative transformation can be used to align the </w:t>
            </w:r>
            <w:r w:rsidR="00B0267C">
              <w:t>sequence</w:t>
            </w:r>
            <w:r w:rsidR="0096054D">
              <w:t xml:space="preserve">s. If </w:t>
            </w:r>
            <w:r w:rsidR="003142EC">
              <w:t>‘</w:t>
            </w:r>
            <w:proofErr w:type="spellStart"/>
            <w:r w:rsidR="0096054D">
              <w:t>NILF</w:t>
            </w:r>
            <w:proofErr w:type="spellEnd"/>
            <w:r w:rsidR="003142EC">
              <w:t xml:space="preserve">’ </w:t>
            </w:r>
            <w:r w:rsidR="0096054D">
              <w:t xml:space="preserve">is inserted at the first month of Clare’s </w:t>
            </w:r>
            <w:r w:rsidR="00B0267C">
              <w:t>sequence</w:t>
            </w:r>
            <w:r w:rsidR="0096054D">
              <w:t xml:space="preserve"> and </w:t>
            </w:r>
            <w:r w:rsidR="003142EC">
              <w:t>‘w</w:t>
            </w:r>
            <w:r w:rsidR="0096054D">
              <w:t>ork &amp; study</w:t>
            </w:r>
            <w:r w:rsidR="003142EC">
              <w:t>’</w:t>
            </w:r>
            <w:r w:rsidR="0096054D">
              <w:t xml:space="preserve"> is deleted </w:t>
            </w:r>
            <w:r>
              <w:t>in month 5</w:t>
            </w:r>
            <w:r w:rsidR="0096054D">
              <w:t>, then this align</w:t>
            </w:r>
            <w:r w:rsidR="00C53BB3">
              <w:t>s</w:t>
            </w:r>
            <w:r w:rsidR="0096054D">
              <w:t xml:space="preserve"> the </w:t>
            </w:r>
            <w:r w:rsidR="00B0267C">
              <w:t>sequence</w:t>
            </w:r>
            <w:r w:rsidR="0096054D">
              <w:t xml:space="preserve">s for the </w:t>
            </w:r>
            <w:r w:rsidR="001C0C17">
              <w:t>other</w:t>
            </w:r>
            <w:r w:rsidR="0096054D">
              <w:t xml:space="preserve"> four months without requiring any substitutions. The distance, or cost of transforming Clare’s </w:t>
            </w:r>
            <w:r w:rsidR="00B0267C">
              <w:t>sequence</w:t>
            </w:r>
            <w:r w:rsidR="0096054D">
              <w:t xml:space="preserve"> in</w:t>
            </w:r>
            <w:r w:rsidR="00022701">
              <w:t xml:space="preserve">to Jane’s, is </w:t>
            </w:r>
            <w:r>
              <w:t xml:space="preserve">now </w:t>
            </w:r>
            <w:r w:rsidR="00022701">
              <w:t xml:space="preserve">2 </w:t>
            </w:r>
            <w:proofErr w:type="spellStart"/>
            <w:r w:rsidR="00022701">
              <w:t>indels</w:t>
            </w:r>
            <w:proofErr w:type="spellEnd"/>
            <w:r w:rsidR="00022701">
              <w:t>:</w:t>
            </w:r>
          </w:p>
          <w:p w:rsidR="004537A5" w:rsidRDefault="00B0267C" w:rsidP="007F7447">
            <w:pPr>
              <w:pStyle w:val="Box"/>
              <w:jc w:val="left"/>
            </w:pPr>
            <w:r>
              <w:tab/>
            </w:r>
            <w:r w:rsidR="00625B29">
              <w:rPr>
                <w:noProof/>
              </w:rPr>
              <w:drawing>
                <wp:inline distT="0" distB="0" distL="0" distR="0" wp14:anchorId="1AC86654" wp14:editId="150A73CB">
                  <wp:extent cx="4662000" cy="1573200"/>
                  <wp:effectExtent l="0" t="0" r="5715" b="0"/>
                  <wp:docPr id="7" name="Picture 7" descr="Transformation B (2 ind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2000" cy="1573200"/>
                          </a:xfrm>
                          <a:prstGeom prst="rect">
                            <a:avLst/>
                          </a:prstGeom>
                          <a:noFill/>
                          <a:ln>
                            <a:noFill/>
                          </a:ln>
                        </pic:spPr>
                      </pic:pic>
                    </a:graphicData>
                  </a:graphic>
                </wp:inline>
              </w:drawing>
            </w:r>
          </w:p>
          <w:p w:rsidR="00751228" w:rsidRDefault="00F2664A" w:rsidP="00F2664A">
            <w:pPr>
              <w:pStyle w:val="Box"/>
            </w:pPr>
            <w:r>
              <w:t>Transformation B use</w:t>
            </w:r>
            <w:r w:rsidR="004537A5">
              <w:t xml:space="preserve">s 2 </w:t>
            </w:r>
            <w:proofErr w:type="spellStart"/>
            <w:r w:rsidR="004537A5">
              <w:t>inde</w:t>
            </w:r>
            <w:r w:rsidR="006D08D4">
              <w:t>ls</w:t>
            </w:r>
            <w:proofErr w:type="spellEnd"/>
            <w:r w:rsidR="006D08D4">
              <w:t xml:space="preserve"> compared to transformation A, which </w:t>
            </w:r>
            <w:r>
              <w:t>us</w:t>
            </w:r>
            <w:r w:rsidR="004537A5">
              <w:t xml:space="preserve">es the equivalent of 8 </w:t>
            </w:r>
            <w:proofErr w:type="spellStart"/>
            <w:r w:rsidR="004537A5">
              <w:t>indels</w:t>
            </w:r>
            <w:proofErr w:type="spellEnd"/>
            <w:r w:rsidR="004537A5">
              <w:t xml:space="preserve">. Therefore, B is </w:t>
            </w:r>
            <w:r w:rsidR="00D76C7F">
              <w:t>a</w:t>
            </w:r>
            <w:r w:rsidR="004537A5">
              <w:t xml:space="preserve"> less costly way to achieve alignment of the </w:t>
            </w:r>
            <w:r w:rsidR="00B0267C">
              <w:t>sequence</w:t>
            </w:r>
            <w:r w:rsidR="004537A5">
              <w:t xml:space="preserve">s. With transformation B, Clare’s </w:t>
            </w:r>
            <w:r w:rsidR="00B0267C">
              <w:t>sequence</w:t>
            </w:r>
            <w:r w:rsidR="004537A5">
              <w:t xml:space="preserve"> is a quarter of the distance from Jane’s that was indicated with transformation A. OM would determine</w:t>
            </w:r>
            <w:r w:rsidR="00C72F2C">
              <w:t xml:space="preserve"> transformation B is the optimal way to match the sequences, and</w:t>
            </w:r>
            <w:r w:rsidR="004537A5">
              <w:t xml:space="preserve"> that there is a distance of 2 between Jane and Clare’s </w:t>
            </w:r>
            <w:r w:rsidR="00B0267C">
              <w:t>sequence</w:t>
            </w:r>
            <w:r w:rsidR="004537A5">
              <w:t>s.</w:t>
            </w:r>
            <w:r w:rsidR="00751228">
              <w:t xml:space="preserve"> </w:t>
            </w:r>
          </w:p>
          <w:p w:rsidR="00F2664A" w:rsidRDefault="00751228" w:rsidP="001C0C17">
            <w:pPr>
              <w:pStyle w:val="Box"/>
            </w:pPr>
            <w:r>
              <w:t xml:space="preserve">To give some </w:t>
            </w:r>
            <w:r w:rsidR="00D76C7F">
              <w:t>intuition</w:t>
            </w:r>
            <w:r>
              <w:t xml:space="preserve">, the maximum distance between </w:t>
            </w:r>
            <w:r w:rsidR="00D76C7F">
              <w:t xml:space="preserve">two </w:t>
            </w:r>
            <w:r>
              <w:t xml:space="preserve">sequences with five observation periods, and substitution costs of 2, would be 10. </w:t>
            </w:r>
            <w:r w:rsidR="00D76C7F">
              <w:t>For example, t</w:t>
            </w:r>
            <w:r>
              <w:t xml:space="preserve">his is the distance between a sequence </w:t>
            </w:r>
            <w:r w:rsidR="001C0C17">
              <w:t>with</w:t>
            </w:r>
            <w:r>
              <w:t xml:space="preserve"> </w:t>
            </w:r>
            <w:r w:rsidR="00DD5ED9">
              <w:t>five</w:t>
            </w:r>
            <w:r>
              <w:t xml:space="preserve"> months of work and a sequence with </w:t>
            </w:r>
            <w:r w:rsidR="00CC0311">
              <w:t>five months of</w:t>
            </w:r>
            <w:r>
              <w:t xml:space="preserve"> </w:t>
            </w:r>
            <w:proofErr w:type="spellStart"/>
            <w:r>
              <w:t>NILF</w:t>
            </w:r>
            <w:proofErr w:type="spellEnd"/>
            <w:r>
              <w:t xml:space="preserve">. </w:t>
            </w:r>
          </w:p>
        </w:tc>
      </w:tr>
      <w:tr w:rsidR="004537A5">
        <w:trPr>
          <w:cantSplit/>
        </w:trPr>
        <w:tc>
          <w:tcPr>
            <w:tcW w:w="8771" w:type="dxa"/>
            <w:tcBorders>
              <w:top w:val="nil"/>
              <w:left w:val="single" w:sz="6" w:space="0" w:color="auto"/>
              <w:bottom w:val="nil"/>
              <w:right w:val="single" w:sz="6" w:space="0" w:color="auto"/>
            </w:tcBorders>
          </w:tcPr>
          <w:p w:rsidR="004537A5" w:rsidRDefault="004537A5" w:rsidP="004537A5">
            <w:pPr>
              <w:pStyle w:val="BoxSource"/>
            </w:pPr>
            <w:r>
              <w:rPr>
                <w:i/>
              </w:rPr>
              <w:t>Source</w:t>
            </w:r>
            <w:r w:rsidRPr="00167F06">
              <w:t xml:space="preserve">: </w:t>
            </w:r>
            <w:r>
              <w:t xml:space="preserve">Adapted from </w:t>
            </w:r>
            <w:proofErr w:type="spellStart"/>
            <w:r>
              <w:t>Quintini</w:t>
            </w:r>
            <w:proofErr w:type="spellEnd"/>
            <w:r>
              <w:t xml:space="preserve"> and </w:t>
            </w:r>
            <w:proofErr w:type="spellStart"/>
            <w:r>
              <w:t>Manfredi</w:t>
            </w:r>
            <w:proofErr w:type="spellEnd"/>
            <w:r>
              <w:t xml:space="preserve"> (2009).</w:t>
            </w:r>
          </w:p>
        </w:tc>
      </w:tr>
      <w:tr w:rsidR="004537A5">
        <w:trPr>
          <w:cantSplit/>
        </w:trPr>
        <w:tc>
          <w:tcPr>
            <w:tcW w:w="8771" w:type="dxa"/>
            <w:tcBorders>
              <w:top w:val="nil"/>
              <w:left w:val="single" w:sz="6" w:space="0" w:color="auto"/>
              <w:bottom w:val="single" w:sz="6" w:space="0" w:color="auto"/>
              <w:right w:val="single" w:sz="6" w:space="0" w:color="auto"/>
            </w:tcBorders>
          </w:tcPr>
          <w:p w:rsidR="004537A5" w:rsidRDefault="004537A5">
            <w:pPr>
              <w:pStyle w:val="Box"/>
              <w:spacing w:before="0" w:line="120" w:lineRule="exact"/>
            </w:pPr>
          </w:p>
        </w:tc>
      </w:tr>
      <w:tr w:rsidR="004537A5" w:rsidRPr="000863A5">
        <w:tc>
          <w:tcPr>
            <w:tcW w:w="8771" w:type="dxa"/>
            <w:tcBorders>
              <w:top w:val="nil"/>
              <w:left w:val="nil"/>
              <w:bottom w:val="nil"/>
              <w:right w:val="nil"/>
            </w:tcBorders>
          </w:tcPr>
          <w:p w:rsidR="004537A5" w:rsidRPr="00626D32" w:rsidRDefault="004537A5" w:rsidP="00D67CF7">
            <w:pPr>
              <w:pStyle w:val="BoxSpaceBelow"/>
            </w:pPr>
          </w:p>
        </w:tc>
      </w:tr>
    </w:tbl>
    <w:p w:rsidR="00FC4D7D" w:rsidRDefault="00E7074B" w:rsidP="00FC4D7D">
      <w:pPr>
        <w:pStyle w:val="Heading3"/>
      </w:pPr>
      <w:r>
        <w:lastRenderedPageBreak/>
        <w:t xml:space="preserve">Setting </w:t>
      </w:r>
      <w:r w:rsidR="00970D6F">
        <w:t xml:space="preserve">substitution </w:t>
      </w:r>
      <w:r>
        <w:t xml:space="preserve">and </w:t>
      </w:r>
      <w:proofErr w:type="spellStart"/>
      <w:r>
        <w:t>indel</w:t>
      </w:r>
      <w:proofErr w:type="spellEnd"/>
      <w:r>
        <w:t xml:space="preserve"> </w:t>
      </w:r>
      <w:r w:rsidR="00970D6F">
        <w:t>c</w:t>
      </w:r>
      <w:r>
        <w:t>osts</w:t>
      </w:r>
    </w:p>
    <w:p w:rsidR="00C0684D" w:rsidRDefault="00FC4D7D" w:rsidP="00FC4D7D">
      <w:pPr>
        <w:pStyle w:val="BodyText"/>
      </w:pPr>
      <w:r>
        <w:t>The cost of substituting one activity for another must be specified before the OM stage of sequence analysis can be performed (</w:t>
      </w:r>
      <w:proofErr w:type="spellStart"/>
      <w:r>
        <w:t>Brzinsky</w:t>
      </w:r>
      <w:proofErr w:type="spellEnd"/>
      <w:r>
        <w:noBreakHyphen/>
        <w:t xml:space="preserve">Fay and Kohler 2010). </w:t>
      </w:r>
      <w:r w:rsidR="00C0684D">
        <w:t>According to Martin and Wiggins (2011, p. </w:t>
      </w:r>
      <w:r w:rsidR="00C0684D" w:rsidRPr="00C0684D">
        <w:t>389</w:t>
      </w:r>
      <w:r w:rsidR="00C0684D">
        <w:t>), ‘</w:t>
      </w:r>
      <w:r w:rsidR="002C739C">
        <w:t>[s]</w:t>
      </w:r>
      <w:proofErr w:type="spellStart"/>
      <w:r w:rsidR="00C0684D" w:rsidRPr="00C0684D">
        <w:t>ubstitution</w:t>
      </w:r>
      <w:proofErr w:type="spellEnd"/>
      <w:r w:rsidR="00C0684D" w:rsidRPr="00C0684D">
        <w:t xml:space="preserve"> cost specification is a sore point in the world of OM. It is neither obvious nor agreed among researchers which principles should guide it’</w:t>
      </w:r>
      <w:r w:rsidR="00C0684D">
        <w:t>.</w:t>
      </w:r>
      <w:r w:rsidR="00C0684D" w:rsidRPr="00C0684D">
        <w:t xml:space="preserve"> </w:t>
      </w:r>
    </w:p>
    <w:p w:rsidR="005A03B3" w:rsidRDefault="00C0684D" w:rsidP="00FC4D7D">
      <w:pPr>
        <w:pStyle w:val="BodyText"/>
      </w:pPr>
      <w:r>
        <w:t>The literature recognises three approaches to sett</w:t>
      </w:r>
      <w:r w:rsidR="000F632A">
        <w:t>ing substitution costs: default;</w:t>
      </w:r>
      <w:r>
        <w:t xml:space="preserve"> theoretically-based</w:t>
      </w:r>
      <w:r w:rsidR="000F632A">
        <w:t>;</w:t>
      </w:r>
      <w:r>
        <w:t xml:space="preserve"> and data-driven. In the default approach, </w:t>
      </w:r>
      <w:r w:rsidR="001A4DFB">
        <w:t>a substitution</w:t>
      </w:r>
      <w:r>
        <w:t xml:space="preserve"> between </w:t>
      </w:r>
      <w:r w:rsidR="001A4DFB">
        <w:t>any</w:t>
      </w:r>
      <w:r>
        <w:t xml:space="preserve"> pair of activities </w:t>
      </w:r>
      <w:r w:rsidR="001A4DFB">
        <w:t>is</w:t>
      </w:r>
      <w:r>
        <w:t xml:space="preserve"> assigned the same cost — </w:t>
      </w:r>
      <w:r w:rsidR="001A4DFB">
        <w:t>for most studies that cost is</w:t>
      </w:r>
      <w:r>
        <w:t xml:space="preserve"> 2.</w:t>
      </w:r>
      <w:r>
        <w:rPr>
          <w:rStyle w:val="FootnoteReference"/>
        </w:rPr>
        <w:footnoteReference w:id="4"/>
      </w:r>
      <w:r>
        <w:t xml:space="preserve"> </w:t>
      </w:r>
      <w:r w:rsidR="005A03B3">
        <w:t xml:space="preserve">The other two approaches require substitution costs to be specified as a square matrix, in which </w:t>
      </w:r>
      <w:r w:rsidR="000A72F1">
        <w:t>the</w:t>
      </w:r>
      <w:r w:rsidR="005A03B3">
        <w:t xml:space="preserve"> element</w:t>
      </w:r>
      <w:r w:rsidR="000A72F1">
        <w:t>s</w:t>
      </w:r>
      <w:r w:rsidR="005A03B3">
        <w:t xml:space="preserve"> give the </w:t>
      </w:r>
      <w:r w:rsidR="00785634">
        <w:t>cost of substituting each type of activity for every other type.</w:t>
      </w:r>
      <w:r w:rsidR="005A03B3">
        <w:t xml:space="preserve"> </w:t>
      </w:r>
      <w:r w:rsidR="00785634">
        <w:t>By using a matrix,</w:t>
      </w:r>
      <w:r w:rsidR="005A03B3">
        <w:t xml:space="preserve"> </w:t>
      </w:r>
      <w:r w:rsidR="00785634">
        <w:t xml:space="preserve">the </w:t>
      </w:r>
      <w:r w:rsidR="005A03B3">
        <w:t xml:space="preserve">costs </w:t>
      </w:r>
      <w:r w:rsidR="00785634">
        <w:t>can</w:t>
      </w:r>
      <w:r w:rsidR="005A03B3">
        <w:t xml:space="preserve"> differ according to the pair of activities concerned. </w:t>
      </w:r>
      <w:r w:rsidR="00785634">
        <w:t xml:space="preserve">However, as each cost represents a distance between two activities, the matrix must be symmetric — </w:t>
      </w:r>
      <w:r w:rsidR="00913FB7">
        <w:t xml:space="preserve">that is, </w:t>
      </w:r>
      <w:r w:rsidR="00785634">
        <w:t>the distance from activity A to activity B must be the same as that from activity B to activity A.</w:t>
      </w:r>
      <w:r w:rsidR="00913FB7">
        <w:rPr>
          <w:rStyle w:val="FootnoteReference"/>
        </w:rPr>
        <w:footnoteReference w:id="5"/>
      </w:r>
      <w:r w:rsidR="00785634">
        <w:t xml:space="preserve"> </w:t>
      </w:r>
    </w:p>
    <w:p w:rsidR="00E7074B" w:rsidRDefault="00C0684D" w:rsidP="00FC4D7D">
      <w:pPr>
        <w:pStyle w:val="BodyText"/>
      </w:pPr>
      <w:r>
        <w:t>In the theoretically</w:t>
      </w:r>
      <w:r>
        <w:noBreakHyphen/>
        <w:t xml:space="preserve">based approach, substitution costs are set in a </w:t>
      </w:r>
      <w:r w:rsidR="00854C66">
        <w:t xml:space="preserve">subjective manner to show (for each activity) which of the activities ought to be ‘closer’ or ‘more distant’ according to theory </w:t>
      </w:r>
      <w:r>
        <w:t>(box </w:t>
      </w:r>
      <w:proofErr w:type="spellStart"/>
      <w:r>
        <w:t>B.3</w:t>
      </w:r>
      <w:proofErr w:type="spellEnd"/>
      <w:r>
        <w:t xml:space="preserve">). A data-driven approach </w:t>
      </w:r>
      <w:r w:rsidR="003E6935">
        <w:t xml:space="preserve">uses </w:t>
      </w:r>
      <w:r w:rsidR="00A85612">
        <w:t>the transitions in the data to determine how close the activities are</w:t>
      </w:r>
      <w:r w:rsidR="000F632A">
        <w:t>,</w:t>
      </w:r>
      <w:r w:rsidR="00A85612">
        <w:t xml:space="preserve"> and </w:t>
      </w:r>
      <w:r>
        <w:t>is cons</w:t>
      </w:r>
      <w:r w:rsidR="00472A8D">
        <w:t xml:space="preserve">idered to be </w:t>
      </w:r>
      <w:r w:rsidR="00E7074B">
        <w:t>the most</w:t>
      </w:r>
      <w:r w:rsidR="00472A8D">
        <w:t xml:space="preserve"> neutral </w:t>
      </w:r>
      <w:r w:rsidR="00E7074B">
        <w:t xml:space="preserve">method </w:t>
      </w:r>
      <w:r w:rsidR="00472A8D">
        <w:t>(</w:t>
      </w:r>
      <w:proofErr w:type="spellStart"/>
      <w:r w:rsidR="00472A8D">
        <w:t>Anyadike</w:t>
      </w:r>
      <w:proofErr w:type="spellEnd"/>
      <w:r w:rsidR="00472A8D">
        <w:noBreakHyphen/>
        <w:t xml:space="preserve">Danes and </w:t>
      </w:r>
      <w:proofErr w:type="spellStart"/>
      <w:r w:rsidR="00472A8D">
        <w:t>McVicar</w:t>
      </w:r>
      <w:proofErr w:type="spellEnd"/>
      <w:r w:rsidR="00472A8D">
        <w:t xml:space="preserve"> 2010; Hollister 2009)</w:t>
      </w:r>
      <w:r w:rsidR="00E7074B">
        <w:t>.</w:t>
      </w:r>
      <w:r w:rsidR="00472A8D">
        <w:t xml:space="preserve"> </w:t>
      </w:r>
      <w:r w:rsidR="00E7074B">
        <w:t xml:space="preserve">As a result, </w:t>
      </w:r>
      <w:r w:rsidR="001E2292">
        <w:t xml:space="preserve">the data-driven approach </w:t>
      </w:r>
      <w:r w:rsidR="00472A8D">
        <w:t xml:space="preserve">is becoming a more common choice in the literature </w:t>
      </w:r>
      <w:r w:rsidR="001E2292">
        <w:t xml:space="preserve">and </w:t>
      </w:r>
      <w:r w:rsidR="00472A8D">
        <w:t>is used to set substi</w:t>
      </w:r>
      <w:r w:rsidR="001E2292">
        <w:t>tution costs for this analysis.</w:t>
      </w:r>
    </w:p>
    <w:p w:rsidR="00E7074B" w:rsidRDefault="00E7074B" w:rsidP="00E7074B">
      <w:pPr>
        <w:pStyle w:val="BodyText"/>
      </w:pPr>
      <w:r>
        <w:t xml:space="preserve">A second type of cost that must be chosen is the cost of </w:t>
      </w:r>
      <w:proofErr w:type="spellStart"/>
      <w:r>
        <w:t>indels</w:t>
      </w:r>
      <w:proofErr w:type="spellEnd"/>
      <w:r>
        <w:t xml:space="preserve">. The setting of </w:t>
      </w:r>
      <w:proofErr w:type="spellStart"/>
      <w:r>
        <w:t>indel</w:t>
      </w:r>
      <w:proofErr w:type="spellEnd"/>
      <w:r>
        <w:t xml:space="preserve"> costs is rarely discussed in the literature (Albert </w:t>
      </w:r>
      <w:proofErr w:type="spellStart"/>
      <w:r>
        <w:t>Verdú</w:t>
      </w:r>
      <w:proofErr w:type="spellEnd"/>
      <w:r>
        <w:t xml:space="preserve"> and </w:t>
      </w:r>
      <w:proofErr w:type="spellStart"/>
      <w:r>
        <w:t>Davia</w:t>
      </w:r>
      <w:proofErr w:type="spellEnd"/>
      <w:r>
        <w:t xml:space="preserve"> 2010). </w:t>
      </w:r>
      <w:r w:rsidR="00BA738B">
        <w:t xml:space="preserve">As a substitution is equivalent to two </w:t>
      </w:r>
      <w:proofErr w:type="spellStart"/>
      <w:r w:rsidR="00BA738B">
        <w:t>indel</w:t>
      </w:r>
      <w:proofErr w:type="spellEnd"/>
      <w:r w:rsidR="00BA738B">
        <w:t xml:space="preserve"> operations (an insertion and a deletion), the relative magnitudes of the two types of cost can affect which types of operation are used to determine the distance between two sequences. Therefore, </w:t>
      </w:r>
      <w:r w:rsidR="00BD6D63">
        <w:t>t</w:t>
      </w:r>
      <w:r>
        <w:t xml:space="preserve">he researcher needs to decide </w:t>
      </w:r>
      <w:r w:rsidR="00543F0B">
        <w:t>in advance</w:t>
      </w:r>
      <w:r>
        <w:t xml:space="preserve"> the relative importance of timing (</w:t>
      </w:r>
      <w:proofErr w:type="spellStart"/>
      <w:r>
        <w:t>indels</w:t>
      </w:r>
      <w:proofErr w:type="spellEnd"/>
      <w:r>
        <w:t xml:space="preserve">) compared to similarity of sections of sequences (substitutions). For example, is it more important that two people have a spell of employment in the same period, or is it more important that they have the same sequence of employment, unemployment and </w:t>
      </w:r>
      <w:proofErr w:type="spellStart"/>
      <w:r>
        <w:lastRenderedPageBreak/>
        <w:t>NILF</w:t>
      </w:r>
      <w:proofErr w:type="spellEnd"/>
      <w:r>
        <w:t xml:space="preserve"> activities? The substitution costs used in this paper are all less than 2, and hence less than double the cost of an </w:t>
      </w:r>
      <w:proofErr w:type="spellStart"/>
      <w:r>
        <w:t>indel</w:t>
      </w:r>
      <w:proofErr w:type="spellEnd"/>
      <w:r>
        <w:t xml:space="preserve"> transformation, which is set to 1.</w:t>
      </w:r>
    </w:p>
    <w:p w:rsidR="00FC4D7D" w:rsidRDefault="00E7074B" w:rsidP="00E7074B">
      <w:pPr>
        <w:pStyle w:val="BodyText"/>
      </w:pPr>
      <w:r>
        <w:t xml:space="preserve">Although there is no agreement on how costs should be set, there does appear to be consensus on the importance of conducting sensitivity analysis with different costs. Several papers have considered the impact of different substitution costs on </w:t>
      </w:r>
      <w:r w:rsidR="000F632A">
        <w:t xml:space="preserve">the </w:t>
      </w:r>
      <w:r>
        <w:t xml:space="preserve">results </w:t>
      </w:r>
      <w:r w:rsidR="000A72F1">
        <w:t xml:space="preserve">of OM (for example, </w:t>
      </w:r>
      <w:proofErr w:type="spellStart"/>
      <w:r w:rsidR="000A72F1">
        <w:t>Anyadike</w:t>
      </w:r>
      <w:proofErr w:type="spellEnd"/>
      <w:r w:rsidR="000A72F1">
        <w:t>-</w:t>
      </w:r>
      <w:r>
        <w:t xml:space="preserve">Danes and </w:t>
      </w:r>
      <w:proofErr w:type="spellStart"/>
      <w:r>
        <w:t>McVicar</w:t>
      </w:r>
      <w:proofErr w:type="spellEnd"/>
      <w:r>
        <w:t xml:space="preserve"> 2003). </w:t>
      </w:r>
      <w:r w:rsidR="00A81386">
        <w:t>Many papers reported that the results were robust to changing substitution costs (Corrales-</w:t>
      </w:r>
      <w:proofErr w:type="spellStart"/>
      <w:r w:rsidR="00A81386">
        <w:t>Herrero</w:t>
      </w:r>
      <w:proofErr w:type="spellEnd"/>
      <w:r w:rsidR="00A81386">
        <w:t xml:space="preserve"> and Rodríguez</w:t>
      </w:r>
      <w:r w:rsidR="00A81386">
        <w:noBreakHyphen/>
        <w:t>Prado 2012). Some</w:t>
      </w:r>
      <w:r>
        <w:t xml:space="preserve"> papers (including </w:t>
      </w:r>
      <w:proofErr w:type="spellStart"/>
      <w:r>
        <w:t>Brzinsky</w:t>
      </w:r>
      <w:proofErr w:type="spellEnd"/>
      <w:r w:rsidR="000A72F1">
        <w:t>-</w:t>
      </w:r>
      <w:r>
        <w:t xml:space="preserve">Fay 2007) also </w:t>
      </w:r>
      <w:r w:rsidR="000F632A">
        <w:t>tested the impact of varying</w:t>
      </w:r>
      <w:r>
        <w:t xml:space="preserve"> the cost of </w:t>
      </w:r>
      <w:proofErr w:type="spellStart"/>
      <w:r>
        <w:t>indels</w:t>
      </w:r>
      <w:proofErr w:type="spellEnd"/>
      <w:r w:rsidR="00A81386">
        <w:t>, but found only slight differences in the results</w:t>
      </w:r>
      <w:r>
        <w:t xml:space="preserve">. </w:t>
      </w:r>
    </w:p>
    <w:p w:rsidR="003D663E" w:rsidRDefault="003D663E">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3D663E">
        <w:tc>
          <w:tcPr>
            <w:tcW w:w="8771" w:type="dxa"/>
            <w:tcBorders>
              <w:top w:val="single" w:sz="6" w:space="0" w:color="auto"/>
              <w:bottom w:val="nil"/>
            </w:tcBorders>
          </w:tcPr>
          <w:p w:rsidR="003D663E" w:rsidRDefault="003D663E" w:rsidP="00E42277">
            <w:pPr>
              <w:pStyle w:val="BoxTitle"/>
            </w:pPr>
            <w:r>
              <w:rPr>
                <w:b w:val="0"/>
              </w:rPr>
              <w:t xml:space="preserve">Box </w:t>
            </w:r>
            <w:bookmarkStart w:id="8" w:name="OLE_LINK2"/>
            <w:proofErr w:type="spellStart"/>
            <w:r w:rsidR="007F172C">
              <w:rPr>
                <w:b w:val="0"/>
              </w:rPr>
              <w:t>B.</w:t>
            </w:r>
            <w:r w:rsidR="004815E1">
              <w:rPr>
                <w:b w:val="0"/>
                <w:noProof/>
              </w:rPr>
              <w:t>3</w:t>
            </w:r>
            <w:bookmarkEnd w:id="8"/>
            <w:proofErr w:type="spellEnd"/>
            <w:r>
              <w:tab/>
              <w:t xml:space="preserve">Setting </w:t>
            </w:r>
            <w:r w:rsidR="004911B2">
              <w:t xml:space="preserve">substitution </w:t>
            </w:r>
            <w:r>
              <w:t>costs</w:t>
            </w:r>
            <w:r w:rsidR="004911B2">
              <w:t xml:space="preserve"> on a theoretical basis</w:t>
            </w:r>
          </w:p>
        </w:tc>
      </w:tr>
      <w:tr w:rsidR="003D663E">
        <w:trPr>
          <w:cantSplit/>
        </w:trPr>
        <w:tc>
          <w:tcPr>
            <w:tcW w:w="8771" w:type="dxa"/>
            <w:tcBorders>
              <w:top w:val="nil"/>
              <w:left w:val="single" w:sz="6" w:space="0" w:color="auto"/>
              <w:bottom w:val="nil"/>
              <w:right w:val="single" w:sz="6" w:space="0" w:color="auto"/>
            </w:tcBorders>
          </w:tcPr>
          <w:p w:rsidR="003D663E" w:rsidRPr="001C7303" w:rsidRDefault="003D663E" w:rsidP="003D663E">
            <w:pPr>
              <w:pStyle w:val="Box"/>
            </w:pPr>
            <w:r w:rsidRPr="001C7303">
              <w:t xml:space="preserve">Theory may suggest that </w:t>
            </w:r>
            <w:r w:rsidR="001B2935">
              <w:t xml:space="preserve">the </w:t>
            </w:r>
            <w:r w:rsidRPr="001C7303">
              <w:t>strength of attachment to the labour market c</w:t>
            </w:r>
            <w:r w:rsidR="001B2935">
              <w:t>an</w:t>
            </w:r>
            <w:r w:rsidRPr="001C7303">
              <w:t xml:space="preserve"> guide the setting of substitution costs. For example, </w:t>
            </w:r>
            <w:proofErr w:type="spellStart"/>
            <w:r w:rsidRPr="001C7303">
              <w:t>Anyadike</w:t>
            </w:r>
            <w:proofErr w:type="spellEnd"/>
            <w:r w:rsidR="0050167C">
              <w:noBreakHyphen/>
            </w:r>
            <w:r w:rsidRPr="001C7303">
              <w:t xml:space="preserve">Danes and </w:t>
            </w:r>
            <w:proofErr w:type="spellStart"/>
            <w:r w:rsidRPr="001C7303">
              <w:t>McVicar</w:t>
            </w:r>
            <w:proofErr w:type="spellEnd"/>
            <w:r w:rsidRPr="001C7303">
              <w:t xml:space="preserve"> (2010) set </w:t>
            </w:r>
            <w:r w:rsidR="00A81386">
              <w:t xml:space="preserve">the cost of substituting between </w:t>
            </w:r>
            <w:r w:rsidRPr="001C7303">
              <w:t xml:space="preserve">employment and unemployment to </w:t>
            </w:r>
            <w:r w:rsidR="00A81386">
              <w:t>be</w:t>
            </w:r>
            <w:r w:rsidRPr="001C7303">
              <w:t xml:space="preserve"> lower </w:t>
            </w:r>
            <w:r w:rsidR="00A81386">
              <w:t xml:space="preserve">than that between </w:t>
            </w:r>
            <w:r w:rsidRPr="001C7303">
              <w:t xml:space="preserve">employment and </w:t>
            </w:r>
            <w:proofErr w:type="spellStart"/>
            <w:r w:rsidRPr="001C7303">
              <w:t>NILF</w:t>
            </w:r>
            <w:proofErr w:type="spellEnd"/>
            <w:r w:rsidRPr="001C7303">
              <w:t>.</w:t>
            </w:r>
            <w:r>
              <w:t xml:space="preserve"> However, theory does not indicate how ‘close’ or ‘distant’ </w:t>
            </w:r>
            <w:r w:rsidR="001B2935">
              <w:t xml:space="preserve">any </w:t>
            </w:r>
            <w:r>
              <w:t xml:space="preserve">two activities should be, and so this decision </w:t>
            </w:r>
            <w:r w:rsidR="001B2935">
              <w:t>is</w:t>
            </w:r>
            <w:r>
              <w:t xml:space="preserve"> subjective (Hollister 2009).</w:t>
            </w:r>
            <w:r w:rsidRPr="001C7303">
              <w:t xml:space="preserve"> </w:t>
            </w:r>
          </w:p>
          <w:p w:rsidR="003D663E" w:rsidRDefault="007F172C" w:rsidP="003D663E">
            <w:pPr>
              <w:pStyle w:val="Box"/>
            </w:pPr>
            <w:r>
              <w:t>The subjective nature of theoretically</w:t>
            </w:r>
            <w:r>
              <w:noBreakHyphen/>
              <w:t xml:space="preserve">based substitution cost </w:t>
            </w:r>
            <w:proofErr w:type="spellStart"/>
            <w:r>
              <w:t>matrices</w:t>
            </w:r>
            <w:proofErr w:type="spellEnd"/>
            <w:r>
              <w:t xml:space="preserve"> is reflected in the transitions literature. There are </w:t>
            </w:r>
            <w:r w:rsidR="000A72F1">
              <w:t>large</w:t>
            </w:r>
            <w:r w:rsidR="003D663E">
              <w:t xml:space="preserve"> differences in substitution costs</w:t>
            </w:r>
            <w:r>
              <w:t>, in</w:t>
            </w:r>
            <w:r w:rsidR="003D663E">
              <w:t xml:space="preserve"> </w:t>
            </w:r>
            <w:r>
              <w:t xml:space="preserve">both </w:t>
            </w:r>
            <w:r w:rsidR="003D663E">
              <w:t xml:space="preserve">relative and absolute terms. </w:t>
            </w:r>
          </w:p>
          <w:p w:rsidR="003D663E" w:rsidRDefault="003D663E" w:rsidP="004911B2">
            <w:pPr>
              <w:pStyle w:val="Box"/>
            </w:pPr>
            <w:r>
              <w:t xml:space="preserve">Many substitution costs </w:t>
            </w:r>
            <w:r w:rsidR="001B2935">
              <w:t xml:space="preserve">used </w:t>
            </w:r>
            <w:r>
              <w:t xml:space="preserve">in the literature were not </w:t>
            </w:r>
            <w:r w:rsidR="007F172C">
              <w:t>comparable to the substitution costs used in thi</w:t>
            </w:r>
            <w:r w:rsidR="00601550">
              <w:t>s paper. There were two reasons</w:t>
            </w:r>
            <w:r w:rsidR="00A81386">
              <w:t xml:space="preserve"> for this</w:t>
            </w:r>
            <w:r>
              <w:t xml:space="preserve">. First, </w:t>
            </w:r>
            <w:r w:rsidRPr="001C7303">
              <w:t>the literature often relate</w:t>
            </w:r>
            <w:r w:rsidR="001B2935">
              <w:t>s</w:t>
            </w:r>
            <w:r w:rsidRPr="001C7303">
              <w:t xml:space="preserve"> to youth</w:t>
            </w:r>
            <w:r w:rsidR="00174241">
              <w:t>s</w:t>
            </w:r>
            <w:r w:rsidRPr="001C7303">
              <w:t xml:space="preserve"> only, and this </w:t>
            </w:r>
            <w:r>
              <w:t>paper</w:t>
            </w:r>
            <w:r w:rsidRPr="001C7303">
              <w:t xml:space="preserve"> </w:t>
            </w:r>
            <w:r w:rsidR="001B2935">
              <w:t xml:space="preserve">considers additional </w:t>
            </w:r>
            <w:r w:rsidRPr="001C7303">
              <w:t>age group</w:t>
            </w:r>
            <w:r w:rsidR="001B2935">
              <w:t>s, including</w:t>
            </w:r>
            <w:r w:rsidRPr="001C7303">
              <w:t xml:space="preserve"> three older groups </w:t>
            </w:r>
            <w:r w:rsidR="00D26803">
              <w:t>that</w:t>
            </w:r>
            <w:r w:rsidRPr="001C7303">
              <w:t xml:space="preserve"> are likely to experience different transitions. </w:t>
            </w:r>
            <w:r>
              <w:t xml:space="preserve">Second, </w:t>
            </w:r>
            <w:r w:rsidRPr="001C7303">
              <w:t xml:space="preserve">the activities in this analysis are different from </w:t>
            </w:r>
            <w:r w:rsidR="004911B2">
              <w:t xml:space="preserve">those in </w:t>
            </w:r>
            <w:r>
              <w:t xml:space="preserve">most </w:t>
            </w:r>
            <w:r w:rsidRPr="001C7303">
              <w:t xml:space="preserve">other papers. In particular, there are two activities in one category — work and study — so that the distance between work and study and either unemployment or </w:t>
            </w:r>
            <w:proofErr w:type="spellStart"/>
            <w:r w:rsidRPr="001C7303">
              <w:t>NILF</w:t>
            </w:r>
            <w:proofErr w:type="spellEnd"/>
            <w:r w:rsidRPr="001C7303">
              <w:t xml:space="preserve"> should be greater than the distance between work and study and either work only or study only.</w:t>
            </w:r>
          </w:p>
        </w:tc>
      </w:tr>
      <w:tr w:rsidR="003D663E">
        <w:trPr>
          <w:cantSplit/>
        </w:trPr>
        <w:tc>
          <w:tcPr>
            <w:tcW w:w="8771" w:type="dxa"/>
            <w:tcBorders>
              <w:top w:val="nil"/>
              <w:left w:val="single" w:sz="6" w:space="0" w:color="auto"/>
              <w:bottom w:val="single" w:sz="6" w:space="0" w:color="auto"/>
              <w:right w:val="single" w:sz="6" w:space="0" w:color="auto"/>
            </w:tcBorders>
          </w:tcPr>
          <w:p w:rsidR="003D663E" w:rsidRDefault="003D663E">
            <w:pPr>
              <w:pStyle w:val="Box"/>
              <w:spacing w:before="0" w:line="120" w:lineRule="exact"/>
            </w:pPr>
          </w:p>
        </w:tc>
      </w:tr>
      <w:tr w:rsidR="003D663E" w:rsidRPr="000863A5">
        <w:tc>
          <w:tcPr>
            <w:tcW w:w="8771" w:type="dxa"/>
            <w:tcBorders>
              <w:top w:val="nil"/>
              <w:left w:val="nil"/>
              <w:bottom w:val="nil"/>
              <w:right w:val="nil"/>
            </w:tcBorders>
          </w:tcPr>
          <w:p w:rsidR="003D663E" w:rsidRPr="00626D32" w:rsidRDefault="003D663E" w:rsidP="002E073A">
            <w:pPr>
              <w:pStyle w:val="BoxSpaceBelow"/>
            </w:pPr>
          </w:p>
        </w:tc>
      </w:tr>
    </w:tbl>
    <w:p w:rsidR="00FC4D7D" w:rsidRDefault="00FC4D7D" w:rsidP="00FC4D7D">
      <w:pPr>
        <w:pStyle w:val="BodyText"/>
      </w:pPr>
      <w:r>
        <w:t xml:space="preserve">For each age group, the substitution cost matrix has been determined using the probability of </w:t>
      </w:r>
      <w:r w:rsidR="00A81386">
        <w:t xml:space="preserve">a </w:t>
      </w:r>
      <w:r>
        <w:t xml:space="preserve">transition from </w:t>
      </w:r>
      <w:r w:rsidR="00A81386">
        <w:t xml:space="preserve">one activity to another in </w:t>
      </w:r>
      <w:r>
        <w:t xml:space="preserve">the dataset. That is, </w:t>
      </w:r>
      <w:r w:rsidR="000A72F1">
        <w:t xml:space="preserve">the substitution cost is </w:t>
      </w:r>
      <w:r w:rsidR="00A81386">
        <w:t>inversely</w:t>
      </w:r>
      <w:r w:rsidR="006A60C5">
        <w:t xml:space="preserve"> </w:t>
      </w:r>
      <w:r w:rsidR="00A81386">
        <w:t xml:space="preserve">related to </w:t>
      </w:r>
      <w:r>
        <w:t>the average probability of transition</w:t>
      </w:r>
      <w:r w:rsidR="00A81386">
        <w:t>s</w:t>
      </w:r>
      <w:r>
        <w:t xml:space="preserve"> between activities A and B</w:t>
      </w:r>
      <w:r w:rsidRPr="00FD30EE">
        <w:t>.</w:t>
      </w:r>
      <w:r w:rsidR="00AE3A70">
        <w:rPr>
          <w:rStyle w:val="FootnoteReference"/>
        </w:rPr>
        <w:footnoteReference w:id="6"/>
      </w:r>
      <w:r w:rsidRPr="00FD30EE">
        <w:t xml:space="preserve"> </w:t>
      </w:r>
      <w:r w:rsidR="001B2935">
        <w:t>The</w:t>
      </w:r>
      <w:r>
        <w:t xml:space="preserve"> substitution costs are the lowest for pairs of activities that have the greatest </w:t>
      </w:r>
      <w:r w:rsidR="000942B8">
        <w:t>number</w:t>
      </w:r>
      <w:r>
        <w:t xml:space="preserve"> of transitions between them. </w:t>
      </w:r>
      <w:r w:rsidRPr="00FD30EE">
        <w:t>Box</w:t>
      </w:r>
      <w:r>
        <w:t> </w:t>
      </w:r>
      <w:proofErr w:type="spellStart"/>
      <w:r w:rsidR="007F172C">
        <w:t>B.4</w:t>
      </w:r>
      <w:proofErr w:type="spellEnd"/>
      <w:r>
        <w:t xml:space="preserve"> shows the substitution cost matrix for youth</w:t>
      </w:r>
      <w:r w:rsidR="00174241">
        <w:t>s</w:t>
      </w:r>
      <w:r>
        <w:t xml:space="preserve"> and co</w:t>
      </w:r>
      <w:r w:rsidR="00BD6D63">
        <w:t>mpares</w:t>
      </w:r>
      <w:r>
        <w:t xml:space="preserve"> it </w:t>
      </w:r>
      <w:r w:rsidR="001B2935">
        <w:t>to</w:t>
      </w:r>
      <w:r>
        <w:t xml:space="preserve"> the matrix for seniors.</w:t>
      </w:r>
    </w:p>
    <w:p w:rsidR="00D67CF7" w:rsidRDefault="00D67CF7">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D67CF7">
        <w:tc>
          <w:tcPr>
            <w:tcW w:w="8771" w:type="dxa"/>
            <w:tcBorders>
              <w:top w:val="single" w:sz="6" w:space="0" w:color="auto"/>
              <w:bottom w:val="nil"/>
            </w:tcBorders>
          </w:tcPr>
          <w:p w:rsidR="00D67CF7" w:rsidRDefault="00D67CF7">
            <w:pPr>
              <w:pStyle w:val="BoxTitle"/>
            </w:pPr>
            <w:r>
              <w:rPr>
                <w:b w:val="0"/>
              </w:rPr>
              <w:t xml:space="preserve">Box </w:t>
            </w:r>
            <w:bookmarkStart w:id="9" w:name="OLE_LINK3"/>
            <w:proofErr w:type="spellStart"/>
            <w:r w:rsidR="007F172C">
              <w:rPr>
                <w:b w:val="0"/>
              </w:rPr>
              <w:t>B.</w:t>
            </w:r>
            <w:r w:rsidR="004815E1">
              <w:rPr>
                <w:b w:val="0"/>
                <w:noProof/>
              </w:rPr>
              <w:t>4</w:t>
            </w:r>
            <w:bookmarkEnd w:id="9"/>
            <w:proofErr w:type="spellEnd"/>
            <w:r>
              <w:tab/>
              <w:t xml:space="preserve">Substitution cost </w:t>
            </w:r>
            <w:proofErr w:type="spellStart"/>
            <w:r>
              <w:t>matrices</w:t>
            </w:r>
            <w:proofErr w:type="spellEnd"/>
            <w:r>
              <w:t xml:space="preserve"> for youth</w:t>
            </w:r>
            <w:r w:rsidR="00174241">
              <w:t>s</w:t>
            </w:r>
            <w:r>
              <w:t xml:space="preserve"> and seniors</w:t>
            </w:r>
          </w:p>
        </w:tc>
      </w:tr>
      <w:tr w:rsidR="00D67CF7">
        <w:trPr>
          <w:cantSplit/>
        </w:trPr>
        <w:tc>
          <w:tcPr>
            <w:tcW w:w="8771" w:type="dxa"/>
            <w:tcBorders>
              <w:top w:val="nil"/>
              <w:left w:val="single" w:sz="6" w:space="0" w:color="auto"/>
              <w:bottom w:val="nil"/>
              <w:right w:val="single" w:sz="6" w:space="0" w:color="auto"/>
            </w:tcBorders>
          </w:tcPr>
          <w:p w:rsidR="00C0372C" w:rsidRDefault="00D67CF7" w:rsidP="00D67CF7">
            <w:pPr>
              <w:pStyle w:val="Box"/>
            </w:pPr>
            <w:r>
              <w:t>The data</w:t>
            </w:r>
            <w:r w:rsidR="0050167C">
              <w:noBreakHyphen/>
            </w:r>
            <w:r>
              <w:t xml:space="preserve">driven substitution cost </w:t>
            </w:r>
            <w:proofErr w:type="spellStart"/>
            <w:r>
              <w:t>matrices</w:t>
            </w:r>
            <w:proofErr w:type="spellEnd"/>
            <w:r>
              <w:t xml:space="preserve"> for youth</w:t>
            </w:r>
            <w:r w:rsidR="00174241">
              <w:t>s</w:t>
            </w:r>
            <w:r>
              <w:t xml:space="preserve"> and seniors are shown below. The diagonal elements are zero, as the</w:t>
            </w:r>
            <w:r w:rsidR="00A94056">
              <w:t>re is no</w:t>
            </w:r>
            <w:r>
              <w:t xml:space="preserve"> change of activity. The off</w:t>
            </w:r>
            <w:r>
              <w:noBreakHyphen/>
              <w:t xml:space="preserve">diagonal elements represent the cost of substituting </w:t>
            </w:r>
            <w:r w:rsidR="00022701">
              <w:t xml:space="preserve">one activity </w:t>
            </w:r>
            <w:r w:rsidR="00A94056">
              <w:t>with</w:t>
            </w:r>
            <w:r w:rsidR="00022701">
              <w:t xml:space="preserve"> another. </w:t>
            </w:r>
            <w:r w:rsidR="001B0388">
              <w:t>T</w:t>
            </w:r>
            <w:r w:rsidR="00050E50">
              <w:t>he</w:t>
            </w:r>
            <w:r w:rsidR="00A94056">
              <w:t>refore, the</w:t>
            </w:r>
            <w:r w:rsidR="00050E50">
              <w:t xml:space="preserve"> </w:t>
            </w:r>
            <w:proofErr w:type="spellStart"/>
            <w:r w:rsidR="00050E50">
              <w:t>matrices</w:t>
            </w:r>
            <w:proofErr w:type="spellEnd"/>
            <w:r w:rsidR="00050E50">
              <w:t xml:space="preserve"> are symmetric</w:t>
            </w:r>
            <w:r>
              <w:t xml:space="preserve">. </w:t>
            </w:r>
          </w:p>
          <w:p w:rsidR="007A402E" w:rsidRDefault="00D67CF7" w:rsidP="00D67CF7">
            <w:pPr>
              <w:pStyle w:val="Box"/>
            </w:pPr>
            <w:r>
              <w:t>The costs are inversely related to the probability of a transition, and are</w:t>
            </w:r>
            <w:r w:rsidR="00C0372C">
              <w:t xml:space="preserve"> </w:t>
            </w:r>
            <w:r w:rsidR="00A94056">
              <w:t xml:space="preserve">less than </w:t>
            </w:r>
            <w:r w:rsidR="00B0267C">
              <w:t>(</w:t>
            </w:r>
            <w:r w:rsidR="00C0372C">
              <w:t>but</w:t>
            </w:r>
            <w:r>
              <w:t xml:space="preserve"> very close to</w:t>
            </w:r>
            <w:r w:rsidR="00B0267C">
              <w:t>)</w:t>
            </w:r>
            <w:r>
              <w:t xml:space="preserve"> 2 because the probability that an individual will transition to a different activity </w:t>
            </w:r>
            <w:r w:rsidR="00A81386">
              <w:t xml:space="preserve">in any month </w:t>
            </w:r>
            <w:r>
              <w:t xml:space="preserve">is low. What is important to note in the tables is the relative differences in costs. </w:t>
            </w:r>
          </w:p>
          <w:p w:rsidR="001765FE" w:rsidRDefault="007A402E" w:rsidP="00D67CF7">
            <w:pPr>
              <w:pStyle w:val="Box"/>
            </w:pPr>
            <w:r>
              <w:t>For youth</w:t>
            </w:r>
            <w:r w:rsidR="00174241">
              <w:t>s</w:t>
            </w:r>
            <w:r>
              <w:t xml:space="preserve">, activities study only and work and study are relatively </w:t>
            </w:r>
            <w:r w:rsidR="00C0372C">
              <w:t>‘</w:t>
            </w:r>
            <w:r>
              <w:t>close</w:t>
            </w:r>
            <w:r w:rsidR="00C0372C">
              <w:t>’</w:t>
            </w:r>
            <w:r>
              <w:t xml:space="preserve">. By comparison, study only is </w:t>
            </w:r>
            <w:r w:rsidR="00C0372C">
              <w:t>‘</w:t>
            </w:r>
            <w:r>
              <w:t>further away</w:t>
            </w:r>
            <w:r w:rsidR="00C0372C">
              <w:t>’</w:t>
            </w:r>
            <w:r>
              <w:t xml:space="preserve"> from work only. </w:t>
            </w:r>
            <w:r w:rsidR="001765FE">
              <w:t xml:space="preserve">This is because there are more transitions in the data between study only and work and study than </w:t>
            </w:r>
            <w:r w:rsidR="00B0267C">
              <w:t xml:space="preserve">between </w:t>
            </w:r>
            <w:r w:rsidR="001765FE">
              <w:t xml:space="preserve">study only and work only. </w:t>
            </w:r>
          </w:p>
          <w:p w:rsidR="007A402E" w:rsidRDefault="001765FE" w:rsidP="00D67CF7">
            <w:pPr>
              <w:pStyle w:val="Box"/>
            </w:pPr>
            <w:r>
              <w:t>For seniors, study only is close</w:t>
            </w:r>
            <w:r w:rsidR="00D86F21">
              <w:t>r</w:t>
            </w:r>
            <w:r>
              <w:t xml:space="preserve"> to </w:t>
            </w:r>
            <w:proofErr w:type="spellStart"/>
            <w:r w:rsidR="00C0372C">
              <w:t>NILF</w:t>
            </w:r>
            <w:proofErr w:type="spellEnd"/>
            <w:r w:rsidR="00D86F21">
              <w:t xml:space="preserve"> than any other activity</w:t>
            </w:r>
            <w:r>
              <w:t xml:space="preserve">. But the closest pair of activities is work only and </w:t>
            </w:r>
            <w:proofErr w:type="spellStart"/>
            <w:r>
              <w:t>NILF</w:t>
            </w:r>
            <w:proofErr w:type="spellEnd"/>
            <w:r>
              <w:t xml:space="preserve">, </w:t>
            </w:r>
            <w:r w:rsidR="00A94056">
              <w:t>since</w:t>
            </w:r>
            <w:r>
              <w:t xml:space="preserve"> transitions from work to </w:t>
            </w:r>
            <w:proofErr w:type="spellStart"/>
            <w:r>
              <w:t>NILF</w:t>
            </w:r>
            <w:proofErr w:type="spellEnd"/>
            <w:r>
              <w:t xml:space="preserve"> are frequent in the data relative to </w:t>
            </w:r>
            <w:r w:rsidR="006A60C5">
              <w:t xml:space="preserve">any </w:t>
            </w:r>
            <w:r>
              <w:t xml:space="preserve">other </w:t>
            </w:r>
            <w:r w:rsidR="006A60C5">
              <w:t xml:space="preserve">type of </w:t>
            </w:r>
            <w:r>
              <w:t>t</w:t>
            </w:r>
            <w:r w:rsidR="006A60C5">
              <w:t>ransition</w:t>
            </w:r>
            <w:r w:rsidR="000D2EC0">
              <w:t>,</w:t>
            </w:r>
            <w:r w:rsidR="00D86F21">
              <w:t xml:space="preserve"> due to retirement</w:t>
            </w:r>
            <w:r>
              <w:t>.</w:t>
            </w:r>
            <w:r w:rsidR="0050167C">
              <w:t xml:space="preserve"> </w:t>
            </w:r>
          </w:p>
          <w:p w:rsidR="00D67CF7" w:rsidRDefault="00D67CF7" w:rsidP="00D67CF7">
            <w:pPr>
              <w:pStyle w:val="Box"/>
              <w:tabs>
                <w:tab w:val="left" w:pos="1273"/>
              </w:tabs>
            </w:pPr>
            <w:r>
              <w:t>Table</w:t>
            </w:r>
            <w:r w:rsidR="00F74690">
              <w:t> </w:t>
            </w:r>
            <w:r>
              <w:t>1: Youth</w:t>
            </w:r>
            <w:r w:rsidR="00174241">
              <w:t>s</w:t>
            </w:r>
            <w:r>
              <w:tab/>
            </w:r>
          </w:p>
          <w:tbl>
            <w:tblPr>
              <w:tblStyle w:val="TableGrid"/>
              <w:tblW w:w="0" w:type="auto"/>
              <w:tblLayout w:type="fixed"/>
              <w:tblLook w:val="04A0" w:firstRow="1" w:lastRow="0" w:firstColumn="1" w:lastColumn="0" w:noHBand="0" w:noVBand="1"/>
            </w:tblPr>
            <w:tblGrid>
              <w:gridCol w:w="1532"/>
              <w:gridCol w:w="1292"/>
              <w:gridCol w:w="1412"/>
              <w:gridCol w:w="1412"/>
              <w:gridCol w:w="1554"/>
              <w:gridCol w:w="1270"/>
            </w:tblGrid>
            <w:tr w:rsidR="00D67CF7" w:rsidTr="00701290">
              <w:trPr>
                <w:tblHeader/>
              </w:trPr>
              <w:tc>
                <w:tcPr>
                  <w:tcW w:w="1532" w:type="dxa"/>
                </w:tcPr>
                <w:p w:rsidR="00D67CF7" w:rsidRDefault="00D67CF7" w:rsidP="00D67CF7">
                  <w:pPr>
                    <w:pStyle w:val="Box"/>
                  </w:pPr>
                </w:p>
              </w:tc>
              <w:tc>
                <w:tcPr>
                  <w:tcW w:w="1292" w:type="dxa"/>
                </w:tcPr>
                <w:p w:rsidR="00D67CF7" w:rsidRPr="00FD30EE" w:rsidRDefault="00D67CF7" w:rsidP="00D67CF7">
                  <w:pPr>
                    <w:pStyle w:val="Box"/>
                    <w:jc w:val="right"/>
                    <w:rPr>
                      <w:sz w:val="18"/>
                      <w:szCs w:val="18"/>
                    </w:rPr>
                  </w:pPr>
                  <w:r w:rsidRPr="00FD30EE">
                    <w:rPr>
                      <w:sz w:val="18"/>
                      <w:szCs w:val="18"/>
                    </w:rPr>
                    <w:t>Study only</w:t>
                  </w:r>
                </w:p>
              </w:tc>
              <w:tc>
                <w:tcPr>
                  <w:tcW w:w="1412" w:type="dxa"/>
                </w:tcPr>
                <w:p w:rsidR="00D67CF7" w:rsidRPr="00FD30EE" w:rsidRDefault="00D67CF7" w:rsidP="00D67CF7">
                  <w:pPr>
                    <w:pStyle w:val="Box"/>
                    <w:jc w:val="right"/>
                    <w:rPr>
                      <w:sz w:val="18"/>
                      <w:szCs w:val="18"/>
                    </w:rPr>
                  </w:pPr>
                  <w:r w:rsidRPr="00FD30EE">
                    <w:rPr>
                      <w:sz w:val="18"/>
                      <w:szCs w:val="18"/>
                    </w:rPr>
                    <w:t>Work &amp; study</w:t>
                  </w:r>
                </w:p>
              </w:tc>
              <w:tc>
                <w:tcPr>
                  <w:tcW w:w="1412" w:type="dxa"/>
                </w:tcPr>
                <w:p w:rsidR="00D67CF7" w:rsidRPr="00FD30EE" w:rsidRDefault="00D67CF7" w:rsidP="00D67CF7">
                  <w:pPr>
                    <w:pStyle w:val="Box"/>
                    <w:jc w:val="right"/>
                    <w:rPr>
                      <w:sz w:val="18"/>
                      <w:szCs w:val="18"/>
                    </w:rPr>
                  </w:pPr>
                  <w:r w:rsidRPr="00FD30EE">
                    <w:rPr>
                      <w:sz w:val="18"/>
                      <w:szCs w:val="18"/>
                    </w:rPr>
                    <w:t>Work only</w:t>
                  </w:r>
                </w:p>
              </w:tc>
              <w:tc>
                <w:tcPr>
                  <w:tcW w:w="1554" w:type="dxa"/>
                </w:tcPr>
                <w:p w:rsidR="00D67CF7" w:rsidRPr="00FD30EE" w:rsidRDefault="00D67CF7" w:rsidP="00D67CF7">
                  <w:pPr>
                    <w:pStyle w:val="Box"/>
                    <w:jc w:val="right"/>
                    <w:rPr>
                      <w:sz w:val="18"/>
                      <w:szCs w:val="18"/>
                    </w:rPr>
                  </w:pPr>
                  <w:r w:rsidRPr="00FD30EE">
                    <w:rPr>
                      <w:sz w:val="18"/>
                      <w:szCs w:val="18"/>
                    </w:rPr>
                    <w:t>Unemployment</w:t>
                  </w:r>
                </w:p>
              </w:tc>
              <w:tc>
                <w:tcPr>
                  <w:tcW w:w="1270" w:type="dxa"/>
                </w:tcPr>
                <w:p w:rsidR="00D67CF7" w:rsidRPr="00FD30EE" w:rsidRDefault="00D67CF7" w:rsidP="00D67CF7">
                  <w:pPr>
                    <w:pStyle w:val="Box"/>
                    <w:jc w:val="right"/>
                    <w:rPr>
                      <w:sz w:val="18"/>
                      <w:szCs w:val="18"/>
                    </w:rPr>
                  </w:pPr>
                  <w:proofErr w:type="spellStart"/>
                  <w:r w:rsidRPr="00FD30EE">
                    <w:rPr>
                      <w:sz w:val="18"/>
                      <w:szCs w:val="18"/>
                    </w:rPr>
                    <w:t>NILF</w:t>
                  </w:r>
                  <w:proofErr w:type="spellEnd"/>
                </w:p>
              </w:tc>
            </w:tr>
            <w:tr w:rsidR="00D67CF7" w:rsidTr="00701290">
              <w:tc>
                <w:tcPr>
                  <w:tcW w:w="1532" w:type="dxa"/>
                </w:tcPr>
                <w:p w:rsidR="00D67CF7" w:rsidRDefault="00D67CF7" w:rsidP="00D67CF7">
                  <w:pPr>
                    <w:pStyle w:val="Box"/>
                  </w:pPr>
                  <w:r w:rsidRPr="00FD30EE">
                    <w:rPr>
                      <w:sz w:val="18"/>
                      <w:szCs w:val="18"/>
                    </w:rPr>
                    <w:t>Study only</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1.98942</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1.99820</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1.99769</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1.99759</w:t>
                  </w:r>
                </w:p>
              </w:tc>
            </w:tr>
            <w:tr w:rsidR="00D67CF7" w:rsidTr="00701290">
              <w:tc>
                <w:tcPr>
                  <w:tcW w:w="1532" w:type="dxa"/>
                </w:tcPr>
                <w:p w:rsidR="00D67CF7" w:rsidRDefault="00D67CF7" w:rsidP="00D67CF7">
                  <w:pPr>
                    <w:pStyle w:val="Box"/>
                  </w:pPr>
                  <w:r w:rsidRPr="00FD30EE">
                    <w:rPr>
                      <w:sz w:val="18"/>
                      <w:szCs w:val="18"/>
                    </w:rPr>
                    <w:t>Work &amp; study</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1.98942</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1.98142</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1.99954</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1.99964</w:t>
                  </w:r>
                </w:p>
              </w:tc>
            </w:tr>
            <w:tr w:rsidR="00D67CF7" w:rsidTr="00701290">
              <w:tc>
                <w:tcPr>
                  <w:tcW w:w="1532" w:type="dxa"/>
                </w:tcPr>
                <w:p w:rsidR="00D67CF7" w:rsidRDefault="00D67CF7" w:rsidP="00D67CF7">
                  <w:pPr>
                    <w:pStyle w:val="Box"/>
                  </w:pPr>
                  <w:r w:rsidRPr="00FD30EE">
                    <w:rPr>
                      <w:sz w:val="18"/>
                      <w:szCs w:val="18"/>
                    </w:rPr>
                    <w:t>Work only</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1.99820</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1.98142</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1.98981</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1.99203</w:t>
                  </w:r>
                </w:p>
              </w:tc>
            </w:tr>
            <w:tr w:rsidR="00D67CF7" w:rsidTr="00701290">
              <w:tc>
                <w:tcPr>
                  <w:tcW w:w="1532" w:type="dxa"/>
                </w:tcPr>
                <w:p w:rsidR="00D67CF7" w:rsidRDefault="00D67CF7" w:rsidP="00D67CF7">
                  <w:pPr>
                    <w:pStyle w:val="Box"/>
                  </w:pPr>
                  <w:r w:rsidRPr="00FD30EE">
                    <w:rPr>
                      <w:sz w:val="18"/>
                      <w:szCs w:val="18"/>
                    </w:rPr>
                    <w:t>Unemployment</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1.99769</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1.99954</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1.98981</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1.99761</w:t>
                  </w:r>
                </w:p>
              </w:tc>
            </w:tr>
            <w:tr w:rsidR="00D67CF7" w:rsidTr="00701290">
              <w:tc>
                <w:tcPr>
                  <w:tcW w:w="1532" w:type="dxa"/>
                </w:tcPr>
                <w:p w:rsidR="00D67CF7" w:rsidRDefault="00D67CF7" w:rsidP="00D67CF7">
                  <w:pPr>
                    <w:pStyle w:val="Box"/>
                  </w:pPr>
                  <w:proofErr w:type="spellStart"/>
                  <w:r w:rsidRPr="00FD30EE">
                    <w:rPr>
                      <w:sz w:val="18"/>
                      <w:szCs w:val="18"/>
                    </w:rPr>
                    <w:t>NILF</w:t>
                  </w:r>
                  <w:proofErr w:type="spellEnd"/>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1.99759</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1.99964</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1.99203</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1.99761</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r>
          </w:tbl>
          <w:p w:rsidR="00D67CF7" w:rsidRDefault="00D67CF7" w:rsidP="00D67CF7">
            <w:pPr>
              <w:pStyle w:val="Box"/>
            </w:pPr>
            <w:r>
              <w:t>Table</w:t>
            </w:r>
            <w:r w:rsidR="00F74690">
              <w:t> </w:t>
            </w:r>
            <w:r>
              <w:t>2: Seniors</w:t>
            </w:r>
          </w:p>
          <w:tbl>
            <w:tblPr>
              <w:tblStyle w:val="TableGrid"/>
              <w:tblW w:w="0" w:type="auto"/>
              <w:tblLayout w:type="fixed"/>
              <w:tblLook w:val="04A0" w:firstRow="1" w:lastRow="0" w:firstColumn="1" w:lastColumn="0" w:noHBand="0" w:noVBand="1"/>
            </w:tblPr>
            <w:tblGrid>
              <w:gridCol w:w="1532"/>
              <w:gridCol w:w="1292"/>
              <w:gridCol w:w="1412"/>
              <w:gridCol w:w="1412"/>
              <w:gridCol w:w="1554"/>
              <w:gridCol w:w="1270"/>
            </w:tblGrid>
            <w:tr w:rsidR="00D67CF7" w:rsidTr="00701290">
              <w:trPr>
                <w:tblHeader/>
              </w:trPr>
              <w:tc>
                <w:tcPr>
                  <w:tcW w:w="1532" w:type="dxa"/>
                </w:tcPr>
                <w:p w:rsidR="00D67CF7" w:rsidRDefault="00D67CF7" w:rsidP="00D67CF7">
                  <w:pPr>
                    <w:pStyle w:val="Box"/>
                  </w:pPr>
                </w:p>
              </w:tc>
              <w:tc>
                <w:tcPr>
                  <w:tcW w:w="1292" w:type="dxa"/>
                </w:tcPr>
                <w:p w:rsidR="00D67CF7" w:rsidRPr="00FD30EE" w:rsidRDefault="00D67CF7" w:rsidP="00D67CF7">
                  <w:pPr>
                    <w:pStyle w:val="Box"/>
                    <w:jc w:val="right"/>
                    <w:rPr>
                      <w:sz w:val="18"/>
                      <w:szCs w:val="18"/>
                    </w:rPr>
                  </w:pPr>
                  <w:r w:rsidRPr="00FD30EE">
                    <w:rPr>
                      <w:sz w:val="18"/>
                      <w:szCs w:val="18"/>
                    </w:rPr>
                    <w:t>Study only</w:t>
                  </w:r>
                </w:p>
              </w:tc>
              <w:tc>
                <w:tcPr>
                  <w:tcW w:w="1412" w:type="dxa"/>
                </w:tcPr>
                <w:p w:rsidR="00D67CF7" w:rsidRPr="00FD30EE" w:rsidRDefault="00D67CF7" w:rsidP="00D67CF7">
                  <w:pPr>
                    <w:pStyle w:val="Box"/>
                    <w:jc w:val="right"/>
                    <w:rPr>
                      <w:sz w:val="18"/>
                      <w:szCs w:val="18"/>
                    </w:rPr>
                  </w:pPr>
                  <w:r w:rsidRPr="00FD30EE">
                    <w:rPr>
                      <w:sz w:val="18"/>
                      <w:szCs w:val="18"/>
                    </w:rPr>
                    <w:t>Work &amp; study</w:t>
                  </w:r>
                </w:p>
              </w:tc>
              <w:tc>
                <w:tcPr>
                  <w:tcW w:w="1412" w:type="dxa"/>
                </w:tcPr>
                <w:p w:rsidR="00D67CF7" w:rsidRPr="00FD30EE" w:rsidRDefault="00D67CF7" w:rsidP="00D67CF7">
                  <w:pPr>
                    <w:pStyle w:val="Box"/>
                    <w:jc w:val="right"/>
                    <w:rPr>
                      <w:sz w:val="18"/>
                      <w:szCs w:val="18"/>
                    </w:rPr>
                  </w:pPr>
                  <w:r w:rsidRPr="00FD30EE">
                    <w:rPr>
                      <w:sz w:val="18"/>
                      <w:szCs w:val="18"/>
                    </w:rPr>
                    <w:t>Work only</w:t>
                  </w:r>
                </w:p>
              </w:tc>
              <w:tc>
                <w:tcPr>
                  <w:tcW w:w="1554" w:type="dxa"/>
                </w:tcPr>
                <w:p w:rsidR="00D67CF7" w:rsidRPr="00FD30EE" w:rsidRDefault="00D67CF7" w:rsidP="00D67CF7">
                  <w:pPr>
                    <w:pStyle w:val="Box"/>
                    <w:jc w:val="right"/>
                    <w:rPr>
                      <w:sz w:val="18"/>
                      <w:szCs w:val="18"/>
                    </w:rPr>
                  </w:pPr>
                  <w:r w:rsidRPr="00FD30EE">
                    <w:rPr>
                      <w:sz w:val="18"/>
                      <w:szCs w:val="18"/>
                    </w:rPr>
                    <w:t>Unemployment</w:t>
                  </w:r>
                </w:p>
              </w:tc>
              <w:tc>
                <w:tcPr>
                  <w:tcW w:w="1270" w:type="dxa"/>
                </w:tcPr>
                <w:p w:rsidR="00D67CF7" w:rsidRPr="00FD30EE" w:rsidRDefault="00D67CF7" w:rsidP="00D67CF7">
                  <w:pPr>
                    <w:pStyle w:val="Box"/>
                    <w:jc w:val="right"/>
                    <w:rPr>
                      <w:sz w:val="18"/>
                      <w:szCs w:val="18"/>
                    </w:rPr>
                  </w:pPr>
                  <w:proofErr w:type="spellStart"/>
                  <w:r w:rsidRPr="00FD30EE">
                    <w:rPr>
                      <w:sz w:val="18"/>
                      <w:szCs w:val="18"/>
                    </w:rPr>
                    <w:t>NILF</w:t>
                  </w:r>
                  <w:proofErr w:type="spellEnd"/>
                </w:p>
              </w:tc>
            </w:tr>
            <w:tr w:rsidR="00D67CF7" w:rsidTr="00701290">
              <w:tc>
                <w:tcPr>
                  <w:tcW w:w="1532" w:type="dxa"/>
                </w:tcPr>
                <w:p w:rsidR="00D67CF7" w:rsidRDefault="00D67CF7" w:rsidP="00D67CF7">
                  <w:pPr>
                    <w:pStyle w:val="Box"/>
                  </w:pPr>
                  <w:r w:rsidRPr="00FD30EE">
                    <w:rPr>
                      <w:sz w:val="18"/>
                      <w:szCs w:val="18"/>
                    </w:rPr>
                    <w:t>Study only</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1.99981</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1.99995</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1.99975</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1.99890</w:t>
                  </w:r>
                </w:p>
              </w:tc>
            </w:tr>
            <w:tr w:rsidR="00D67CF7" w:rsidTr="00701290">
              <w:tc>
                <w:tcPr>
                  <w:tcW w:w="1532" w:type="dxa"/>
                </w:tcPr>
                <w:p w:rsidR="00D67CF7" w:rsidRDefault="00D67CF7" w:rsidP="00D67CF7">
                  <w:pPr>
                    <w:pStyle w:val="Box"/>
                  </w:pPr>
                  <w:r w:rsidRPr="00FD30EE">
                    <w:rPr>
                      <w:sz w:val="18"/>
                      <w:szCs w:val="18"/>
                    </w:rPr>
                    <w:t>Work &amp; study</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1.99981</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1.99793</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1.99998</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1.99994</w:t>
                  </w:r>
                </w:p>
              </w:tc>
            </w:tr>
            <w:tr w:rsidR="00D67CF7" w:rsidTr="00701290">
              <w:tc>
                <w:tcPr>
                  <w:tcW w:w="1532" w:type="dxa"/>
                </w:tcPr>
                <w:p w:rsidR="00D67CF7" w:rsidRDefault="00D67CF7" w:rsidP="00D67CF7">
                  <w:pPr>
                    <w:pStyle w:val="Box"/>
                  </w:pPr>
                  <w:r w:rsidRPr="00FD30EE">
                    <w:rPr>
                      <w:sz w:val="18"/>
                      <w:szCs w:val="18"/>
                    </w:rPr>
                    <w:t>Work only</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1.99995</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1.99793</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1.99823</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1.98896</w:t>
                  </w:r>
                </w:p>
              </w:tc>
            </w:tr>
            <w:tr w:rsidR="00D67CF7" w:rsidTr="00701290">
              <w:tc>
                <w:tcPr>
                  <w:tcW w:w="1532" w:type="dxa"/>
                </w:tcPr>
                <w:p w:rsidR="00D67CF7" w:rsidRDefault="00D67CF7" w:rsidP="00D67CF7">
                  <w:pPr>
                    <w:pStyle w:val="Box"/>
                  </w:pPr>
                  <w:r w:rsidRPr="00FD30EE">
                    <w:rPr>
                      <w:sz w:val="18"/>
                      <w:szCs w:val="18"/>
                    </w:rPr>
                    <w:t>Unemployment</w:t>
                  </w:r>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1.99975</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1.99998</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1.99823</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1.99871</w:t>
                  </w:r>
                </w:p>
              </w:tc>
            </w:tr>
            <w:tr w:rsidR="00D67CF7" w:rsidTr="00701290">
              <w:tc>
                <w:tcPr>
                  <w:tcW w:w="1532" w:type="dxa"/>
                </w:tcPr>
                <w:p w:rsidR="00D67CF7" w:rsidRDefault="00D67CF7" w:rsidP="00D67CF7">
                  <w:pPr>
                    <w:pStyle w:val="Box"/>
                  </w:pPr>
                  <w:proofErr w:type="spellStart"/>
                  <w:r w:rsidRPr="00FD30EE">
                    <w:rPr>
                      <w:sz w:val="18"/>
                      <w:szCs w:val="18"/>
                    </w:rPr>
                    <w:t>NILF</w:t>
                  </w:r>
                  <w:proofErr w:type="spellEnd"/>
                </w:p>
              </w:tc>
              <w:tc>
                <w:tcPr>
                  <w:tcW w:w="129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1.99890</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1.99994</w:t>
                  </w:r>
                </w:p>
              </w:tc>
              <w:tc>
                <w:tcPr>
                  <w:tcW w:w="1412"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1.98896</w:t>
                  </w:r>
                </w:p>
              </w:tc>
              <w:tc>
                <w:tcPr>
                  <w:tcW w:w="1554"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1.99871</w:t>
                  </w:r>
                </w:p>
              </w:tc>
              <w:tc>
                <w:tcPr>
                  <w:tcW w:w="1270" w:type="dxa"/>
                  <w:vAlign w:val="bottom"/>
                </w:tcPr>
                <w:p w:rsidR="00D67CF7" w:rsidRPr="006A60C5" w:rsidRDefault="00D67CF7" w:rsidP="00D67CF7">
                  <w:pPr>
                    <w:jc w:val="right"/>
                    <w:rPr>
                      <w:rFonts w:ascii="Arial" w:hAnsi="Arial" w:cs="Arial"/>
                      <w:color w:val="000000"/>
                      <w:sz w:val="18"/>
                      <w:szCs w:val="18"/>
                    </w:rPr>
                  </w:pPr>
                  <w:r w:rsidRPr="006A60C5">
                    <w:rPr>
                      <w:rFonts w:ascii="Arial" w:hAnsi="Arial" w:cs="Arial"/>
                      <w:color w:val="000000"/>
                      <w:sz w:val="18"/>
                      <w:szCs w:val="18"/>
                    </w:rPr>
                    <w:t>0.00000</w:t>
                  </w:r>
                </w:p>
              </w:tc>
            </w:tr>
          </w:tbl>
          <w:p w:rsidR="00D67CF7" w:rsidRDefault="00D67CF7">
            <w:pPr>
              <w:pStyle w:val="Box"/>
            </w:pPr>
          </w:p>
        </w:tc>
      </w:tr>
      <w:tr w:rsidR="00D67CF7">
        <w:trPr>
          <w:cantSplit/>
        </w:trPr>
        <w:tc>
          <w:tcPr>
            <w:tcW w:w="8771" w:type="dxa"/>
            <w:tcBorders>
              <w:top w:val="nil"/>
              <w:left w:val="single" w:sz="6" w:space="0" w:color="auto"/>
              <w:bottom w:val="nil"/>
              <w:right w:val="single" w:sz="6" w:space="0" w:color="auto"/>
            </w:tcBorders>
          </w:tcPr>
          <w:p w:rsidR="00D67CF7" w:rsidRDefault="00D67CF7" w:rsidP="00C25205">
            <w:pPr>
              <w:pStyle w:val="BoxSource"/>
            </w:pPr>
            <w:r>
              <w:rPr>
                <w:i/>
              </w:rPr>
              <w:t>Source</w:t>
            </w:r>
            <w:r w:rsidRPr="00167F06">
              <w:t xml:space="preserve">: </w:t>
            </w:r>
            <w:r w:rsidR="00C25205">
              <w:t>Authors’</w:t>
            </w:r>
            <w:r>
              <w:t xml:space="preserve"> estimates based on HILDA </w:t>
            </w:r>
            <w:r w:rsidR="00B710CB">
              <w:t>waves 1–10</w:t>
            </w:r>
            <w:r>
              <w:t>.</w:t>
            </w:r>
          </w:p>
        </w:tc>
      </w:tr>
      <w:tr w:rsidR="00D67CF7">
        <w:trPr>
          <w:cantSplit/>
        </w:trPr>
        <w:tc>
          <w:tcPr>
            <w:tcW w:w="8771" w:type="dxa"/>
            <w:tcBorders>
              <w:top w:val="nil"/>
              <w:left w:val="single" w:sz="6" w:space="0" w:color="auto"/>
              <w:bottom w:val="single" w:sz="6" w:space="0" w:color="auto"/>
              <w:right w:val="single" w:sz="6" w:space="0" w:color="auto"/>
            </w:tcBorders>
          </w:tcPr>
          <w:p w:rsidR="00D67CF7" w:rsidRDefault="00D67CF7">
            <w:pPr>
              <w:pStyle w:val="Box"/>
              <w:spacing w:before="0" w:line="120" w:lineRule="exact"/>
            </w:pPr>
          </w:p>
        </w:tc>
      </w:tr>
      <w:tr w:rsidR="00D67CF7" w:rsidRPr="000863A5">
        <w:tc>
          <w:tcPr>
            <w:tcW w:w="8771" w:type="dxa"/>
            <w:tcBorders>
              <w:top w:val="nil"/>
              <w:left w:val="nil"/>
              <w:bottom w:val="nil"/>
              <w:right w:val="nil"/>
            </w:tcBorders>
          </w:tcPr>
          <w:p w:rsidR="00D67CF7" w:rsidRPr="00626D32" w:rsidRDefault="00D67CF7" w:rsidP="00D67CF7">
            <w:pPr>
              <w:pStyle w:val="BoxSpaceBelow"/>
            </w:pPr>
          </w:p>
        </w:tc>
      </w:tr>
    </w:tbl>
    <w:p w:rsidR="00D6114D" w:rsidRDefault="001B0388" w:rsidP="00120072">
      <w:pPr>
        <w:pStyle w:val="BodyText"/>
      </w:pPr>
      <w:r>
        <w:t xml:space="preserve">The substitution and </w:t>
      </w:r>
      <w:proofErr w:type="spellStart"/>
      <w:r>
        <w:t>indel</w:t>
      </w:r>
      <w:proofErr w:type="spellEnd"/>
      <w:r>
        <w:t xml:space="preserve"> costs used </w:t>
      </w:r>
      <w:r w:rsidR="00944AE6">
        <w:t xml:space="preserve">for this paper </w:t>
      </w:r>
      <w:r>
        <w:t xml:space="preserve">imply </w:t>
      </w:r>
      <w:r w:rsidR="00944AE6">
        <w:t xml:space="preserve">that greater importance is placed on the similarity of sections of sequences than the timing of activities. </w:t>
      </w:r>
      <w:r>
        <w:t xml:space="preserve">This is </w:t>
      </w:r>
      <w:r w:rsidR="003A671B">
        <w:t>reasonable</w:t>
      </w:r>
      <w:r>
        <w:t xml:space="preserve"> because </w:t>
      </w:r>
      <w:r w:rsidR="0045525E">
        <w:t xml:space="preserve">the age segments used in this analysis include people of different ages and, therefore, different stages of life. </w:t>
      </w:r>
      <w:r w:rsidR="00CD5DDC">
        <w:t>I</w:t>
      </w:r>
      <w:r w:rsidR="003706D1">
        <w:t>n contrast</w:t>
      </w:r>
      <w:r w:rsidR="00CD5DDC">
        <w:t xml:space="preserve">, </w:t>
      </w:r>
      <w:r w:rsidR="003706D1">
        <w:t xml:space="preserve">if </w:t>
      </w:r>
      <w:r w:rsidR="00CD5DDC">
        <w:t xml:space="preserve">a cohort of </w:t>
      </w:r>
      <w:r>
        <w:lastRenderedPageBreak/>
        <w:t>indiv</w:t>
      </w:r>
      <w:r w:rsidR="00D6114D">
        <w:t xml:space="preserve">iduals </w:t>
      </w:r>
      <w:r w:rsidR="003706D1">
        <w:t>of</w:t>
      </w:r>
      <w:r w:rsidR="00D6114D">
        <w:t xml:space="preserve"> the same age (as in the </w:t>
      </w:r>
      <w:r w:rsidR="00D6114D" w:rsidRPr="00271ADA">
        <w:rPr>
          <w:i/>
        </w:rPr>
        <w:t>Longitudinal Survey</w:t>
      </w:r>
      <w:r w:rsidR="00271ADA">
        <w:rPr>
          <w:i/>
        </w:rPr>
        <w:t>s</w:t>
      </w:r>
      <w:r w:rsidR="00D6114D" w:rsidRPr="00271ADA">
        <w:rPr>
          <w:i/>
        </w:rPr>
        <w:t xml:space="preserve"> of Australian Youth</w:t>
      </w:r>
      <w:r w:rsidR="00167B4F">
        <w:rPr>
          <w:i/>
        </w:rPr>
        <w:t xml:space="preserve"> </w:t>
      </w:r>
      <w:r w:rsidR="00167B4F">
        <w:t>(</w:t>
      </w:r>
      <w:proofErr w:type="spellStart"/>
      <w:r w:rsidR="00167B4F">
        <w:t>LSAY</w:t>
      </w:r>
      <w:proofErr w:type="spellEnd"/>
      <w:r w:rsidR="00167B4F">
        <w:t>)</w:t>
      </w:r>
      <w:r w:rsidR="00D6114D">
        <w:t>)</w:t>
      </w:r>
      <w:r w:rsidR="00CD5DDC">
        <w:t xml:space="preserve"> had been used, then </w:t>
      </w:r>
      <w:r w:rsidR="00360693">
        <w:t xml:space="preserve">they </w:t>
      </w:r>
      <w:r w:rsidR="00CD5DDC">
        <w:t xml:space="preserve">would </w:t>
      </w:r>
      <w:r w:rsidR="00360693">
        <w:t xml:space="preserve">be </w:t>
      </w:r>
      <w:r w:rsidR="003706D1">
        <w:t xml:space="preserve">likely </w:t>
      </w:r>
      <w:r w:rsidR="00CD5DDC">
        <w:t xml:space="preserve">to make transitions at similar times, and so in that </w:t>
      </w:r>
      <w:r w:rsidR="003706D1">
        <w:t xml:space="preserve">case, </w:t>
      </w:r>
      <w:r w:rsidR="00CD5DDC">
        <w:t xml:space="preserve">greater </w:t>
      </w:r>
      <w:r w:rsidR="00EA4DF3">
        <w:t>consideration</w:t>
      </w:r>
      <w:r w:rsidR="003706D1">
        <w:t xml:space="preserve"> w</w:t>
      </w:r>
      <w:r w:rsidR="00CD5DDC">
        <w:t xml:space="preserve">ould be given to the timing </w:t>
      </w:r>
      <w:r w:rsidR="00271ADA">
        <w:t>of activities.</w:t>
      </w:r>
    </w:p>
    <w:p w:rsidR="00D67CF7" w:rsidRPr="00B80760" w:rsidRDefault="007A5FEB" w:rsidP="00D67CF7">
      <w:pPr>
        <w:pStyle w:val="BodyText"/>
      </w:pPr>
      <w:r>
        <w:t xml:space="preserve">After setting substitution and </w:t>
      </w:r>
      <w:proofErr w:type="spellStart"/>
      <w:r>
        <w:t>indel</w:t>
      </w:r>
      <w:proofErr w:type="spellEnd"/>
      <w:r>
        <w:t xml:space="preserve"> costs, </w:t>
      </w:r>
      <w:r w:rsidR="0070347D">
        <w:t xml:space="preserve">for each pair of sequences </w:t>
      </w:r>
      <w:r>
        <w:t xml:space="preserve">the OM technique then determines the minimum total cost of </w:t>
      </w:r>
      <w:r w:rsidR="0070347D">
        <w:t>the</w:t>
      </w:r>
      <w:r>
        <w:t xml:space="preserve"> transformation</w:t>
      </w:r>
      <w:r w:rsidR="0070347D">
        <w:t>.</w:t>
      </w:r>
      <w:r>
        <w:t xml:space="preserve"> </w:t>
      </w:r>
      <w:r w:rsidR="0070347D">
        <w:t>That total cost is then</w:t>
      </w:r>
      <w:r>
        <w:t xml:space="preserve"> the ‘distance’ between those two sequences. </w:t>
      </w:r>
      <w:r w:rsidR="0070347D">
        <w:t xml:space="preserve">Pairs of very different sequences </w:t>
      </w:r>
      <w:r w:rsidR="0070347D" w:rsidRPr="00B80760">
        <w:t xml:space="preserve">have relatively larger distances </w:t>
      </w:r>
      <w:r w:rsidR="0070347D">
        <w:t xml:space="preserve">than pairs of similar sequences </w:t>
      </w:r>
      <w:r w:rsidR="0070347D" w:rsidRPr="00B80760">
        <w:t>(Corrales</w:t>
      </w:r>
      <w:r w:rsidR="0070347D">
        <w:noBreakHyphen/>
      </w:r>
      <w:proofErr w:type="spellStart"/>
      <w:r w:rsidR="0070347D" w:rsidRPr="00B80760">
        <w:t>Herrero</w:t>
      </w:r>
      <w:proofErr w:type="spellEnd"/>
      <w:r w:rsidR="0070347D" w:rsidRPr="00B80760">
        <w:t xml:space="preserve"> and </w:t>
      </w:r>
      <w:r w:rsidR="0070347D">
        <w:t>Rodríguez</w:t>
      </w:r>
      <w:r w:rsidR="0070347D">
        <w:noBreakHyphen/>
      </w:r>
      <w:r w:rsidR="0070347D" w:rsidRPr="00B80760">
        <w:t>Prado</w:t>
      </w:r>
      <w:r w:rsidR="0070347D">
        <w:t> </w:t>
      </w:r>
      <w:r w:rsidR="0070347D" w:rsidRPr="00B80760">
        <w:t xml:space="preserve">2012). These distances are </w:t>
      </w:r>
      <w:r w:rsidR="0070347D">
        <w:t>collected</w:t>
      </w:r>
      <w:r w:rsidR="00E451DA">
        <w:t xml:space="preserve"> into a</w:t>
      </w:r>
      <w:r w:rsidR="00D67CF7">
        <w:t xml:space="preserve"> matrix</w:t>
      </w:r>
      <w:r w:rsidR="003706D1">
        <w:t xml:space="preserve"> </w:t>
      </w:r>
      <w:r w:rsidR="0070347D">
        <w:t xml:space="preserve">and can be </w:t>
      </w:r>
      <w:r w:rsidR="00CD5DDC">
        <w:t xml:space="preserve">used </w:t>
      </w:r>
      <w:r w:rsidR="00D67CF7" w:rsidRPr="00B80760">
        <w:t>to</w:t>
      </w:r>
      <w:r w:rsidR="00856325">
        <w:t xml:space="preserve"> </w:t>
      </w:r>
      <w:r w:rsidR="00B0267C">
        <w:t>group</w:t>
      </w:r>
      <w:r w:rsidR="00D67CF7" w:rsidRPr="00B80760">
        <w:t xml:space="preserve"> similar sequences</w:t>
      </w:r>
      <w:r w:rsidR="00360693">
        <w:t xml:space="preserve"> together</w:t>
      </w:r>
      <w:r w:rsidR="0070347D">
        <w:t>.</w:t>
      </w:r>
    </w:p>
    <w:p w:rsidR="007C67F7" w:rsidRDefault="007F172C" w:rsidP="007C67F7">
      <w:pPr>
        <w:pStyle w:val="Heading2"/>
      </w:pPr>
      <w:bookmarkStart w:id="10" w:name="OLE_LINK9"/>
      <w:proofErr w:type="spellStart"/>
      <w:r>
        <w:t>B.</w:t>
      </w:r>
      <w:bookmarkEnd w:id="10"/>
      <w:r w:rsidR="00545088">
        <w:t>2</w:t>
      </w:r>
      <w:proofErr w:type="spellEnd"/>
      <w:r w:rsidR="007C67F7">
        <w:tab/>
        <w:t>Cluster analysis</w:t>
      </w:r>
    </w:p>
    <w:p w:rsidR="00650567" w:rsidRDefault="00D67CF7" w:rsidP="00D67CF7">
      <w:pPr>
        <w:pStyle w:val="BodyText"/>
      </w:pPr>
      <w:r>
        <w:t>Cluster analysis includes a variety of techniques that aim to identify groups in data. In the context of sequence analysis, cluster analysis identifies groups of individuals with similar activity sequences</w:t>
      </w:r>
      <w:r w:rsidR="000F3DB3">
        <w:t xml:space="preserve">, based on the distances </w:t>
      </w:r>
      <w:r w:rsidR="0070347D">
        <w:t>derived through</w:t>
      </w:r>
      <w:r w:rsidR="000F3DB3">
        <w:t xml:space="preserve"> OM</w:t>
      </w:r>
      <w:r w:rsidR="0070347D">
        <w:t>.</w:t>
      </w:r>
    </w:p>
    <w:p w:rsidR="000F3DB3" w:rsidRDefault="00D67CF7" w:rsidP="00D67CF7">
      <w:pPr>
        <w:pStyle w:val="BodyText"/>
      </w:pPr>
      <w:r>
        <w:t>In this paper, cluster analysis is hierarchical and agglomerative: it starts with all individuals in their own cluster</w:t>
      </w:r>
      <w:r w:rsidR="00B0267C">
        <w:t xml:space="preserve"> (or group)</w:t>
      </w:r>
      <w:r>
        <w:t xml:space="preserve"> and, in an iterative process, progressively combines the clusters until all individuals in the sample are in a single cluster.</w:t>
      </w:r>
      <w:r>
        <w:rPr>
          <w:rStyle w:val="FootnoteReference"/>
        </w:rPr>
        <w:footnoteReference w:id="7"/>
      </w:r>
      <w:r>
        <w:t xml:space="preserve"> Diagnostic information is then used to determine </w:t>
      </w:r>
      <w:r w:rsidR="000F3DB3">
        <w:t>the point in th</w:t>
      </w:r>
      <w:r w:rsidR="00EC4084">
        <w:t>is</w:t>
      </w:r>
      <w:r w:rsidR="000F3DB3">
        <w:t xml:space="preserve"> process at which </w:t>
      </w:r>
      <w:r>
        <w:t>the appropriate number of clusters</w:t>
      </w:r>
      <w:r w:rsidR="000F3DB3">
        <w:t xml:space="preserve"> </w:t>
      </w:r>
      <w:r w:rsidR="00360693">
        <w:t>is</w:t>
      </w:r>
      <w:r w:rsidR="000F3DB3">
        <w:t xml:space="preserve"> formed</w:t>
      </w:r>
      <w:r>
        <w:t xml:space="preserve">. </w:t>
      </w:r>
    </w:p>
    <w:p w:rsidR="000F3DB3" w:rsidRDefault="000F3DB3" w:rsidP="000F3DB3">
      <w:pPr>
        <w:pStyle w:val="Heading3"/>
      </w:pPr>
      <w:r>
        <w:t>The clustering process</w:t>
      </w:r>
    </w:p>
    <w:p w:rsidR="00D67CF7" w:rsidRDefault="00D67CF7" w:rsidP="00D67CF7">
      <w:pPr>
        <w:pStyle w:val="BodyText"/>
      </w:pPr>
      <w:r>
        <w:t xml:space="preserve">The distance calculated from OM </w:t>
      </w:r>
      <w:r w:rsidR="000976C0">
        <w:t>is the starting point</w:t>
      </w:r>
      <w:r>
        <w:t xml:space="preserve"> for the cluster analysis. In this analysis, the clustering method used is Ward’s method.</w:t>
      </w:r>
      <w:r>
        <w:rPr>
          <w:rStyle w:val="FootnoteReference"/>
        </w:rPr>
        <w:footnoteReference w:id="8"/>
      </w:r>
      <w:r>
        <w:t xml:space="preserve"> </w:t>
      </w:r>
    </w:p>
    <w:p w:rsidR="00D67CF7" w:rsidRDefault="00D67CF7" w:rsidP="00D67CF7">
      <w:pPr>
        <w:pStyle w:val="BodyText"/>
      </w:pPr>
      <w:r>
        <w:t>Ward’s method calculates the change in the Error Sum</w:t>
      </w:r>
      <w:r w:rsidR="0050167C">
        <w:noBreakHyphen/>
      </w:r>
      <w:r>
        <w:t>of</w:t>
      </w:r>
      <w:r w:rsidR="0050167C">
        <w:noBreakHyphen/>
      </w:r>
      <w:r>
        <w:t>Squares (</w:t>
      </w:r>
      <w:proofErr w:type="spellStart"/>
      <w:r>
        <w:t>ESS</w:t>
      </w:r>
      <w:proofErr w:type="spellEnd"/>
      <w:r>
        <w:t xml:space="preserve">) that would result from each pair of clusters being </w:t>
      </w:r>
      <w:r w:rsidR="00EC4084">
        <w:t>combined</w:t>
      </w:r>
      <w:r>
        <w:t xml:space="preserve">. The </w:t>
      </w:r>
      <w:proofErr w:type="spellStart"/>
      <w:r>
        <w:t>ESS</w:t>
      </w:r>
      <w:proofErr w:type="spellEnd"/>
      <w:r>
        <w:t xml:space="preserve"> is the sum of the squared distances of each individual </w:t>
      </w:r>
      <w:r w:rsidR="00B0267C">
        <w:t>sequence</w:t>
      </w:r>
      <w:r>
        <w:t xml:space="preserve"> to the centre of the cluster. The </w:t>
      </w:r>
      <w:proofErr w:type="spellStart"/>
      <w:r>
        <w:t>ESS</w:t>
      </w:r>
      <w:proofErr w:type="spellEnd"/>
      <w:r>
        <w:t xml:space="preserve"> is therefore a measure of homogeneity </w:t>
      </w:r>
      <w:r w:rsidR="00EC4084">
        <w:t>of</w:t>
      </w:r>
      <w:r>
        <w:t xml:space="preserve"> a cluster. Pairs of clusters are selected for joining according to the minimum increase in </w:t>
      </w:r>
      <w:proofErr w:type="spellStart"/>
      <w:r>
        <w:t>ESS</w:t>
      </w:r>
      <w:proofErr w:type="spellEnd"/>
      <w:r>
        <w:t>. This process is repeated until there is one cluster</w:t>
      </w:r>
      <w:r w:rsidR="00EC4084">
        <w:t>. D</w:t>
      </w:r>
      <w:r w:rsidR="000F3DB3">
        <w:t xml:space="preserve">iagnostic output can </w:t>
      </w:r>
      <w:r w:rsidR="003A6BA6">
        <w:t xml:space="preserve">then </w:t>
      </w:r>
      <w:r w:rsidR="000F3DB3">
        <w:t xml:space="preserve">be used to determine where in the </w:t>
      </w:r>
      <w:r w:rsidR="000F3DB3">
        <w:lastRenderedPageBreak/>
        <w:t>clustering process the appropriate number of clusters is formed (discussed below)</w:t>
      </w:r>
      <w:r>
        <w:t>. Ward’s measure is favoured because it</w:t>
      </w:r>
      <w:r w:rsidR="0084315B">
        <w:t xml:space="preserve"> is commonly used in the literature on labour market transitions and, </w:t>
      </w:r>
      <w:r>
        <w:t>according to Corrales</w:t>
      </w:r>
      <w:r>
        <w:noBreakHyphen/>
      </w:r>
      <w:proofErr w:type="spellStart"/>
      <w:r>
        <w:t>Herrero</w:t>
      </w:r>
      <w:proofErr w:type="spellEnd"/>
      <w:r>
        <w:t xml:space="preserve"> and </w:t>
      </w:r>
      <w:r w:rsidR="000001D8">
        <w:t>Rodríguez</w:t>
      </w:r>
      <w:r>
        <w:noBreakHyphen/>
        <w:t>Prado (2012, p. 3783), i</w:t>
      </w:r>
      <w:r w:rsidR="00360693">
        <w:t>t</w:t>
      </w:r>
      <w:r>
        <w:t xml:space="preserve"> </w:t>
      </w:r>
      <w:r w:rsidR="0084315B">
        <w:t xml:space="preserve">results in </w:t>
      </w:r>
      <w:r>
        <w:t xml:space="preserve">the ‘most homogeneous clusters’. </w:t>
      </w:r>
    </w:p>
    <w:p w:rsidR="00AA6F32" w:rsidRDefault="00AA6F32" w:rsidP="00B36BF2">
      <w:pPr>
        <w:pStyle w:val="BodyText"/>
      </w:pPr>
      <w:r>
        <w:t xml:space="preserve">The progressive clustering process is shown in a tree diagram called a </w:t>
      </w:r>
      <w:proofErr w:type="spellStart"/>
      <w:r>
        <w:t>dendrogram</w:t>
      </w:r>
      <w:proofErr w:type="spellEnd"/>
      <w:r w:rsidR="00360693">
        <w:t xml:space="preserve"> (box </w:t>
      </w:r>
      <w:proofErr w:type="spellStart"/>
      <w:r w:rsidR="007F172C">
        <w:t>B.5</w:t>
      </w:r>
      <w:proofErr w:type="spellEnd"/>
      <w:r w:rsidR="00360693">
        <w:t>)</w:t>
      </w:r>
      <w:r>
        <w:t>. The joining together of two clusters is shown</w:t>
      </w:r>
      <w:r w:rsidR="003A6BA6">
        <w:t xml:space="preserve"> by a horizontal line, with a measure related to distance </w:t>
      </w:r>
      <w:r>
        <w:t xml:space="preserve">between clusters shown on the vertical scale. The </w:t>
      </w:r>
      <w:proofErr w:type="spellStart"/>
      <w:r>
        <w:t>dendrogram</w:t>
      </w:r>
      <w:proofErr w:type="spellEnd"/>
      <w:r>
        <w:t xml:space="preserve"> is used to decide how many clusters there should be</w:t>
      </w:r>
      <w:r w:rsidR="00B0267C">
        <w:t>,</w:t>
      </w:r>
      <w:r w:rsidR="00EC4084">
        <w:t xml:space="preserve"> </w:t>
      </w:r>
      <w:r w:rsidR="00B0267C">
        <w:t xml:space="preserve">which </w:t>
      </w:r>
      <w:r>
        <w:t xml:space="preserve">is a </w:t>
      </w:r>
      <w:r w:rsidR="00EC4084">
        <w:t xml:space="preserve">matter of </w:t>
      </w:r>
      <w:r w:rsidR="00EA4DF3">
        <w:t>judgment</w:t>
      </w:r>
      <w:r w:rsidR="00360693">
        <w:t>.</w:t>
      </w:r>
    </w:p>
    <w:p w:rsidR="00AA6F32" w:rsidRDefault="00AA6F32">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AA6F32">
        <w:tc>
          <w:tcPr>
            <w:tcW w:w="8771" w:type="dxa"/>
            <w:tcBorders>
              <w:top w:val="single" w:sz="6" w:space="0" w:color="auto"/>
              <w:bottom w:val="nil"/>
            </w:tcBorders>
          </w:tcPr>
          <w:p w:rsidR="00AA6F32" w:rsidRDefault="00AA6F32" w:rsidP="00AA6F32">
            <w:pPr>
              <w:pStyle w:val="BoxTitle"/>
            </w:pPr>
            <w:r>
              <w:rPr>
                <w:b w:val="0"/>
              </w:rPr>
              <w:t xml:space="preserve">Box </w:t>
            </w:r>
            <w:bookmarkStart w:id="11" w:name="OLE_LINK4"/>
            <w:proofErr w:type="spellStart"/>
            <w:r w:rsidR="007F172C">
              <w:rPr>
                <w:b w:val="0"/>
              </w:rPr>
              <w:t>B.</w:t>
            </w:r>
            <w:r w:rsidR="004815E1">
              <w:rPr>
                <w:b w:val="0"/>
                <w:noProof/>
              </w:rPr>
              <w:t>5</w:t>
            </w:r>
            <w:bookmarkEnd w:id="11"/>
            <w:proofErr w:type="spellEnd"/>
            <w:r>
              <w:tab/>
              <w:t xml:space="preserve">Interpreting </w:t>
            </w:r>
            <w:proofErr w:type="spellStart"/>
            <w:r>
              <w:t>dendrograms</w:t>
            </w:r>
            <w:proofErr w:type="spellEnd"/>
          </w:p>
        </w:tc>
      </w:tr>
      <w:tr w:rsidR="00AA6F32">
        <w:trPr>
          <w:cantSplit/>
        </w:trPr>
        <w:tc>
          <w:tcPr>
            <w:tcW w:w="8771" w:type="dxa"/>
            <w:tcBorders>
              <w:top w:val="nil"/>
              <w:left w:val="single" w:sz="6" w:space="0" w:color="auto"/>
              <w:bottom w:val="nil"/>
              <w:right w:val="single" w:sz="6" w:space="0" w:color="auto"/>
            </w:tcBorders>
          </w:tcPr>
          <w:p w:rsidR="00EF5365" w:rsidRDefault="00AA6F32" w:rsidP="00EF5365">
            <w:pPr>
              <w:pStyle w:val="Box"/>
            </w:pPr>
            <w:r w:rsidRPr="00EF5365">
              <w:t xml:space="preserve">Consider </w:t>
            </w:r>
            <w:r w:rsidR="00DD5ED9" w:rsidRPr="00EF5365">
              <w:t>four</w:t>
            </w:r>
            <w:r w:rsidRPr="00EF5365">
              <w:t xml:space="preserve"> </w:t>
            </w:r>
            <w:r w:rsidR="00B0267C">
              <w:t>sequence</w:t>
            </w:r>
            <w:r w:rsidRPr="00EF5365">
              <w:t>s in addition to Jane and Clare from box</w:t>
            </w:r>
            <w:r w:rsidR="007877C4" w:rsidRPr="00EF5365">
              <w:t> </w:t>
            </w:r>
            <w:proofErr w:type="spellStart"/>
            <w:r w:rsidR="007F172C">
              <w:t>B.2</w:t>
            </w:r>
            <w:proofErr w:type="spellEnd"/>
            <w:r w:rsidRPr="00EF5365">
              <w:t xml:space="preserve">. OM calculated that the minimum distance between Jane and Clare is 2 (2 </w:t>
            </w:r>
            <w:proofErr w:type="spellStart"/>
            <w:r w:rsidRPr="00EF5365">
              <w:t>indels</w:t>
            </w:r>
            <w:proofErr w:type="spellEnd"/>
            <w:r w:rsidRPr="00EF5365">
              <w:t>). Patrick a</w:t>
            </w:r>
            <w:r w:rsidR="007D367B" w:rsidRPr="00EF5365">
              <w:t xml:space="preserve">nd Noel are also a distance of </w:t>
            </w:r>
            <w:r w:rsidR="00DD5ED9" w:rsidRPr="00EF5365">
              <w:t>2</w:t>
            </w:r>
            <w:r w:rsidRPr="00EF5365">
              <w:t xml:space="preserve"> apart (</w:t>
            </w:r>
            <w:r w:rsidR="007D367B" w:rsidRPr="00EF5365">
              <w:t>one</w:t>
            </w:r>
            <w:r w:rsidRPr="00EF5365">
              <w:t xml:space="preserve"> subs</w:t>
            </w:r>
            <w:r w:rsidR="007D367B" w:rsidRPr="00EF5365">
              <w:t>titution</w:t>
            </w:r>
            <w:r w:rsidRPr="00EF5365">
              <w:t xml:space="preserve">), but both are further than 2 away from Jane or Clare. Likewise, it would take 2 </w:t>
            </w:r>
            <w:proofErr w:type="spellStart"/>
            <w:r w:rsidRPr="00EF5365">
              <w:t>indels</w:t>
            </w:r>
            <w:proofErr w:type="spellEnd"/>
            <w:r w:rsidRPr="00EF5365">
              <w:t xml:space="preserve"> to align Luisa and Zoe’s </w:t>
            </w:r>
            <w:r w:rsidR="00B0267C">
              <w:t>sequence</w:t>
            </w:r>
            <w:r w:rsidRPr="00EF5365">
              <w:t xml:space="preserve">s, and neither </w:t>
            </w:r>
            <w:r w:rsidR="00360693">
              <w:t>is</w:t>
            </w:r>
            <w:r w:rsidRPr="00EF5365">
              <w:t xml:space="preserve"> closer </w:t>
            </w:r>
            <w:r w:rsidR="00360693">
              <w:t xml:space="preserve">than 2 </w:t>
            </w:r>
            <w:r w:rsidRPr="00EF5365">
              <w:t>to Jane, Clare, Patrick or Noel.</w:t>
            </w:r>
            <w:r w:rsidR="00360693">
              <w:t xml:space="preserve"> So Jane and Clare are closest to each other, </w:t>
            </w:r>
            <w:r w:rsidR="00DF42D9">
              <w:t xml:space="preserve">as are Patrick and Noel, </w:t>
            </w:r>
            <w:r w:rsidR="00360693">
              <w:t>and Luisa and Zoe</w:t>
            </w:r>
            <w:r w:rsidR="00C70F5B">
              <w:t>.</w:t>
            </w:r>
            <w:r w:rsidR="00360693">
              <w:t xml:space="preserve"> </w:t>
            </w:r>
          </w:p>
          <w:p w:rsidR="00AA6F32" w:rsidRDefault="00C43A25" w:rsidP="0021735A">
            <w:pPr>
              <w:pStyle w:val="Box"/>
            </w:pPr>
            <w:r>
              <w:tab/>
            </w:r>
            <w:r w:rsidR="006A60C5">
              <w:rPr>
                <w:noProof/>
              </w:rPr>
              <w:drawing>
                <wp:inline distT="0" distB="0" distL="0" distR="0" wp14:anchorId="4D08ECF7" wp14:editId="6A779EBD">
                  <wp:extent cx="4233600" cy="1598400"/>
                  <wp:effectExtent l="0" t="0" r="0" b="1905"/>
                  <wp:docPr id="8" name="Picture 8" descr="Five months of education and labour market activities for Jane, Clare, Patrick, Noel, Luisa and Z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3600" cy="1598400"/>
                          </a:xfrm>
                          <a:prstGeom prst="rect">
                            <a:avLst/>
                          </a:prstGeom>
                          <a:noFill/>
                          <a:ln>
                            <a:noFill/>
                          </a:ln>
                        </pic:spPr>
                      </pic:pic>
                    </a:graphicData>
                  </a:graphic>
                </wp:inline>
              </w:drawing>
            </w:r>
          </w:p>
        </w:tc>
      </w:tr>
      <w:tr w:rsidR="00AA6F32">
        <w:trPr>
          <w:cantSplit/>
        </w:trPr>
        <w:tc>
          <w:tcPr>
            <w:tcW w:w="8771" w:type="dxa"/>
            <w:tcBorders>
              <w:top w:val="nil"/>
              <w:left w:val="single" w:sz="6" w:space="0" w:color="auto"/>
              <w:bottom w:val="nil"/>
              <w:right w:val="single" w:sz="6" w:space="0" w:color="auto"/>
            </w:tcBorders>
          </w:tcPr>
          <w:p w:rsidR="00AA6F32" w:rsidRDefault="00AA6F32" w:rsidP="00AA6F32">
            <w:pPr>
              <w:pStyle w:val="Continued"/>
            </w:pPr>
            <w:r>
              <w:t>(Continued next page)</w:t>
            </w:r>
          </w:p>
        </w:tc>
      </w:tr>
      <w:tr w:rsidR="00AA6F32">
        <w:trPr>
          <w:cantSplit/>
        </w:trPr>
        <w:tc>
          <w:tcPr>
            <w:tcW w:w="8771" w:type="dxa"/>
            <w:tcBorders>
              <w:top w:val="nil"/>
              <w:left w:val="single" w:sz="6" w:space="0" w:color="auto"/>
              <w:bottom w:val="single" w:sz="6" w:space="0" w:color="auto"/>
              <w:right w:val="single" w:sz="6" w:space="0" w:color="auto"/>
            </w:tcBorders>
          </w:tcPr>
          <w:p w:rsidR="00AA6F32" w:rsidRDefault="00AA6F32">
            <w:pPr>
              <w:pStyle w:val="Box"/>
              <w:spacing w:before="0" w:line="120" w:lineRule="exact"/>
            </w:pPr>
          </w:p>
        </w:tc>
      </w:tr>
      <w:tr w:rsidR="00AA6F32" w:rsidRPr="000863A5">
        <w:tc>
          <w:tcPr>
            <w:tcW w:w="8771" w:type="dxa"/>
            <w:tcBorders>
              <w:top w:val="nil"/>
              <w:left w:val="nil"/>
              <w:bottom w:val="nil"/>
              <w:right w:val="nil"/>
            </w:tcBorders>
          </w:tcPr>
          <w:p w:rsidR="00AA6F32" w:rsidRPr="00285977" w:rsidRDefault="00AA6F32" w:rsidP="00022701">
            <w:pPr>
              <w:pStyle w:val="BoxSpaceBelow"/>
            </w:pPr>
          </w:p>
        </w:tc>
      </w:tr>
    </w:tbl>
    <w:p w:rsidR="00AA6F32" w:rsidRDefault="00AA6F32">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AA6F32">
        <w:tc>
          <w:tcPr>
            <w:tcW w:w="8771" w:type="dxa"/>
            <w:tcBorders>
              <w:top w:val="single" w:sz="6" w:space="0" w:color="auto"/>
              <w:bottom w:val="nil"/>
            </w:tcBorders>
          </w:tcPr>
          <w:p w:rsidR="00AA6F32" w:rsidRDefault="00AA6F32" w:rsidP="00B710CB">
            <w:pPr>
              <w:pStyle w:val="BoxTitle"/>
            </w:pPr>
            <w:r w:rsidRPr="00B710CB">
              <w:rPr>
                <w:b w:val="0"/>
              </w:rPr>
              <w:t xml:space="preserve">Box </w:t>
            </w:r>
            <w:bookmarkStart w:id="12" w:name="OLE_LINK8"/>
            <w:proofErr w:type="spellStart"/>
            <w:r w:rsidR="007F172C" w:rsidRPr="007F172C">
              <w:rPr>
                <w:b w:val="0"/>
              </w:rPr>
              <w:t>B.5</w:t>
            </w:r>
            <w:bookmarkEnd w:id="12"/>
            <w:proofErr w:type="spellEnd"/>
            <w:r>
              <w:tab/>
            </w:r>
            <w:r w:rsidRPr="00AA6F32">
              <w:rPr>
                <w:b w:val="0"/>
                <w:sz w:val="18"/>
                <w:szCs w:val="18"/>
              </w:rPr>
              <w:t>(continued)</w:t>
            </w:r>
          </w:p>
        </w:tc>
      </w:tr>
      <w:tr w:rsidR="00AA6F32">
        <w:trPr>
          <w:cantSplit/>
        </w:trPr>
        <w:tc>
          <w:tcPr>
            <w:tcW w:w="8771" w:type="dxa"/>
            <w:tcBorders>
              <w:top w:val="nil"/>
              <w:left w:val="single" w:sz="6" w:space="0" w:color="auto"/>
              <w:bottom w:val="nil"/>
              <w:right w:val="single" w:sz="6" w:space="0" w:color="auto"/>
            </w:tcBorders>
          </w:tcPr>
          <w:p w:rsidR="00EF5365" w:rsidRDefault="00EF5365" w:rsidP="00EF5365">
            <w:pPr>
              <w:pStyle w:val="Box"/>
            </w:pPr>
            <w:r>
              <w:t xml:space="preserve">The first stage of agglomerative clustering is where each individual is in their own cluster. This is shown along the horizontal axis in the </w:t>
            </w:r>
            <w:proofErr w:type="spellStart"/>
            <w:r>
              <w:t>dendrogram</w:t>
            </w:r>
            <w:proofErr w:type="spellEnd"/>
            <w:r>
              <w:t xml:space="preserve"> below. Along the vertical axis the distance between the clusters is shown, which at this stage is zero. In the </w:t>
            </w:r>
            <w:r w:rsidR="00C70F5B">
              <w:t>second stage</w:t>
            </w:r>
            <w:r w:rsidR="006048CD">
              <w:t>,</w:t>
            </w:r>
            <w:r>
              <w:t xml:space="preserve"> those individuals whose trajectories are the shortest distance apart are clustered together. At a distance of 2, Luisa and Zoe form the first cluster, Patrick and Noel the second, and Clare and Jane the third. </w:t>
            </w:r>
          </w:p>
          <w:p w:rsidR="00703740" w:rsidRPr="002F49D7" w:rsidRDefault="00703740" w:rsidP="002F49D7">
            <w:pPr>
              <w:pStyle w:val="Box"/>
            </w:pPr>
            <w:r>
              <w:rPr>
                <w:noProof/>
              </w:rPr>
              <w:drawing>
                <wp:inline distT="0" distB="0" distL="0" distR="0" wp14:anchorId="0A119ECB" wp14:editId="610574F6">
                  <wp:extent cx="4869712" cy="3117926"/>
                  <wp:effectExtent l="0" t="0" r="7620" b="6350"/>
                  <wp:docPr id="10" name="Picture 10" descr="Dendrogra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9965" cy="3118088"/>
                          </a:xfrm>
                          <a:prstGeom prst="rect">
                            <a:avLst/>
                          </a:prstGeom>
                          <a:noFill/>
                          <a:ln>
                            <a:noFill/>
                          </a:ln>
                        </pic:spPr>
                      </pic:pic>
                    </a:graphicData>
                  </a:graphic>
                </wp:inline>
              </w:drawing>
            </w:r>
          </w:p>
          <w:p w:rsidR="00EF5365" w:rsidRDefault="00EF5365" w:rsidP="00EF5365">
            <w:pPr>
              <w:pStyle w:val="Box"/>
            </w:pPr>
            <w:r>
              <w:t>The heterogeneity of each of the clusters is calculated using Ward’s method. The increase in within</w:t>
            </w:r>
            <w:r w:rsidR="0050167C">
              <w:noBreakHyphen/>
            </w:r>
            <w:r>
              <w:t xml:space="preserve">cluster variation that would result from joining the </w:t>
            </w:r>
            <w:r w:rsidR="00C70F5B">
              <w:t>third</w:t>
            </w:r>
            <w:r>
              <w:t xml:space="preserve"> cluster with either of the other clusters would be greater than the increase in variation resulting from </w:t>
            </w:r>
            <w:r w:rsidR="006048CD">
              <w:t xml:space="preserve">combining </w:t>
            </w:r>
            <w:r>
              <w:t xml:space="preserve">clusters </w:t>
            </w:r>
            <w:r w:rsidR="00C70F5B">
              <w:t>one</w:t>
            </w:r>
            <w:r>
              <w:t xml:space="preserve"> and </w:t>
            </w:r>
            <w:r w:rsidR="00C70F5B">
              <w:t>two</w:t>
            </w:r>
            <w:r>
              <w:t xml:space="preserve">. Therefore at the third round, there are just two clusters with Patrick, Noel, Luisa and Zoe in the first, and Jane and Clare in the second. In the final round the two clusters are joined to form </w:t>
            </w:r>
            <w:r w:rsidR="006048CD">
              <w:t>a</w:t>
            </w:r>
            <w:r>
              <w:t xml:space="preserve"> single cluster.</w:t>
            </w:r>
          </w:p>
          <w:p w:rsidR="00AA6F32" w:rsidRDefault="00AA6F32" w:rsidP="0021735A">
            <w:pPr>
              <w:pStyle w:val="Box"/>
              <w:rPr>
                <w:noProof/>
              </w:rPr>
            </w:pPr>
            <w:r>
              <w:rPr>
                <w:noProof/>
              </w:rPr>
              <w:t xml:space="preserve">Drawing a horizontal line at different distances can help determine the number of clusters in the data. The dendrogram shows that because the three pairs of </w:t>
            </w:r>
            <w:r w:rsidR="00B0267C">
              <w:t>sequences</w:t>
            </w:r>
            <w:r>
              <w:rPr>
                <w:noProof/>
              </w:rPr>
              <w:t xml:space="preserve"> are equally alike, and therefore join together at the same distance, there can be no more than </w:t>
            </w:r>
            <w:r w:rsidR="007D367B">
              <w:rPr>
                <w:noProof/>
              </w:rPr>
              <w:t>three</w:t>
            </w:r>
            <w:r>
              <w:rPr>
                <w:noProof/>
              </w:rPr>
              <w:t xml:space="preserve"> clusters. </w:t>
            </w:r>
            <w:r w:rsidR="007D367B">
              <w:rPr>
                <w:noProof/>
              </w:rPr>
              <w:t>One</w:t>
            </w:r>
            <w:r>
              <w:rPr>
                <w:noProof/>
              </w:rPr>
              <w:t xml:space="preserve"> cluster would have too much variation</w:t>
            </w:r>
            <w:r w:rsidR="0070347D">
              <w:rPr>
                <w:noProof/>
              </w:rPr>
              <w:t>,</w:t>
            </w:r>
            <w:r w:rsidR="00D20CCD">
              <w:rPr>
                <w:noProof/>
              </w:rPr>
              <w:t xml:space="preserve"> and no pattern</w:t>
            </w:r>
            <w:r>
              <w:rPr>
                <w:noProof/>
              </w:rPr>
              <w:t xml:space="preserve"> would be discernable. </w:t>
            </w:r>
            <w:r w:rsidR="00D20CCD">
              <w:rPr>
                <w:noProof/>
              </w:rPr>
              <w:t xml:space="preserve">The six cluster solution would not reduce the variability in the data. </w:t>
            </w:r>
            <w:r>
              <w:rPr>
                <w:noProof/>
              </w:rPr>
              <w:t xml:space="preserve">So the choice is between </w:t>
            </w:r>
            <w:r w:rsidR="007D367B">
              <w:rPr>
                <w:noProof/>
              </w:rPr>
              <w:t>two</w:t>
            </w:r>
            <w:r>
              <w:rPr>
                <w:noProof/>
              </w:rPr>
              <w:t xml:space="preserve"> and </w:t>
            </w:r>
            <w:r w:rsidR="007D367B">
              <w:rPr>
                <w:noProof/>
              </w:rPr>
              <w:t>three</w:t>
            </w:r>
            <w:r>
              <w:rPr>
                <w:noProof/>
              </w:rPr>
              <w:t xml:space="preserve"> clusters. </w:t>
            </w:r>
          </w:p>
          <w:p w:rsidR="002913D5" w:rsidRDefault="002913D5" w:rsidP="0021735A">
            <w:pPr>
              <w:pStyle w:val="Box"/>
              <w:rPr>
                <w:noProof/>
              </w:rPr>
            </w:pPr>
            <w:r>
              <w:rPr>
                <w:noProof/>
              </w:rPr>
              <w:t xml:space="preserve">A dashed line is drawn at a distance where there are three clusters in the data. This was done because the distance between the three and two cluster solutions, 2, is not much less than the distance between the two and one cluster solution. The three cluster solution is the first solution that is stable over a reasonable distance. </w:t>
            </w:r>
          </w:p>
        </w:tc>
      </w:tr>
      <w:tr w:rsidR="00AA6F32">
        <w:trPr>
          <w:cantSplit/>
        </w:trPr>
        <w:tc>
          <w:tcPr>
            <w:tcW w:w="8771" w:type="dxa"/>
            <w:tcBorders>
              <w:top w:val="nil"/>
              <w:left w:val="single" w:sz="6" w:space="0" w:color="auto"/>
              <w:bottom w:val="single" w:sz="6" w:space="0" w:color="auto"/>
              <w:right w:val="single" w:sz="6" w:space="0" w:color="auto"/>
            </w:tcBorders>
          </w:tcPr>
          <w:p w:rsidR="00AA6F32" w:rsidRDefault="00AA6F32">
            <w:pPr>
              <w:pStyle w:val="Box"/>
              <w:spacing w:before="0" w:line="120" w:lineRule="exact"/>
            </w:pPr>
          </w:p>
        </w:tc>
      </w:tr>
      <w:tr w:rsidR="00AA6F32" w:rsidRPr="000863A5">
        <w:tc>
          <w:tcPr>
            <w:tcW w:w="8771" w:type="dxa"/>
            <w:tcBorders>
              <w:top w:val="nil"/>
              <w:left w:val="nil"/>
              <w:bottom w:val="nil"/>
              <w:right w:val="nil"/>
            </w:tcBorders>
          </w:tcPr>
          <w:p w:rsidR="00AA6F32" w:rsidRPr="00626D32" w:rsidRDefault="00AA6F32" w:rsidP="00022701">
            <w:pPr>
              <w:pStyle w:val="BoxSpaceBelow"/>
            </w:pPr>
          </w:p>
        </w:tc>
      </w:tr>
    </w:tbl>
    <w:p w:rsidR="005B1277" w:rsidRDefault="005B1277" w:rsidP="005B1277">
      <w:pPr>
        <w:pStyle w:val="Heading3"/>
      </w:pPr>
      <w:r>
        <w:lastRenderedPageBreak/>
        <w:t>Determining the number of clusters</w:t>
      </w:r>
    </w:p>
    <w:p w:rsidR="005F4447" w:rsidRDefault="005B1277" w:rsidP="005B1277">
      <w:pPr>
        <w:pStyle w:val="BodyText"/>
      </w:pPr>
      <w:r>
        <w:t xml:space="preserve">There are several approaches to </w:t>
      </w:r>
      <w:r w:rsidR="00D20CCD">
        <w:t xml:space="preserve">identifying the number of </w:t>
      </w:r>
      <w:r>
        <w:t>clusters</w:t>
      </w:r>
      <w:r w:rsidR="00234B9C">
        <w:t>.</w:t>
      </w:r>
      <w:r w:rsidR="00C01A4F" w:rsidRPr="00C01A4F">
        <w:t xml:space="preserve"> </w:t>
      </w:r>
      <w:r w:rsidR="00C01A4F">
        <w:t>Most test statistics commonly used to validate cluster solutions cannot be applied to sequence data (</w:t>
      </w:r>
      <w:proofErr w:type="spellStart"/>
      <w:r w:rsidR="00C01A4F">
        <w:t>Brzinsky</w:t>
      </w:r>
      <w:proofErr w:type="spellEnd"/>
      <w:r w:rsidR="00C01A4F">
        <w:noBreakHyphen/>
        <w:t>Fay 2007).</w:t>
      </w:r>
      <w:r w:rsidR="00234B9C">
        <w:t xml:space="preserve"> </w:t>
      </w:r>
      <w:r w:rsidR="00C01A4F">
        <w:t>T</w:t>
      </w:r>
      <w:r w:rsidR="005F4447">
        <w:t xml:space="preserve">he </w:t>
      </w:r>
      <w:r w:rsidR="00234B9C">
        <w:t>possible number of clusters</w:t>
      </w:r>
      <w:r w:rsidR="00C01A4F">
        <w:t xml:space="preserve"> ranges </w:t>
      </w:r>
      <w:r w:rsidR="00BD699F">
        <w:t>between</w:t>
      </w:r>
      <w:r w:rsidR="00234B9C">
        <w:t xml:space="preserve"> one </w:t>
      </w:r>
      <w:r w:rsidR="00BD699F">
        <w:t>and</w:t>
      </w:r>
      <w:r w:rsidR="00C01A4F">
        <w:t xml:space="preserve"> </w:t>
      </w:r>
      <w:r>
        <w:t>the number of individuals</w:t>
      </w:r>
      <w:r w:rsidR="00F22277">
        <w:t xml:space="preserve"> included in the analysis</w:t>
      </w:r>
      <w:r w:rsidR="00234B9C">
        <w:t xml:space="preserve">. However, choosing </w:t>
      </w:r>
      <w:r w:rsidR="005F4447">
        <w:t xml:space="preserve">either </w:t>
      </w:r>
      <w:r w:rsidR="00234B9C">
        <w:t xml:space="preserve">the upper </w:t>
      </w:r>
      <w:r w:rsidR="00C01A4F">
        <w:t>limit</w:t>
      </w:r>
      <w:r w:rsidR="00234B9C">
        <w:t xml:space="preserve"> or the lower </w:t>
      </w:r>
      <w:r w:rsidR="00C01A4F">
        <w:t>limit</w:t>
      </w:r>
      <w:r w:rsidR="00234B9C">
        <w:t xml:space="preserve"> of this range w</w:t>
      </w:r>
      <w:r w:rsidR="00C01A4F">
        <w:t>ould</w:t>
      </w:r>
      <w:r w:rsidR="00234B9C">
        <w:t xml:space="preserve"> be of no benefit as it would not reduce any of the variation in the data. </w:t>
      </w:r>
    </w:p>
    <w:p w:rsidR="00622887" w:rsidRDefault="00234B9C" w:rsidP="005B1277">
      <w:pPr>
        <w:pStyle w:val="BodyText"/>
      </w:pPr>
      <w:r>
        <w:t xml:space="preserve">In deciding </w:t>
      </w:r>
      <w:r w:rsidR="00875C03">
        <w:t>the</w:t>
      </w:r>
      <w:r>
        <w:t xml:space="preserve"> number of clusters in between the upper and lower limit</w:t>
      </w:r>
      <w:r w:rsidR="00C01A4F">
        <w:t>s</w:t>
      </w:r>
      <w:r>
        <w:t>, a balance between the variation within</w:t>
      </w:r>
      <w:r w:rsidR="005F4447">
        <w:t>,</w:t>
      </w:r>
      <w:r>
        <w:t xml:space="preserve"> and the variation between</w:t>
      </w:r>
      <w:r w:rsidR="00875C03">
        <w:t>,</w:t>
      </w:r>
      <w:r>
        <w:t xml:space="preserve"> clusters needs to be struck. </w:t>
      </w:r>
      <w:r w:rsidR="00511F6D">
        <w:t>Having t</w:t>
      </w:r>
      <w:r w:rsidR="00F22277">
        <w:t>oo few</w:t>
      </w:r>
      <w:r w:rsidR="00511F6D">
        <w:t xml:space="preserve"> clusters</w:t>
      </w:r>
      <w:r w:rsidR="00F22277">
        <w:t xml:space="preserve"> risks </w:t>
      </w:r>
      <w:r w:rsidR="00D20CCD">
        <w:t>produc</w:t>
      </w:r>
      <w:r w:rsidR="00F22277">
        <w:t xml:space="preserve">ing </w:t>
      </w:r>
      <w:r w:rsidR="005B1277">
        <w:t>too much variation within the clusters</w:t>
      </w:r>
      <w:r w:rsidR="00D20CCD">
        <w:t>,</w:t>
      </w:r>
      <w:r w:rsidR="005B1277">
        <w:t xml:space="preserve"> making it difficult to identify what the sequences in a cluster have in common</w:t>
      </w:r>
      <w:r w:rsidR="00511F6D">
        <w:t xml:space="preserve">. </w:t>
      </w:r>
      <w:r w:rsidR="00875C03">
        <w:t>On</w:t>
      </w:r>
      <w:r w:rsidR="00511F6D">
        <w:t xml:space="preserve"> the other hand, having too </w:t>
      </w:r>
      <w:r w:rsidR="005B1277">
        <w:t xml:space="preserve">many clusters </w:t>
      </w:r>
      <w:r w:rsidR="00875C03">
        <w:t xml:space="preserve">makes </w:t>
      </w:r>
      <w:r w:rsidR="005B1277">
        <w:t xml:space="preserve">it difficult to identify what distinguishes sequences in one cluster from those in another. </w:t>
      </w:r>
    </w:p>
    <w:p w:rsidR="00D16586" w:rsidRDefault="00622887" w:rsidP="005B1277">
      <w:pPr>
        <w:pStyle w:val="BodyText"/>
      </w:pPr>
      <w:r>
        <w:t xml:space="preserve">It is the degree of subjectivity in determining the number of clusters in the data that is the most criticised aspect of cluster analysis. </w:t>
      </w:r>
      <w:r w:rsidR="00D16586">
        <w:t>The example in box </w:t>
      </w:r>
      <w:proofErr w:type="spellStart"/>
      <w:r w:rsidR="00D16586">
        <w:t>B.5</w:t>
      </w:r>
      <w:proofErr w:type="spellEnd"/>
      <w:r w:rsidR="00D16586">
        <w:t xml:space="preserve"> illustrates the subjectivity in choosing the number of clusters. Either two or three clusters are possible, but three clusters are chosen with the aid of the </w:t>
      </w:r>
      <w:proofErr w:type="spellStart"/>
      <w:r w:rsidR="00D16586">
        <w:t>dendrogram</w:t>
      </w:r>
      <w:proofErr w:type="spellEnd"/>
      <w:r w:rsidR="00D16586">
        <w:t xml:space="preserve">. </w:t>
      </w:r>
    </w:p>
    <w:p w:rsidR="00DD433D" w:rsidRDefault="00DD433D" w:rsidP="00DD433D">
      <w:pPr>
        <w:pStyle w:val="BodyText"/>
      </w:pPr>
      <w:r>
        <w:t xml:space="preserve">Some </w:t>
      </w:r>
      <w:proofErr w:type="spellStart"/>
      <w:r>
        <w:t>dendrograms</w:t>
      </w:r>
      <w:proofErr w:type="spellEnd"/>
      <w:r>
        <w:t xml:space="preserve"> are more difficult to interpret than others, making the number of clusters in the data less obvious to the researcher. </w:t>
      </w:r>
      <w:r w:rsidRPr="00DD433D">
        <w:t xml:space="preserve">Although not an issue in this analysis, the </w:t>
      </w:r>
      <w:proofErr w:type="spellStart"/>
      <w:r w:rsidRPr="00DD433D">
        <w:t>dendrogram</w:t>
      </w:r>
      <w:proofErr w:type="spellEnd"/>
      <w:r w:rsidRPr="00DD433D">
        <w:t xml:space="preserve"> may not show a distinct stage in the agglomerative process of clustering all individuals into one cluster where the cluster solution is </w:t>
      </w:r>
      <w:r w:rsidR="003A671B">
        <w:t>less likely to change with increasing distance</w:t>
      </w:r>
      <w:r w:rsidRPr="00DD433D">
        <w:t xml:space="preserve"> — the distances between clusters may appear to be very similar, without a large increase in distance at a particular stage.</w:t>
      </w:r>
      <w:r>
        <w:rPr>
          <w:rStyle w:val="FootnoteReference"/>
        </w:rPr>
        <w:footnoteReference w:id="9"/>
      </w:r>
    </w:p>
    <w:p w:rsidR="00DD433D" w:rsidRPr="00285977" w:rsidRDefault="00DD433D" w:rsidP="00C422FE">
      <w:pPr>
        <w:pStyle w:val="BodyText"/>
      </w:pPr>
      <w:r>
        <w:t>To reduce the degree of subjecti</w:t>
      </w:r>
      <w:r w:rsidR="00CD7962">
        <w:t>vity involved in the</w:t>
      </w:r>
      <w:r>
        <w:t xml:space="preserve"> analysis, the number of clusters was determined using a </w:t>
      </w:r>
      <w:proofErr w:type="spellStart"/>
      <w:r>
        <w:t>dendrogram</w:t>
      </w:r>
      <w:proofErr w:type="spellEnd"/>
      <w:r w:rsidR="00CD7962">
        <w:t xml:space="preserve"> in</w:t>
      </w:r>
      <w:r>
        <w:t xml:space="preserve"> combin</w:t>
      </w:r>
      <w:r w:rsidR="00CD7962">
        <w:t>ation</w:t>
      </w:r>
      <w:r>
        <w:t xml:space="preserve"> with </w:t>
      </w:r>
      <w:r w:rsidR="00C01A4F">
        <w:t xml:space="preserve">descriptive analysis of the clusters to examine their ‘plausibility’. </w:t>
      </w:r>
      <w:r w:rsidR="00B36BF2">
        <w:t>For youth</w:t>
      </w:r>
      <w:r w:rsidR="009E59F7">
        <w:t>s</w:t>
      </w:r>
      <w:r w:rsidR="00B36BF2">
        <w:t xml:space="preserve">, the </w:t>
      </w:r>
      <w:proofErr w:type="spellStart"/>
      <w:r w:rsidR="00B36BF2">
        <w:t>dendrogram</w:t>
      </w:r>
      <w:proofErr w:type="spellEnd"/>
      <w:r w:rsidR="00B36BF2">
        <w:t xml:space="preserve"> indicated </w:t>
      </w:r>
      <w:r w:rsidR="009E59F7">
        <w:t>five</w:t>
      </w:r>
      <w:r w:rsidR="00B36BF2">
        <w:t xml:space="preserve"> clusters. For each of the young adult, mature adult and senior age segments, the </w:t>
      </w:r>
      <w:proofErr w:type="spellStart"/>
      <w:r w:rsidR="00B36BF2">
        <w:t>dendrograms</w:t>
      </w:r>
      <w:proofErr w:type="spellEnd"/>
      <w:r w:rsidR="00B36BF2">
        <w:t xml:space="preserve"> suggested </w:t>
      </w:r>
      <w:r w:rsidR="009E59F7">
        <w:t>four</w:t>
      </w:r>
      <w:r w:rsidR="00B36BF2">
        <w:t xml:space="preserve"> clusters.</w:t>
      </w:r>
      <w:r w:rsidR="006B1E67">
        <w:t xml:space="preserve"> </w:t>
      </w:r>
      <w:r w:rsidR="00C01A4F">
        <w:t>These groups were found to be plausible for each age segment</w:t>
      </w:r>
      <w:r w:rsidR="00BD699F">
        <w:t>,</w:t>
      </w:r>
      <w:r w:rsidR="00C01A4F">
        <w:t xml:space="preserve"> and descriptive analysis </w:t>
      </w:r>
      <w:r w:rsidR="00875C03">
        <w:t xml:space="preserve">readily </w:t>
      </w:r>
      <w:r w:rsidR="00C01A4F">
        <w:t>provided a story for each cluster.</w:t>
      </w:r>
      <w:r>
        <w:t xml:space="preserve"> </w:t>
      </w:r>
    </w:p>
    <w:p w:rsidR="00C422FE" w:rsidRDefault="00BD699F" w:rsidP="00C422FE">
      <w:pPr>
        <w:pStyle w:val="Heading3"/>
      </w:pPr>
      <w:r>
        <w:lastRenderedPageBreak/>
        <w:t>L</w:t>
      </w:r>
      <w:r w:rsidR="00B36BF2">
        <w:t xml:space="preserve">abelling </w:t>
      </w:r>
      <w:r>
        <w:t xml:space="preserve">and describing </w:t>
      </w:r>
      <w:r w:rsidR="00B36BF2">
        <w:t>the clusters</w:t>
      </w:r>
    </w:p>
    <w:p w:rsidR="009E59F7" w:rsidRDefault="00B36BF2" w:rsidP="00C422FE">
      <w:pPr>
        <w:pStyle w:val="BodyText"/>
      </w:pPr>
      <w:r>
        <w:t>There are no set rules for label</w:t>
      </w:r>
      <w:r w:rsidR="00875C03">
        <w:t>ling</w:t>
      </w:r>
      <w:r>
        <w:t xml:space="preserve"> cluster</w:t>
      </w:r>
      <w:r w:rsidR="00875C03">
        <w:t>s</w:t>
      </w:r>
      <w:r>
        <w:t xml:space="preserve">. However, </w:t>
      </w:r>
      <w:r w:rsidR="00A26CC7">
        <w:t xml:space="preserve">clusters are often </w:t>
      </w:r>
      <w:r w:rsidR="00FD7948">
        <w:t xml:space="preserve">labelled in a descriptive way. </w:t>
      </w:r>
      <w:r w:rsidR="00117916">
        <w:t xml:space="preserve">In the education and labour market transitions </w:t>
      </w:r>
      <w:r w:rsidR="00BD699F">
        <w:t>literature</w:t>
      </w:r>
      <w:r w:rsidR="00117916">
        <w:t xml:space="preserve">, the term pathway (which picks up on the sequencing of activities) is used instead of cluster. </w:t>
      </w:r>
      <w:r w:rsidR="00767EC4">
        <w:t xml:space="preserve">A </w:t>
      </w:r>
      <w:r w:rsidR="00117916">
        <w:t xml:space="preserve">pathway </w:t>
      </w:r>
      <w:r w:rsidR="00FD7948">
        <w:t xml:space="preserve">label may </w:t>
      </w:r>
      <w:r w:rsidR="00117916">
        <w:t xml:space="preserve">then </w:t>
      </w:r>
      <w:r w:rsidR="00FD7948">
        <w:t>derive from a</w:t>
      </w:r>
      <w:r>
        <w:t xml:space="preserve"> commonly observed </w:t>
      </w:r>
      <w:r w:rsidR="00C01A4F">
        <w:t>pattern</w:t>
      </w:r>
      <w:r w:rsidR="00FD7948">
        <w:t xml:space="preserve"> of activities</w:t>
      </w:r>
      <w:r w:rsidR="009E59F7">
        <w:t xml:space="preserve"> (for example, the </w:t>
      </w:r>
      <w:proofErr w:type="spellStart"/>
      <w:r w:rsidR="004C357F" w:rsidRPr="005C74E2">
        <w:rPr>
          <w:i/>
        </w:rPr>
        <w:t>NILF</w:t>
      </w:r>
      <w:proofErr w:type="spellEnd"/>
      <w:r w:rsidR="009E59F7" w:rsidRPr="005C74E2">
        <w:rPr>
          <w:i/>
        </w:rPr>
        <w:t xml:space="preserve"> to </w:t>
      </w:r>
      <w:r w:rsidR="001034B4">
        <w:rPr>
          <w:i/>
        </w:rPr>
        <w:t>W</w:t>
      </w:r>
      <w:r w:rsidR="009E59F7" w:rsidRPr="005C74E2">
        <w:rPr>
          <w:i/>
        </w:rPr>
        <w:t>ork</w:t>
      </w:r>
      <w:r w:rsidR="009E59F7">
        <w:t xml:space="preserve"> pathway for you</w:t>
      </w:r>
      <w:r w:rsidR="004C357F">
        <w:t>ng adults</w:t>
      </w:r>
      <w:r w:rsidR="009E59F7">
        <w:t>)</w:t>
      </w:r>
      <w:r w:rsidR="00767EC4">
        <w:t>,</w:t>
      </w:r>
      <w:r>
        <w:t xml:space="preserve"> or </w:t>
      </w:r>
      <w:r w:rsidR="00767EC4">
        <w:t xml:space="preserve">it </w:t>
      </w:r>
      <w:r w:rsidR="00FD7948">
        <w:t>may relate</w:t>
      </w:r>
      <w:r>
        <w:t xml:space="preserve"> to the proportion of the time period spent in a particular activity or activities</w:t>
      </w:r>
      <w:r w:rsidR="009E59F7">
        <w:t xml:space="preserve"> (for example, the </w:t>
      </w:r>
      <w:proofErr w:type="spellStart"/>
      <w:r w:rsidR="009E59F7" w:rsidRPr="005C74E2">
        <w:rPr>
          <w:i/>
        </w:rPr>
        <w:t>NILF</w:t>
      </w:r>
      <w:proofErr w:type="spellEnd"/>
      <w:r w:rsidR="009E59F7">
        <w:t xml:space="preserve"> pathway for seniors and </w:t>
      </w:r>
      <w:r w:rsidR="007877C4">
        <w:t xml:space="preserve">the </w:t>
      </w:r>
      <w:r w:rsidR="001034B4" w:rsidRPr="001034B4">
        <w:rPr>
          <w:i/>
        </w:rPr>
        <w:t>P</w:t>
      </w:r>
      <w:r w:rsidR="009E59F7" w:rsidRPr="001034B4">
        <w:rPr>
          <w:i/>
        </w:rPr>
        <w:t xml:space="preserve">rolonged </w:t>
      </w:r>
      <w:proofErr w:type="spellStart"/>
      <w:r w:rsidR="009E59F7" w:rsidRPr="001034B4">
        <w:rPr>
          <w:i/>
        </w:rPr>
        <w:t>NILF</w:t>
      </w:r>
      <w:proofErr w:type="spellEnd"/>
      <w:r w:rsidR="009E59F7">
        <w:t xml:space="preserve"> pathways for the other age segments) (</w:t>
      </w:r>
      <w:r w:rsidR="00767EC4">
        <w:t>chapter</w:t>
      </w:r>
      <w:r w:rsidR="00F74690">
        <w:t> </w:t>
      </w:r>
      <w:r w:rsidR="00767EC4">
        <w:t>3</w:t>
      </w:r>
      <w:r w:rsidR="009E59F7">
        <w:t>).</w:t>
      </w:r>
      <w:r w:rsidR="003D63F1">
        <w:t xml:space="preserve"> The labels are essentially arbitrary.</w:t>
      </w:r>
    </w:p>
    <w:p w:rsidR="00BD699F" w:rsidRDefault="00117916" w:rsidP="00EC2879">
      <w:pPr>
        <w:pStyle w:val="BodyText"/>
      </w:pPr>
      <w:r>
        <w:t>S</w:t>
      </w:r>
      <w:r w:rsidR="00767EC4">
        <w:t xml:space="preserve">equence index plots are useful to see what </w:t>
      </w:r>
      <w:r w:rsidR="00C01A4F">
        <w:t>‘</w:t>
      </w:r>
      <w:r w:rsidR="00767EC4">
        <w:t>most</w:t>
      </w:r>
      <w:r w:rsidR="00C01A4F">
        <w:t>’</w:t>
      </w:r>
      <w:r w:rsidR="00767EC4">
        <w:t xml:space="preserve"> individuals in the </w:t>
      </w:r>
      <w:r>
        <w:t>pathway</w:t>
      </w:r>
      <w:r w:rsidR="00767EC4">
        <w:t xml:space="preserve"> do over time, and </w:t>
      </w:r>
      <w:r w:rsidR="003F7073">
        <w:t xml:space="preserve">if there is a </w:t>
      </w:r>
      <w:r w:rsidR="00875C03">
        <w:t>tendency</w:t>
      </w:r>
      <w:r w:rsidR="003F7073">
        <w:t xml:space="preserve"> for a particular activity to follow another</w:t>
      </w:r>
      <w:r w:rsidR="00875C03">
        <w:t xml:space="preserve"> activity (for example, a transition from working to </w:t>
      </w:r>
      <w:r w:rsidR="00E92EF9">
        <w:t>retirement</w:t>
      </w:r>
      <w:r w:rsidR="00875C03">
        <w:t xml:space="preserve"> by older workers)</w:t>
      </w:r>
      <w:r w:rsidR="003F7073">
        <w:t xml:space="preserve">. </w:t>
      </w:r>
      <w:r w:rsidR="00BD699F">
        <w:t xml:space="preserve">The chronograph is another plot </w:t>
      </w:r>
      <w:r w:rsidR="00905B7E">
        <w:t xml:space="preserve">that </w:t>
      </w:r>
      <w:r w:rsidR="003F7073">
        <w:t xml:space="preserve">is </w:t>
      </w:r>
      <w:r w:rsidR="00A26CC7">
        <w:t xml:space="preserve">useful to </w:t>
      </w:r>
      <w:r w:rsidR="003F7073">
        <w:t xml:space="preserve">see what the main </w:t>
      </w:r>
      <w:r w:rsidR="00A26CC7">
        <w:t>activit</w:t>
      </w:r>
      <w:r w:rsidR="003F7073">
        <w:t xml:space="preserve">ies </w:t>
      </w:r>
      <w:r w:rsidR="00875C03">
        <w:t>are</w:t>
      </w:r>
      <w:r w:rsidR="003F7073">
        <w:t xml:space="preserve"> at various point</w:t>
      </w:r>
      <w:r w:rsidR="00C01A4F">
        <w:t>s</w:t>
      </w:r>
      <w:r w:rsidR="003F7073">
        <w:t xml:space="preserve"> in time.</w:t>
      </w:r>
    </w:p>
    <w:p w:rsidR="00F2751A" w:rsidRPr="00285977" w:rsidRDefault="00905B7E" w:rsidP="00EC2879">
      <w:pPr>
        <w:pStyle w:val="BodyText"/>
      </w:pPr>
      <w:r>
        <w:t xml:space="preserve">Descriptive analysis is also valuable. </w:t>
      </w:r>
      <w:r w:rsidR="00875C03">
        <w:t>S</w:t>
      </w:r>
      <w:r w:rsidR="00B151D0">
        <w:t>pell incidence</w:t>
      </w:r>
      <w:r w:rsidR="00EC2879">
        <w:t xml:space="preserve"> and duration give </w:t>
      </w:r>
      <w:r w:rsidR="00875C03">
        <w:t>additional</w:t>
      </w:r>
      <w:r w:rsidR="00EC2879">
        <w:t xml:space="preserve"> information about what individuals are doing</w:t>
      </w:r>
      <w:r w:rsidR="00B151D0">
        <w:t>.</w:t>
      </w:r>
      <w:r w:rsidR="00EC2879">
        <w:t xml:space="preserve"> </w:t>
      </w:r>
      <w:r w:rsidR="00875C03">
        <w:t xml:space="preserve">Information on </w:t>
      </w:r>
      <w:r w:rsidR="00EC2879">
        <w:t xml:space="preserve">characteristics of individuals belonging to pathways </w:t>
      </w:r>
      <w:r w:rsidR="00D26803">
        <w:t>indicates</w:t>
      </w:r>
      <w:r w:rsidR="00C01A4F">
        <w:t xml:space="preserve"> what individuals have in common with each other </w:t>
      </w:r>
      <w:r w:rsidR="005809CC">
        <w:t>compared to</w:t>
      </w:r>
      <w:r w:rsidR="00C01A4F">
        <w:t xml:space="preserve"> individuals in other pathways</w:t>
      </w:r>
      <w:r w:rsidR="00B151D0">
        <w:t>.</w:t>
      </w:r>
    </w:p>
    <w:p w:rsidR="005C74E2" w:rsidRDefault="005809CC" w:rsidP="001A7C97">
      <w:pPr>
        <w:pStyle w:val="BodyText"/>
      </w:pPr>
      <w:r>
        <w:t>Th</w:t>
      </w:r>
      <w:r w:rsidR="005C74E2">
        <w:t>e plot</w:t>
      </w:r>
      <w:r w:rsidR="00905B7E">
        <w:t>s</w:t>
      </w:r>
      <w:r w:rsidR="005C74E2">
        <w:t xml:space="preserve"> and descriptive analysis will indicate </w:t>
      </w:r>
      <w:r>
        <w:t xml:space="preserve">whether </w:t>
      </w:r>
      <w:r w:rsidR="005C74E2">
        <w:t xml:space="preserve">there is a reasonable level of within cluster variation and </w:t>
      </w:r>
      <w:r>
        <w:t>whether</w:t>
      </w:r>
      <w:r w:rsidR="005C74E2">
        <w:t xml:space="preserve"> the pathways and their labels are meaningful (Corrales</w:t>
      </w:r>
      <w:r w:rsidR="005C74E2">
        <w:noBreakHyphen/>
      </w:r>
      <w:proofErr w:type="spellStart"/>
      <w:r w:rsidR="005C74E2">
        <w:t>Herrero</w:t>
      </w:r>
      <w:proofErr w:type="spellEnd"/>
      <w:r w:rsidR="005C74E2">
        <w:t xml:space="preserve"> and </w:t>
      </w:r>
      <w:r w:rsidR="000001D8">
        <w:t>Rodríguez</w:t>
      </w:r>
      <w:r w:rsidR="005C74E2">
        <w:noBreakHyphen/>
        <w:t>Prado 2012).</w:t>
      </w:r>
    </w:p>
    <w:p w:rsidR="00B940A3" w:rsidRPr="00285977" w:rsidRDefault="00B24854" w:rsidP="001A7C97">
      <w:pPr>
        <w:pStyle w:val="BodyText"/>
      </w:pPr>
      <w:r>
        <w:t xml:space="preserve">Descriptive </w:t>
      </w:r>
      <w:r w:rsidR="007877C4">
        <w:t xml:space="preserve">analysis </w:t>
      </w:r>
      <w:r>
        <w:t xml:space="preserve">of the pathways </w:t>
      </w:r>
      <w:r w:rsidR="007877C4">
        <w:t xml:space="preserve">may </w:t>
      </w:r>
      <w:r w:rsidR="00905B7E">
        <w:t xml:space="preserve">also </w:t>
      </w:r>
      <w:r w:rsidR="001A7C97">
        <w:t xml:space="preserve">lead to forming </w:t>
      </w:r>
      <w:r w:rsidR="00D26803">
        <w:t>a</w:t>
      </w:r>
      <w:r w:rsidR="001A7C97">
        <w:t xml:space="preserve"> hypothesis about which factors</w:t>
      </w:r>
      <w:r w:rsidR="00443C1A">
        <w:t xml:space="preserve"> are important for determining pathway</w:t>
      </w:r>
      <w:r w:rsidR="001A7C97">
        <w:t xml:space="preserve"> membership. These can be tested us</w:t>
      </w:r>
      <w:r w:rsidR="00226E16">
        <w:t>ing statistical models (box</w:t>
      </w:r>
      <w:r w:rsidR="00AE3A70">
        <w:t> </w:t>
      </w:r>
      <w:proofErr w:type="spellStart"/>
      <w:r w:rsidR="007F172C">
        <w:t>B.6</w:t>
      </w:r>
      <w:proofErr w:type="spellEnd"/>
      <w:r w:rsidR="00226E16">
        <w:t>).</w:t>
      </w:r>
      <w:r w:rsidR="00901D50">
        <w:t xml:space="preserve"> </w:t>
      </w:r>
      <w:r w:rsidR="00901D50" w:rsidRPr="00285977">
        <w:t xml:space="preserve">What this suggests is a complementary, rather than alternative, role for </w:t>
      </w:r>
      <w:proofErr w:type="spellStart"/>
      <w:r w:rsidR="00901D50" w:rsidRPr="00285977">
        <w:t>OMCA</w:t>
      </w:r>
      <w:proofErr w:type="spellEnd"/>
      <w:r w:rsidR="00901D50" w:rsidRPr="00285977">
        <w:t xml:space="preserve"> to more conventional statistical analysis. According to </w:t>
      </w:r>
      <w:proofErr w:type="spellStart"/>
      <w:r w:rsidR="00901D50" w:rsidRPr="00285977">
        <w:t>Halpin</w:t>
      </w:r>
      <w:proofErr w:type="spellEnd"/>
      <w:r w:rsidR="00901D50" w:rsidRPr="00285977">
        <w:t xml:space="preserve"> (2010, p. 367), sequence analysis ‘gives a holistic perspective’, providing context to econometric analysis.</w:t>
      </w:r>
    </w:p>
    <w:p w:rsidR="00401A16" w:rsidRDefault="00401A16">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30F52" w:rsidTr="007C67F7">
        <w:tc>
          <w:tcPr>
            <w:tcW w:w="8771" w:type="dxa"/>
            <w:tcBorders>
              <w:top w:val="single" w:sz="6" w:space="0" w:color="auto"/>
              <w:bottom w:val="nil"/>
            </w:tcBorders>
          </w:tcPr>
          <w:p w:rsidR="00F30F52" w:rsidRDefault="00401A16" w:rsidP="00E92EF9">
            <w:pPr>
              <w:pStyle w:val="BoxTitle"/>
            </w:pPr>
            <w:r w:rsidRPr="00901D50">
              <w:rPr>
                <w:b w:val="0"/>
              </w:rPr>
              <w:t xml:space="preserve">Box </w:t>
            </w:r>
            <w:bookmarkStart w:id="13" w:name="OLE_LINK7"/>
            <w:proofErr w:type="spellStart"/>
            <w:r w:rsidR="007F172C">
              <w:rPr>
                <w:b w:val="0"/>
              </w:rPr>
              <w:t>B.</w:t>
            </w:r>
            <w:r w:rsidR="004815E1">
              <w:rPr>
                <w:b w:val="0"/>
                <w:noProof/>
              </w:rPr>
              <w:t>6</w:t>
            </w:r>
            <w:bookmarkEnd w:id="13"/>
            <w:proofErr w:type="spellEnd"/>
            <w:r>
              <w:tab/>
            </w:r>
            <w:r w:rsidR="00E42277">
              <w:t xml:space="preserve">Further utilisation of </w:t>
            </w:r>
            <w:proofErr w:type="spellStart"/>
            <w:r w:rsidR="00E42277">
              <w:t>O</w:t>
            </w:r>
            <w:r w:rsidR="00E92EF9">
              <w:t>MC</w:t>
            </w:r>
            <w:r w:rsidR="00E42277">
              <w:t>A</w:t>
            </w:r>
            <w:proofErr w:type="spellEnd"/>
            <w:r w:rsidR="00E42277" w:rsidRPr="00F30F52">
              <w:t xml:space="preserve"> </w:t>
            </w:r>
            <w:r w:rsidR="00F30F52" w:rsidRPr="00F30F52">
              <w:t xml:space="preserve">results </w:t>
            </w:r>
          </w:p>
        </w:tc>
      </w:tr>
      <w:tr w:rsidR="00F30F52" w:rsidTr="007C67F7">
        <w:trPr>
          <w:cantSplit/>
        </w:trPr>
        <w:tc>
          <w:tcPr>
            <w:tcW w:w="8771" w:type="dxa"/>
            <w:tcBorders>
              <w:top w:val="nil"/>
              <w:left w:val="single" w:sz="6" w:space="0" w:color="auto"/>
              <w:bottom w:val="nil"/>
              <w:right w:val="single" w:sz="6" w:space="0" w:color="auto"/>
            </w:tcBorders>
          </w:tcPr>
          <w:p w:rsidR="00010976" w:rsidRDefault="00A133A8" w:rsidP="00401A16">
            <w:pPr>
              <w:pStyle w:val="Box"/>
            </w:pPr>
            <w:r>
              <w:t xml:space="preserve">The results of </w:t>
            </w:r>
            <w:proofErr w:type="spellStart"/>
            <w:r>
              <w:t>OM</w:t>
            </w:r>
            <w:r w:rsidR="00626093">
              <w:t>CA</w:t>
            </w:r>
            <w:proofErr w:type="spellEnd"/>
            <w:r>
              <w:t xml:space="preserve"> have been used in different ways in the literature on transitions. OM can be an input to </w:t>
            </w:r>
            <w:r w:rsidR="0048049F">
              <w:t xml:space="preserve">cluster or regression analysis. </w:t>
            </w:r>
            <w:r w:rsidR="00117916">
              <w:t>Pathway (c</w:t>
            </w:r>
            <w:r w:rsidR="00626093">
              <w:t>luster</w:t>
            </w:r>
            <w:r w:rsidR="00117916">
              <w:t>)</w:t>
            </w:r>
            <w:r w:rsidR="00626093">
              <w:t xml:space="preserve"> membership has </w:t>
            </w:r>
            <w:r w:rsidR="005809CC">
              <w:t xml:space="preserve">also </w:t>
            </w:r>
            <w:r w:rsidR="00626093">
              <w:t xml:space="preserve">been used in regression analysis. </w:t>
            </w:r>
            <w:r>
              <w:t xml:space="preserve">The results of OM(CA) have been used as either </w:t>
            </w:r>
            <w:r w:rsidR="004906A4">
              <w:t>an</w:t>
            </w:r>
            <w:r>
              <w:t xml:space="preserve"> explanatory variable, or more typically, as the dependent variable</w:t>
            </w:r>
            <w:r w:rsidR="00860EE9">
              <w:t xml:space="preserve"> in regressions</w:t>
            </w:r>
            <w:r>
              <w:t xml:space="preserve">. </w:t>
            </w:r>
          </w:p>
          <w:p w:rsidR="009A1361" w:rsidRDefault="00F30F52" w:rsidP="00401A16">
            <w:pPr>
              <w:pStyle w:val="Box"/>
            </w:pPr>
            <w:r>
              <w:t xml:space="preserve">For example, in Dorsett and </w:t>
            </w:r>
            <w:proofErr w:type="spellStart"/>
            <w:r>
              <w:t>Lucchino’s</w:t>
            </w:r>
            <w:proofErr w:type="spellEnd"/>
            <w:r>
              <w:t xml:space="preserve"> (2012) analysis of British youth transitions, </w:t>
            </w:r>
            <w:r w:rsidR="00117916">
              <w:t>pathway</w:t>
            </w:r>
            <w:r>
              <w:t xml:space="preserve"> membership was modelled </w:t>
            </w:r>
            <w:r w:rsidR="00440A53">
              <w:t xml:space="preserve">as the dependent variable </w:t>
            </w:r>
            <w:r>
              <w:t xml:space="preserve">using a multinomial </w:t>
            </w:r>
            <w:proofErr w:type="spellStart"/>
            <w:r>
              <w:t>logit</w:t>
            </w:r>
            <w:proofErr w:type="spellEnd"/>
            <w:r>
              <w:t xml:space="preserve"> (</w:t>
            </w:r>
            <w:proofErr w:type="spellStart"/>
            <w:r>
              <w:t>MNL</w:t>
            </w:r>
            <w:proofErr w:type="spellEnd"/>
            <w:r>
              <w:t>)</w:t>
            </w:r>
            <w:r w:rsidR="005809CC">
              <w:t xml:space="preserve"> model</w:t>
            </w:r>
            <w:r>
              <w:t>. The results indicated that gender, grades at school, housing tenure, parental qualifications</w:t>
            </w:r>
            <w:r w:rsidR="009B6E64">
              <w:t>,</w:t>
            </w:r>
            <w:r>
              <w:t xml:space="preserve"> and the labour market status of family members were significantly associated with </w:t>
            </w:r>
            <w:r w:rsidR="005809CC">
              <w:t xml:space="preserve">the </w:t>
            </w:r>
            <w:r>
              <w:t>future labour market outcomes of youth</w:t>
            </w:r>
            <w:r w:rsidR="00174241">
              <w:t>s</w:t>
            </w:r>
            <w:r w:rsidR="004906A4">
              <w:t xml:space="preserve"> as represented by the pathway</w:t>
            </w:r>
            <w:r>
              <w:t xml:space="preserve">. </w:t>
            </w:r>
            <w:r w:rsidR="005809CC">
              <w:t>In another study of</w:t>
            </w:r>
            <w:r w:rsidR="009A1361">
              <w:t xml:space="preserve"> British youth</w:t>
            </w:r>
            <w:r w:rsidR="00174241">
              <w:t>s</w:t>
            </w:r>
            <w:r w:rsidR="009A1361">
              <w:t xml:space="preserve">, </w:t>
            </w:r>
            <w:proofErr w:type="spellStart"/>
            <w:r w:rsidR="009A1361">
              <w:t>Anyadike</w:t>
            </w:r>
            <w:proofErr w:type="spellEnd"/>
            <w:r w:rsidR="009A1361">
              <w:noBreakHyphen/>
              <w:t xml:space="preserve">Danes and </w:t>
            </w:r>
            <w:proofErr w:type="spellStart"/>
            <w:r w:rsidR="009A1361">
              <w:t>McVicar</w:t>
            </w:r>
            <w:proofErr w:type="spellEnd"/>
            <w:r w:rsidR="009A1361">
              <w:t xml:space="preserve"> (2003) conducted similar analysis using a </w:t>
            </w:r>
            <w:proofErr w:type="spellStart"/>
            <w:r w:rsidR="009A1361">
              <w:t>MNL</w:t>
            </w:r>
            <w:proofErr w:type="spellEnd"/>
            <w:r w:rsidR="009A1361">
              <w:t xml:space="preserve"> model. </w:t>
            </w:r>
            <w:r>
              <w:t>Corrales</w:t>
            </w:r>
            <w:r w:rsidR="0050167C">
              <w:noBreakHyphen/>
            </w:r>
            <w:proofErr w:type="spellStart"/>
            <w:r>
              <w:t>Herrero</w:t>
            </w:r>
            <w:proofErr w:type="spellEnd"/>
            <w:r>
              <w:t xml:space="preserve"> and </w:t>
            </w:r>
            <w:r w:rsidR="000001D8">
              <w:t>Rodríguez</w:t>
            </w:r>
            <w:r w:rsidR="0050167C">
              <w:noBreakHyphen/>
            </w:r>
            <w:r>
              <w:t>Prado (2012)</w:t>
            </w:r>
            <w:r w:rsidR="009A1361">
              <w:t xml:space="preserve"> and </w:t>
            </w:r>
            <w:proofErr w:type="spellStart"/>
            <w:r w:rsidR="009A1361">
              <w:t>Quintini</w:t>
            </w:r>
            <w:proofErr w:type="spellEnd"/>
            <w:r w:rsidR="009A1361">
              <w:t xml:space="preserve"> and </w:t>
            </w:r>
            <w:proofErr w:type="spellStart"/>
            <w:r w:rsidR="009A1361">
              <w:t>Manfredi</w:t>
            </w:r>
            <w:proofErr w:type="spellEnd"/>
            <w:r w:rsidR="009A1361">
              <w:t xml:space="preserve"> (2009)</w:t>
            </w:r>
            <w:r>
              <w:t xml:space="preserve"> </w:t>
            </w:r>
            <w:r w:rsidR="00440A53">
              <w:t xml:space="preserve">applied </w:t>
            </w:r>
            <w:proofErr w:type="spellStart"/>
            <w:r w:rsidR="00440A53">
              <w:t>MNL</w:t>
            </w:r>
            <w:proofErr w:type="spellEnd"/>
            <w:r w:rsidR="00440A53">
              <w:t xml:space="preserve"> model</w:t>
            </w:r>
            <w:r w:rsidR="005809CC">
              <w:t>s</w:t>
            </w:r>
            <w:r w:rsidR="00440A53">
              <w:t xml:space="preserve"> to analyse the determinants of </w:t>
            </w:r>
            <w:r w:rsidR="009A1361">
              <w:t>pathway membership for Spanish and US youth</w:t>
            </w:r>
            <w:r w:rsidR="00174241">
              <w:t>s</w:t>
            </w:r>
            <w:r w:rsidR="009A1361">
              <w:t xml:space="preserve">, respectively. </w:t>
            </w:r>
          </w:p>
          <w:p w:rsidR="00634258" w:rsidRDefault="00605D04" w:rsidP="00401A16">
            <w:pPr>
              <w:pStyle w:val="Box"/>
            </w:pPr>
            <w:r>
              <w:t xml:space="preserve">Instead of using </w:t>
            </w:r>
            <w:r w:rsidR="00117916">
              <w:t>pathway</w:t>
            </w:r>
            <w:r>
              <w:t xml:space="preserve"> membership as</w:t>
            </w:r>
            <w:r w:rsidR="00B071F6">
              <w:t xml:space="preserve"> the dependent variable, </w:t>
            </w:r>
            <w:proofErr w:type="spellStart"/>
            <w:r w:rsidR="00A56EF8">
              <w:t>Malo</w:t>
            </w:r>
            <w:proofErr w:type="spellEnd"/>
            <w:r w:rsidR="00A56EF8">
              <w:t xml:space="preserve"> and Muñoz</w:t>
            </w:r>
            <w:r w:rsidR="00A56EF8">
              <w:noBreakHyphen/>
            </w:r>
            <w:proofErr w:type="spellStart"/>
            <w:r w:rsidR="00A56EF8">
              <w:t>Bullón</w:t>
            </w:r>
            <w:proofErr w:type="spellEnd"/>
            <w:r w:rsidR="00A56EF8">
              <w:t xml:space="preserve"> (2003)</w:t>
            </w:r>
            <w:r w:rsidR="00B071F6">
              <w:t xml:space="preserve"> use</w:t>
            </w:r>
            <w:r w:rsidR="009A1361">
              <w:t>d</w:t>
            </w:r>
            <w:r w:rsidR="00634258">
              <w:t xml:space="preserve"> </w:t>
            </w:r>
            <w:r w:rsidR="00B071F6">
              <w:t>the distance measure from OM</w:t>
            </w:r>
            <w:r w:rsidR="00293879">
              <w:t xml:space="preserve"> as the dependent variable in</w:t>
            </w:r>
            <w:r w:rsidR="00440A53">
              <w:t xml:space="preserve"> </w:t>
            </w:r>
            <w:r w:rsidR="0050167C">
              <w:t>a</w:t>
            </w:r>
            <w:r w:rsidR="00B071F6">
              <w:t xml:space="preserve"> regression, where distance </w:t>
            </w:r>
            <w:r w:rsidR="009A1361">
              <w:t>wa</w:t>
            </w:r>
            <w:r w:rsidR="00B071F6">
              <w:t xml:space="preserve">s measured from the median sequence for each age segment. </w:t>
            </w:r>
            <w:r w:rsidR="005809CC">
              <w:t>However,</w:t>
            </w:r>
            <w:r w:rsidR="00436F21">
              <w:t xml:space="preserve"> it is unclear how to interpret the results of such a regression, as two very different sequences may have the same distance (</w:t>
            </w:r>
            <w:proofErr w:type="spellStart"/>
            <w:r w:rsidR="00436F21">
              <w:t>McVicar</w:t>
            </w:r>
            <w:proofErr w:type="spellEnd"/>
            <w:r w:rsidR="00436F21">
              <w:t xml:space="preserve"> and </w:t>
            </w:r>
            <w:proofErr w:type="spellStart"/>
            <w:r w:rsidR="00436F21">
              <w:t>Anyadike</w:t>
            </w:r>
            <w:proofErr w:type="spellEnd"/>
            <w:r w:rsidR="00436F21">
              <w:noBreakHyphen/>
              <w:t>Danes 2010).</w:t>
            </w:r>
            <w:r w:rsidR="00CE7B63">
              <w:t xml:space="preserve"> </w:t>
            </w:r>
          </w:p>
          <w:p w:rsidR="00F30F52" w:rsidRPr="00F30F52" w:rsidRDefault="005809CC" w:rsidP="00234776">
            <w:pPr>
              <w:pStyle w:val="Box"/>
            </w:pPr>
            <w:r>
              <w:t>A</w:t>
            </w:r>
            <w:r w:rsidR="00440A53">
              <w:t>lternative</w:t>
            </w:r>
            <w:r>
              <w:t>ly</w:t>
            </w:r>
            <w:r w:rsidR="00440A53">
              <w:t xml:space="preserve">, pathway membership may be viewed as an explanatory </w:t>
            </w:r>
            <w:r w:rsidR="00EA4DF3">
              <w:t>variable</w:t>
            </w:r>
            <w:r>
              <w:t xml:space="preserve"> </w:t>
            </w:r>
            <w:r w:rsidR="00440A53">
              <w:t>in an analysis of labour market and educational outcomes (</w:t>
            </w:r>
            <w:proofErr w:type="spellStart"/>
            <w:r w:rsidR="00440A53">
              <w:t>Brzinsky</w:t>
            </w:r>
            <w:proofErr w:type="spellEnd"/>
            <w:r w:rsidR="00440A53">
              <w:noBreakHyphen/>
              <w:t xml:space="preserve">Fay 2007). For example, Fuller (2011) modelled wages with pathway membership as one of the explanatory variables. Han and Moen (1999) modelled characteristics of retirement and retirement plans using career pathway as an explanatory variable. </w:t>
            </w:r>
          </w:p>
        </w:tc>
      </w:tr>
      <w:tr w:rsidR="00F30F52" w:rsidTr="007C67F7">
        <w:trPr>
          <w:cantSplit/>
        </w:trPr>
        <w:tc>
          <w:tcPr>
            <w:tcW w:w="8771" w:type="dxa"/>
            <w:tcBorders>
              <w:top w:val="nil"/>
              <w:left w:val="single" w:sz="6" w:space="0" w:color="auto"/>
              <w:bottom w:val="single" w:sz="6" w:space="0" w:color="auto"/>
              <w:right w:val="single" w:sz="6" w:space="0" w:color="auto"/>
            </w:tcBorders>
          </w:tcPr>
          <w:p w:rsidR="00F30F52" w:rsidRDefault="00F30F52" w:rsidP="007C67F7">
            <w:pPr>
              <w:pStyle w:val="Box"/>
              <w:spacing w:before="0" w:line="120" w:lineRule="exact"/>
            </w:pPr>
          </w:p>
        </w:tc>
      </w:tr>
      <w:tr w:rsidR="00F30F52" w:rsidRPr="000863A5" w:rsidTr="007C67F7">
        <w:tc>
          <w:tcPr>
            <w:tcW w:w="8771" w:type="dxa"/>
            <w:tcBorders>
              <w:top w:val="nil"/>
              <w:left w:val="nil"/>
              <w:bottom w:val="nil"/>
              <w:right w:val="nil"/>
            </w:tcBorders>
          </w:tcPr>
          <w:p w:rsidR="00F30F52" w:rsidRPr="00626D32" w:rsidRDefault="00F30F52" w:rsidP="007C67F7">
            <w:pPr>
              <w:pStyle w:val="BoxSpaceBelow"/>
            </w:pPr>
          </w:p>
        </w:tc>
      </w:tr>
    </w:tbl>
    <w:p w:rsidR="00FC615F" w:rsidRPr="00FC615F" w:rsidRDefault="007F172C" w:rsidP="00FC615F">
      <w:pPr>
        <w:pStyle w:val="Heading2"/>
      </w:pPr>
      <w:r>
        <w:t>B.</w:t>
      </w:r>
      <w:r w:rsidR="00545088">
        <w:rPr>
          <w:noProof/>
        </w:rPr>
        <w:t>3</w:t>
      </w:r>
      <w:r w:rsidR="00FC615F">
        <w:tab/>
        <w:t xml:space="preserve">Limitations of </w:t>
      </w:r>
      <w:proofErr w:type="spellStart"/>
      <w:r w:rsidR="00FC615F">
        <w:t>OMCA</w:t>
      </w:r>
      <w:proofErr w:type="spellEnd"/>
      <w:r w:rsidR="005C74E2">
        <w:t xml:space="preserve"> techniques</w:t>
      </w:r>
    </w:p>
    <w:p w:rsidR="00FC615F" w:rsidRPr="00285977" w:rsidRDefault="005F2394" w:rsidP="00285977">
      <w:pPr>
        <w:pStyle w:val="BodyText"/>
      </w:pPr>
      <w:r w:rsidRPr="00285977">
        <w:t xml:space="preserve">Some </w:t>
      </w:r>
      <w:r w:rsidR="005C74E2" w:rsidRPr="00285977">
        <w:t>l</w:t>
      </w:r>
      <w:r w:rsidR="00FC615F" w:rsidRPr="00285977">
        <w:t xml:space="preserve">imitations of </w:t>
      </w:r>
      <w:proofErr w:type="spellStart"/>
      <w:r w:rsidR="00FC615F" w:rsidRPr="00285977">
        <w:t>OMCA</w:t>
      </w:r>
      <w:proofErr w:type="spellEnd"/>
      <w:r w:rsidR="005C74E2" w:rsidRPr="00285977">
        <w:t xml:space="preserve"> techniques are discussed </w:t>
      </w:r>
      <w:r w:rsidR="00FC615F" w:rsidRPr="00285977">
        <w:t>in the sequence analysis literature.</w:t>
      </w:r>
      <w:r w:rsidR="007C321F" w:rsidRPr="00285977">
        <w:t xml:space="preserve"> This section presents the limitations that are relevant to this </w:t>
      </w:r>
      <w:r w:rsidRPr="00285977">
        <w:t>study</w:t>
      </w:r>
      <w:r w:rsidR="007C321F" w:rsidRPr="00285977">
        <w:t xml:space="preserve"> and, where they exist, practical solutions to minimise their impact. </w:t>
      </w:r>
      <w:r w:rsidR="001730DD" w:rsidRPr="00285977">
        <w:t>First, it is difficult to account for sample design and attrition through the use of weights</w:t>
      </w:r>
      <w:r w:rsidR="007C321F" w:rsidRPr="00285977">
        <w:t>. Second</w:t>
      </w:r>
      <w:r w:rsidR="001730DD" w:rsidRPr="00285977">
        <w:t xml:space="preserve">, </w:t>
      </w:r>
      <w:r w:rsidR="00FC615F" w:rsidRPr="00285977">
        <w:t>the substitution cost matrix must be symmetric</w:t>
      </w:r>
      <w:r w:rsidR="009B6E64">
        <w:t xml:space="preserve">, which </w:t>
      </w:r>
      <w:r w:rsidR="007C321F" w:rsidRPr="00285977">
        <w:t>in practice means that the cost of substituting one activity for another cannot be dependent on the direction of the transition.</w:t>
      </w:r>
      <w:r w:rsidR="006E11B0" w:rsidRPr="00285977">
        <w:t xml:space="preserve"> </w:t>
      </w:r>
      <w:r w:rsidR="007C321F" w:rsidRPr="00285977">
        <w:t xml:space="preserve">Third, </w:t>
      </w:r>
      <w:r w:rsidR="006E11B0" w:rsidRPr="00285977">
        <w:t xml:space="preserve">as substitution costs are set in this analysis, </w:t>
      </w:r>
      <w:r w:rsidR="002010FF" w:rsidRPr="00285977">
        <w:t xml:space="preserve">the matrix </w:t>
      </w:r>
      <w:r w:rsidR="001730DD" w:rsidRPr="00285977">
        <w:t xml:space="preserve">does not change </w:t>
      </w:r>
      <w:r w:rsidRPr="00285977">
        <w:t>over</w:t>
      </w:r>
      <w:r w:rsidR="001730DD" w:rsidRPr="00285977">
        <w:t xml:space="preserve"> time</w:t>
      </w:r>
      <w:r w:rsidR="009B6E64">
        <w:t xml:space="preserve"> — so</w:t>
      </w:r>
      <w:r w:rsidR="00E92EF9" w:rsidRPr="00285977">
        <w:t xml:space="preserve"> </w:t>
      </w:r>
      <w:r w:rsidR="005D0FAF" w:rsidRPr="00285977">
        <w:t>w</w:t>
      </w:r>
      <w:r w:rsidR="001730DD" w:rsidRPr="00285977">
        <w:t xml:space="preserve">here </w:t>
      </w:r>
      <w:r w:rsidR="0030691C" w:rsidRPr="00285977">
        <w:t xml:space="preserve">a transition </w:t>
      </w:r>
      <w:r w:rsidR="001730DD" w:rsidRPr="00285977">
        <w:t>occurs in the sequence</w:t>
      </w:r>
      <w:r w:rsidR="0030691C" w:rsidRPr="00285977">
        <w:t xml:space="preserve"> has no bearing on the cost of </w:t>
      </w:r>
      <w:r w:rsidR="005D0FAF" w:rsidRPr="00285977">
        <w:t xml:space="preserve">a </w:t>
      </w:r>
      <w:r w:rsidR="0030691C" w:rsidRPr="00285977">
        <w:t>substitution</w:t>
      </w:r>
      <w:r w:rsidR="00FC615F" w:rsidRPr="00285977">
        <w:t xml:space="preserve">. </w:t>
      </w:r>
    </w:p>
    <w:p w:rsidR="00C16698" w:rsidRDefault="00E42277" w:rsidP="00C16698">
      <w:pPr>
        <w:pStyle w:val="Heading3"/>
      </w:pPr>
      <w:r>
        <w:lastRenderedPageBreak/>
        <w:t>The</w:t>
      </w:r>
      <w:r w:rsidR="00C16698">
        <w:t xml:space="preserve"> difficulty </w:t>
      </w:r>
      <w:r w:rsidR="00CF3DA9">
        <w:t xml:space="preserve">in </w:t>
      </w:r>
      <w:r w:rsidR="00C16698">
        <w:t xml:space="preserve">accommodating </w:t>
      </w:r>
      <w:r>
        <w:t xml:space="preserve">sample </w:t>
      </w:r>
      <w:r w:rsidR="00D20CCD">
        <w:t>weights</w:t>
      </w:r>
    </w:p>
    <w:p w:rsidR="004258ED" w:rsidRPr="00285977" w:rsidRDefault="004258ED" w:rsidP="00285977">
      <w:pPr>
        <w:pStyle w:val="BodyText"/>
      </w:pPr>
      <w:r w:rsidRPr="00285977">
        <w:t xml:space="preserve">The results in this paper are unweighted because the </w:t>
      </w:r>
      <w:proofErr w:type="spellStart"/>
      <w:r w:rsidRPr="00285977">
        <w:t>OMCA</w:t>
      </w:r>
      <w:proofErr w:type="spellEnd"/>
      <w:r w:rsidRPr="00285977">
        <w:t xml:space="preserve"> comma</w:t>
      </w:r>
      <w:r w:rsidR="00877C61" w:rsidRPr="00285977">
        <w:t xml:space="preserve">nds in </w:t>
      </w:r>
      <w:proofErr w:type="spellStart"/>
      <w:r w:rsidR="00877C61" w:rsidRPr="00285977">
        <w:t>Stata</w:t>
      </w:r>
      <w:proofErr w:type="spellEnd"/>
      <w:r w:rsidR="00877C61" w:rsidRPr="00285977">
        <w:t xml:space="preserve"> do not support</w:t>
      </w:r>
      <w:r w:rsidR="007E7806" w:rsidRPr="00285977">
        <w:t xml:space="preserve"> weighting </w:t>
      </w:r>
      <w:r w:rsidR="004906A4" w:rsidRPr="00285977">
        <w:t xml:space="preserve">in </w:t>
      </w:r>
      <w:r w:rsidR="007E7806" w:rsidRPr="00285977">
        <w:t>either</w:t>
      </w:r>
      <w:r w:rsidR="00877C61" w:rsidRPr="00285977">
        <w:t xml:space="preserve"> the OM or </w:t>
      </w:r>
      <w:r w:rsidR="007E7806" w:rsidRPr="00285977">
        <w:t>clustering</w:t>
      </w:r>
      <w:r w:rsidR="00877C61" w:rsidRPr="00285977">
        <w:t xml:space="preserve"> processes</w:t>
      </w:r>
      <w:r w:rsidRPr="00285977">
        <w:t xml:space="preserve">. Also, the weights in </w:t>
      </w:r>
      <w:r w:rsidR="00483C9B">
        <w:t xml:space="preserve">the </w:t>
      </w:r>
      <w:r w:rsidR="008A63CC" w:rsidRPr="00483C9B">
        <w:rPr>
          <w:i/>
        </w:rPr>
        <w:t>Household, Income and Labour Dynamics in Australia</w:t>
      </w:r>
      <w:r w:rsidR="008A63CC" w:rsidRPr="00285977">
        <w:t xml:space="preserve"> (</w:t>
      </w:r>
      <w:r w:rsidRPr="00285977">
        <w:t>HILDA</w:t>
      </w:r>
      <w:r w:rsidR="008A63CC" w:rsidRPr="00285977">
        <w:t>)</w:t>
      </w:r>
      <w:r w:rsidRPr="00285977">
        <w:t xml:space="preserve"> </w:t>
      </w:r>
      <w:r w:rsidR="00CF3DA9">
        <w:t xml:space="preserve">Survey </w:t>
      </w:r>
      <w:r w:rsidR="00483C9B">
        <w:t xml:space="preserve">data </w:t>
      </w:r>
      <w:r w:rsidRPr="00285977">
        <w:t xml:space="preserve">are </w:t>
      </w:r>
      <w:r w:rsidR="005F2394" w:rsidRPr="00285977">
        <w:t xml:space="preserve">inadequate in </w:t>
      </w:r>
      <w:r w:rsidRPr="00285977">
        <w:t>adjusting the sub</w:t>
      </w:r>
      <w:r w:rsidRPr="00285977">
        <w:noBreakHyphen/>
        <w:t xml:space="preserve">sample used </w:t>
      </w:r>
      <w:r w:rsidR="00483C9B">
        <w:t xml:space="preserve">in this analysis </w:t>
      </w:r>
      <w:r w:rsidRPr="00285977">
        <w:t>to be re</w:t>
      </w:r>
      <w:r w:rsidR="00483C9B">
        <w:t>presentative of the population</w:t>
      </w:r>
      <w:r w:rsidR="00CF3DA9">
        <w:t xml:space="preserve"> (appendix A)</w:t>
      </w:r>
      <w:r w:rsidR="00483C9B">
        <w:t>.</w:t>
      </w:r>
    </w:p>
    <w:p w:rsidR="00202328" w:rsidRPr="00285977" w:rsidRDefault="00202328" w:rsidP="00285977">
      <w:pPr>
        <w:pStyle w:val="BodyText"/>
      </w:pPr>
      <w:r w:rsidRPr="00285977">
        <w:t>If appropriate weights were available, they could be used</w:t>
      </w:r>
      <w:r w:rsidR="00297F2B" w:rsidRPr="00285977">
        <w:t xml:space="preserve"> </w:t>
      </w:r>
      <w:r w:rsidR="00483C9B">
        <w:t>in</w:t>
      </w:r>
      <w:r w:rsidR="00297F2B" w:rsidRPr="00285977">
        <w:t xml:space="preserve"> </w:t>
      </w:r>
      <w:r w:rsidR="00483C9B">
        <w:t>estimating</w:t>
      </w:r>
      <w:r w:rsidR="00297F2B" w:rsidRPr="00285977">
        <w:t xml:space="preserve"> the transition probabilities and</w:t>
      </w:r>
      <w:r w:rsidR="005A4E68">
        <w:t>,</w:t>
      </w:r>
      <w:r w:rsidR="00297F2B" w:rsidRPr="00285977">
        <w:t xml:space="preserve"> therefore</w:t>
      </w:r>
      <w:r w:rsidR="005A4E68">
        <w:t>,</w:t>
      </w:r>
      <w:r w:rsidR="00297F2B" w:rsidRPr="00285977">
        <w:t xml:space="preserve"> </w:t>
      </w:r>
      <w:r w:rsidR="00483C9B">
        <w:t xml:space="preserve">in deriving </w:t>
      </w:r>
      <w:r w:rsidR="005A4E68">
        <w:t>the substitution cost matrix</w:t>
      </w:r>
      <w:r w:rsidR="00297F2B" w:rsidRPr="00285977">
        <w:t xml:space="preserve"> to be used in OM (</w:t>
      </w:r>
      <w:proofErr w:type="spellStart"/>
      <w:r w:rsidR="00297F2B" w:rsidRPr="00285977">
        <w:t>Lesnard</w:t>
      </w:r>
      <w:proofErr w:type="spellEnd"/>
      <w:r w:rsidR="00297F2B" w:rsidRPr="00285977">
        <w:t> 2010).</w:t>
      </w:r>
      <w:r w:rsidR="005A4E68">
        <w:t xml:space="preserve"> However, the clustering process would still not accommodate the weights.</w:t>
      </w:r>
    </w:p>
    <w:p w:rsidR="00FC615F" w:rsidRPr="00FC615F" w:rsidRDefault="00FC615F" w:rsidP="00FC615F">
      <w:pPr>
        <w:pStyle w:val="Heading3"/>
      </w:pPr>
      <w:r>
        <w:t>The substitution cost matrix must be symmetric</w:t>
      </w:r>
      <w:r w:rsidR="00C16698">
        <w:t xml:space="preserve"> </w:t>
      </w:r>
    </w:p>
    <w:p w:rsidR="005F4BC6" w:rsidRDefault="00FC5654" w:rsidP="005F0B66">
      <w:pPr>
        <w:pStyle w:val="BodyText"/>
      </w:pPr>
      <w:r>
        <w:t>S</w:t>
      </w:r>
      <w:r w:rsidR="005F0B66">
        <w:t xml:space="preserve">ome researchers, for example </w:t>
      </w:r>
      <w:proofErr w:type="spellStart"/>
      <w:r w:rsidR="005F0B66">
        <w:t>Aisenbrey</w:t>
      </w:r>
      <w:proofErr w:type="spellEnd"/>
      <w:r w:rsidR="005F0B66">
        <w:t xml:space="preserve"> and </w:t>
      </w:r>
      <w:proofErr w:type="spellStart"/>
      <w:r w:rsidR="005F0B66">
        <w:t>Fasang</w:t>
      </w:r>
      <w:proofErr w:type="spellEnd"/>
      <w:r w:rsidR="005F0B66">
        <w:t xml:space="preserve"> (2010), </w:t>
      </w:r>
      <w:r w:rsidR="005A4E68">
        <w:t>argue</w:t>
      </w:r>
      <w:r>
        <w:t xml:space="preserve"> that </w:t>
      </w:r>
      <w:r w:rsidR="005F0B66">
        <w:t>a</w:t>
      </w:r>
      <w:r w:rsidR="004B3B1A">
        <w:t xml:space="preserve"> symmetric substitution cost matrix </w:t>
      </w:r>
      <w:r w:rsidR="00193EF6">
        <w:t>is not reflective of reality</w:t>
      </w:r>
      <w:r w:rsidR="005F4BC6">
        <w:t xml:space="preserve">. For example, the </w:t>
      </w:r>
      <w:r w:rsidR="005F4BC6">
        <w:rPr>
          <w:i/>
        </w:rPr>
        <w:t>Education</w:t>
      </w:r>
      <w:r w:rsidR="005F4BC6" w:rsidRPr="005F0B66">
        <w:rPr>
          <w:i/>
        </w:rPr>
        <w:t xml:space="preserve"> to </w:t>
      </w:r>
      <w:r w:rsidR="001034B4">
        <w:rPr>
          <w:i/>
        </w:rPr>
        <w:t>W</w:t>
      </w:r>
      <w:r w:rsidR="005F4BC6" w:rsidRPr="005F0B66">
        <w:rPr>
          <w:i/>
        </w:rPr>
        <w:t xml:space="preserve">ork </w:t>
      </w:r>
      <w:r w:rsidR="005F4BC6">
        <w:t xml:space="preserve">pathway is characterised by a transition from study to work. As a result of the matrix structure, however, a substitution of work for study has the same cost as the substitution of study for work. This is </w:t>
      </w:r>
      <w:r w:rsidR="005F2394">
        <w:t>considered to be</w:t>
      </w:r>
      <w:r w:rsidR="00D0266E">
        <w:t xml:space="preserve"> a limitation by those who view</w:t>
      </w:r>
      <w:r w:rsidR="005F4BC6">
        <w:t xml:space="preserve"> substitution</w:t>
      </w:r>
      <w:r w:rsidR="00D0266E">
        <w:t>s</w:t>
      </w:r>
      <w:r w:rsidR="005F4BC6">
        <w:t xml:space="preserve"> in the OM process as </w:t>
      </w:r>
      <w:r w:rsidR="00D0266E">
        <w:t>representative of</w:t>
      </w:r>
      <w:r w:rsidR="005F4BC6">
        <w:t xml:space="preserve"> transitions in the sequence data. </w:t>
      </w:r>
    </w:p>
    <w:p w:rsidR="00193EF6" w:rsidRPr="00193EF6" w:rsidRDefault="005F2394" w:rsidP="004B3B1A">
      <w:pPr>
        <w:pStyle w:val="BodyText"/>
      </w:pPr>
      <w:r>
        <w:t xml:space="preserve">However, </w:t>
      </w:r>
      <w:r w:rsidR="005A4E68">
        <w:t xml:space="preserve">Martin and Wiggins (2011) argue that </w:t>
      </w:r>
      <w:r w:rsidR="00193EF6">
        <w:t>this interpretation of the substitution cost matrix</w:t>
      </w:r>
      <w:r w:rsidR="00DE1C3E">
        <w:t xml:space="preserve"> </w:t>
      </w:r>
      <w:r w:rsidR="00EA4DF3">
        <w:t>is a</w:t>
      </w:r>
      <w:r w:rsidR="00193EF6">
        <w:t xml:space="preserve"> misunderstanding of the role the matrix plays in OM. I</w:t>
      </w:r>
      <w:r w:rsidR="004B3B1A">
        <w:t>t is important to bear in mind that the aim of a substitution</w:t>
      </w:r>
      <w:r w:rsidR="00C4361E">
        <w:t xml:space="preserve"> </w:t>
      </w:r>
      <w:r w:rsidR="004B3B1A">
        <w:t xml:space="preserve">cost matrix is not to mimic </w:t>
      </w:r>
      <w:r w:rsidR="004B3B1A" w:rsidRPr="00193EF6">
        <w:t xml:space="preserve">transitions, but to </w:t>
      </w:r>
      <w:r w:rsidR="00DE1C3E">
        <w:t xml:space="preserve">simply </w:t>
      </w:r>
      <w:r w:rsidR="004B3B1A" w:rsidRPr="00193EF6">
        <w:t xml:space="preserve">reflect how close different activities are to </w:t>
      </w:r>
      <w:r w:rsidR="00DE1C3E">
        <w:t xml:space="preserve">each </w:t>
      </w:r>
      <w:r w:rsidR="00C4361E">
        <w:t>other.</w:t>
      </w:r>
    </w:p>
    <w:p w:rsidR="006F4281" w:rsidRDefault="006F4281" w:rsidP="005F0B66">
      <w:pPr>
        <w:pStyle w:val="Heading3"/>
      </w:pPr>
      <w:r>
        <w:t>Substitution costs</w:t>
      </w:r>
      <w:r w:rsidR="005F0B66">
        <w:t xml:space="preserve"> are not </w:t>
      </w:r>
      <w:r w:rsidR="001012BA">
        <w:t>dynamic</w:t>
      </w:r>
    </w:p>
    <w:p w:rsidR="00CA0035" w:rsidRDefault="006F4281" w:rsidP="00CA0035">
      <w:pPr>
        <w:pStyle w:val="BodyText"/>
      </w:pPr>
      <w:r>
        <w:t xml:space="preserve">In this paper, substitution costs </w:t>
      </w:r>
      <w:r w:rsidR="000819D8">
        <w:t xml:space="preserve">are restricted </w:t>
      </w:r>
      <w:r>
        <w:t xml:space="preserve">to be the same across time. </w:t>
      </w:r>
      <w:proofErr w:type="spellStart"/>
      <w:r w:rsidR="00CA0035">
        <w:t>Lesnard</w:t>
      </w:r>
      <w:proofErr w:type="spellEnd"/>
      <w:r w:rsidR="00CA0035">
        <w:t xml:space="preserve"> </w:t>
      </w:r>
      <w:r w:rsidR="000819D8" w:rsidRPr="00877C61">
        <w:t>(</w:t>
      </w:r>
      <w:r w:rsidR="00877C61" w:rsidRPr="00877C61">
        <w:t>2010)</w:t>
      </w:r>
      <w:r w:rsidR="000819D8">
        <w:t xml:space="preserve"> states that</w:t>
      </w:r>
      <w:r w:rsidR="00CA0035">
        <w:t xml:space="preserve"> </w:t>
      </w:r>
      <w:r w:rsidR="000819D8">
        <w:t xml:space="preserve">assuming distances between activities are time invariant is </w:t>
      </w:r>
      <w:r w:rsidR="00CA0035">
        <w:t xml:space="preserve">a </w:t>
      </w:r>
      <w:r w:rsidR="00DE1C3E">
        <w:t>restrictive</w:t>
      </w:r>
      <w:r w:rsidR="00CA0035">
        <w:t xml:space="preserve"> assumption. </w:t>
      </w:r>
      <w:r w:rsidR="000819D8">
        <w:t>H</w:t>
      </w:r>
      <w:r w:rsidR="00CA0035">
        <w:t xml:space="preserve">e </w:t>
      </w:r>
      <w:r w:rsidR="000819D8">
        <w:t>a</w:t>
      </w:r>
      <w:r w:rsidR="005A4E68">
        <w:t>rgues</w:t>
      </w:r>
      <w:r w:rsidR="00CA0035">
        <w:t xml:space="preserve"> that the distance between employment and unemployment</w:t>
      </w:r>
      <w:r w:rsidR="000819D8">
        <w:t>, for example,</w:t>
      </w:r>
      <w:r w:rsidR="00CA0035">
        <w:t xml:space="preserve"> should vary across time</w:t>
      </w:r>
      <w:r w:rsidR="00FE28C7">
        <w:t xml:space="preserve"> — t</w:t>
      </w:r>
      <w:r w:rsidR="00CA0035">
        <w:t xml:space="preserve">hey should be close to each other when the unemployment rate is </w:t>
      </w:r>
      <w:r w:rsidR="00D26803">
        <w:t>high</w:t>
      </w:r>
      <w:r w:rsidR="00CA0035">
        <w:t xml:space="preserve"> and distant when it is low. </w:t>
      </w:r>
    </w:p>
    <w:p w:rsidR="000819D8" w:rsidRDefault="006F4281" w:rsidP="00CA0035">
      <w:pPr>
        <w:pStyle w:val="BodyText"/>
      </w:pPr>
      <w:proofErr w:type="spellStart"/>
      <w:r>
        <w:lastRenderedPageBreak/>
        <w:t>Lesnard</w:t>
      </w:r>
      <w:proofErr w:type="spellEnd"/>
      <w:r>
        <w:t xml:space="preserve"> (2006) developed an </w:t>
      </w:r>
      <w:r w:rsidR="009524F2">
        <w:t xml:space="preserve">extension to OM that </w:t>
      </w:r>
      <w:r>
        <w:t>allow</w:t>
      </w:r>
      <w:r w:rsidR="009524F2">
        <w:t>s</w:t>
      </w:r>
      <w:r>
        <w:t xml:space="preserve"> substitu</w:t>
      </w:r>
      <w:r w:rsidR="00CA0035">
        <w:t>tion costs to vary across time.</w:t>
      </w:r>
      <w:r w:rsidR="009524F2">
        <w:rPr>
          <w:rStyle w:val="FootnoteReference"/>
        </w:rPr>
        <w:footnoteReference w:id="10"/>
      </w:r>
      <w:r w:rsidR="00CA0035">
        <w:t xml:space="preserve"> </w:t>
      </w:r>
      <w:r w:rsidR="000819D8">
        <w:t xml:space="preserve">According to </w:t>
      </w:r>
      <w:proofErr w:type="spellStart"/>
      <w:r w:rsidR="000819D8">
        <w:t>Aisenbrey</w:t>
      </w:r>
      <w:proofErr w:type="spellEnd"/>
      <w:r w:rsidR="000819D8">
        <w:t xml:space="preserve"> and </w:t>
      </w:r>
      <w:proofErr w:type="spellStart"/>
      <w:r w:rsidR="000819D8">
        <w:t>Fasang</w:t>
      </w:r>
      <w:proofErr w:type="spellEnd"/>
      <w:r w:rsidR="000819D8">
        <w:t xml:space="preserve"> (2010, p.</w:t>
      </w:r>
      <w:r w:rsidR="00F74690">
        <w:t> </w:t>
      </w:r>
      <w:r w:rsidR="000819D8">
        <w:t>437)</w:t>
      </w:r>
      <w:r w:rsidR="009524F2">
        <w:t xml:space="preserve">, </w:t>
      </w:r>
      <w:proofErr w:type="spellStart"/>
      <w:r w:rsidR="009524F2">
        <w:t>Lesnard’s</w:t>
      </w:r>
      <w:proofErr w:type="spellEnd"/>
      <w:r w:rsidR="009524F2">
        <w:t xml:space="preserve"> distance measure</w:t>
      </w:r>
      <w:r w:rsidR="000819D8">
        <w:t>:</w:t>
      </w:r>
    </w:p>
    <w:p w:rsidR="000819D8" w:rsidRDefault="009524F2" w:rsidP="000819D8">
      <w:pPr>
        <w:pStyle w:val="Quote"/>
      </w:pPr>
      <w:r>
        <w:t xml:space="preserve">… </w:t>
      </w:r>
      <w:r w:rsidR="00CA0035">
        <w:t>is particularly useful for applications … in which the exact timing of state</w:t>
      </w:r>
      <w:r w:rsidR="004906A4">
        <w:t>s</w:t>
      </w:r>
      <w:r w:rsidR="00CA0035">
        <w:t xml:space="preserve"> within sequences is of particular theoretical importance, such as </w:t>
      </w:r>
      <w:r w:rsidR="004906A4">
        <w:t xml:space="preserve">in </w:t>
      </w:r>
      <w:r w:rsidR="00CA0035">
        <w:t>the analysis of retirement trajectories</w:t>
      </w:r>
      <w:r w:rsidR="005A4E68">
        <w:t xml:space="preserve"> …</w:t>
      </w:r>
    </w:p>
    <w:p w:rsidR="003A1776" w:rsidRPr="00877C61" w:rsidRDefault="00E823FF" w:rsidP="00877C61">
      <w:pPr>
        <w:pStyle w:val="BodyText"/>
      </w:pPr>
      <w:r>
        <w:t xml:space="preserve">However, dynamic substitution costs are not used in this study as the importance of the dynamic element </w:t>
      </w:r>
      <w:r w:rsidR="00E72305">
        <w:t xml:space="preserve">has </w:t>
      </w:r>
      <w:r w:rsidR="00DE1C3E">
        <w:t xml:space="preserve">yet to be </w:t>
      </w:r>
      <w:r w:rsidR="00E72305">
        <w:t>established empirically</w:t>
      </w:r>
      <w:r>
        <w:t xml:space="preserve"> (Hollister 2009)</w:t>
      </w:r>
      <w:r w:rsidR="002C57D4">
        <w:t>. Moreover,</w:t>
      </w:r>
      <w:r w:rsidR="00C53AA5">
        <w:t xml:space="preserve"> implementing </w:t>
      </w:r>
      <w:r w:rsidR="00483C9B">
        <w:t>dynamics</w:t>
      </w:r>
      <w:r w:rsidR="00C53AA5">
        <w:t xml:space="preserve"> </w:t>
      </w:r>
      <w:r w:rsidR="006E1268">
        <w:t xml:space="preserve">would </w:t>
      </w:r>
      <w:r w:rsidR="00461999">
        <w:t>involve calculating 120</w:t>
      </w:r>
      <w:r w:rsidR="005665B4">
        <w:t xml:space="preserve"> </w:t>
      </w:r>
      <w:r w:rsidR="00C53AA5">
        <w:t>data</w:t>
      </w:r>
      <w:r w:rsidR="00C53AA5">
        <w:noBreakHyphen/>
        <w:t xml:space="preserve">driven </w:t>
      </w:r>
      <w:proofErr w:type="spellStart"/>
      <w:r w:rsidR="00461999">
        <w:t>matrices</w:t>
      </w:r>
      <w:proofErr w:type="spellEnd"/>
      <w:r w:rsidR="00461999">
        <w:t xml:space="preserve"> instead of </w:t>
      </w:r>
      <w:r>
        <w:t>one</w:t>
      </w:r>
      <w:r w:rsidR="00C53AA5">
        <w:t xml:space="preserve">. </w:t>
      </w:r>
      <w:r>
        <w:t>This</w:t>
      </w:r>
      <w:r w:rsidR="00461999">
        <w:t xml:space="preserve"> </w:t>
      </w:r>
      <w:r w:rsidR="00DE1C3E">
        <w:t>w</w:t>
      </w:r>
      <w:r w:rsidR="00461999">
        <w:t xml:space="preserve">ould </w:t>
      </w:r>
      <w:r w:rsidR="00DE1C3E">
        <w:t xml:space="preserve">significantly </w:t>
      </w:r>
      <w:r w:rsidR="00A52668">
        <w:t>add to the complexity of the computation task</w:t>
      </w:r>
      <w:r w:rsidR="00C77714">
        <w:t xml:space="preserve"> </w:t>
      </w:r>
      <w:r>
        <w:t>in</w:t>
      </w:r>
      <w:r w:rsidR="00C77714">
        <w:t xml:space="preserve"> OM</w:t>
      </w:r>
      <w:r w:rsidR="009524F2">
        <w:t>.</w:t>
      </w:r>
    </w:p>
    <w:sectPr w:rsidR="003A1776" w:rsidRPr="00877C61" w:rsidSect="00227AF5">
      <w:headerReference w:type="even" r:id="rId14"/>
      <w:headerReference w:type="default" r:id="rId15"/>
      <w:footerReference w:type="even" r:id="rId16"/>
      <w:footerReference w:type="default" r:id="rId17"/>
      <w:pgSz w:w="11907" w:h="16840" w:code="9"/>
      <w:pgMar w:top="1985" w:right="1304" w:bottom="1418" w:left="1814" w:header="1701" w:footer="567" w:gutter="0"/>
      <w:pgNumType w:start="79"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D4" w:rsidRDefault="002C57D4">
      <w:r>
        <w:separator/>
      </w:r>
    </w:p>
  </w:endnote>
  <w:endnote w:type="continuationSeparator" w:id="0">
    <w:p w:rsidR="002C57D4" w:rsidRDefault="002C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2C57D4">
      <w:trPr>
        <w:trHeight w:hRule="exact" w:val="740"/>
      </w:trPr>
      <w:tc>
        <w:tcPr>
          <w:tcW w:w="510" w:type="dxa"/>
          <w:tcBorders>
            <w:top w:val="single" w:sz="6" w:space="0" w:color="auto"/>
          </w:tcBorders>
        </w:tcPr>
        <w:p w:rsidR="002C57D4" w:rsidRDefault="002C57D4"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831C87">
            <w:rPr>
              <w:rStyle w:val="PageNumber"/>
              <w:noProof/>
            </w:rPr>
            <w:t>88</w:t>
          </w:r>
          <w:r>
            <w:rPr>
              <w:rStyle w:val="PageNumber"/>
            </w:rPr>
            <w:fldChar w:fldCharType="end"/>
          </w:r>
        </w:p>
      </w:tc>
      <w:tc>
        <w:tcPr>
          <w:tcW w:w="1644" w:type="dxa"/>
          <w:tcBorders>
            <w:top w:val="single" w:sz="6" w:space="0" w:color="auto"/>
          </w:tcBorders>
        </w:tcPr>
        <w:p w:rsidR="002C57D4" w:rsidRDefault="00CF3438" w:rsidP="0019293B">
          <w:pPr>
            <w:pStyle w:val="Footer"/>
          </w:pPr>
          <w:fldSimple w:instr=" SUBJECT  \* MERGEFORMAT ">
            <w:r w:rsidR="004815E1">
              <w:t>Prevalence of transition pathways</w:t>
            </w:r>
          </w:fldSimple>
        </w:p>
      </w:tc>
      <w:tc>
        <w:tcPr>
          <w:tcW w:w="6634" w:type="dxa"/>
        </w:tcPr>
        <w:p w:rsidR="002C57D4" w:rsidRDefault="002C57D4" w:rsidP="0019293B">
          <w:pPr>
            <w:pStyle w:val="Footer"/>
          </w:pPr>
        </w:p>
      </w:tc>
    </w:tr>
  </w:tbl>
  <w:p w:rsidR="002C57D4" w:rsidRDefault="002C57D4"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2C57D4">
      <w:trPr>
        <w:trHeight w:hRule="exact" w:val="740"/>
      </w:trPr>
      <w:tc>
        <w:tcPr>
          <w:tcW w:w="6634" w:type="dxa"/>
        </w:tcPr>
        <w:p w:rsidR="002C57D4" w:rsidRDefault="002C57D4">
          <w:pPr>
            <w:pStyle w:val="Footer"/>
            <w:ind w:right="360" w:firstLine="360"/>
          </w:pPr>
        </w:p>
      </w:tc>
      <w:tc>
        <w:tcPr>
          <w:tcW w:w="1644" w:type="dxa"/>
          <w:tcBorders>
            <w:top w:val="single" w:sz="6" w:space="0" w:color="auto"/>
          </w:tcBorders>
        </w:tcPr>
        <w:p w:rsidR="002C57D4" w:rsidRDefault="00CF3438">
          <w:pPr>
            <w:pStyle w:val="Footer"/>
          </w:pPr>
          <w:fldSimple w:instr=" TITLE  \* MERGEFORMAT ">
            <w:r w:rsidR="004815E1">
              <w:t>Optimal matching and cluster analysis</w:t>
            </w:r>
          </w:fldSimple>
        </w:p>
      </w:tc>
      <w:tc>
        <w:tcPr>
          <w:tcW w:w="510" w:type="dxa"/>
          <w:tcBorders>
            <w:top w:val="single" w:sz="6" w:space="0" w:color="auto"/>
          </w:tcBorders>
        </w:tcPr>
        <w:p w:rsidR="002C57D4" w:rsidRDefault="002C57D4">
          <w:pPr>
            <w:pStyle w:val="Footer"/>
            <w:jc w:val="right"/>
          </w:pPr>
          <w:r>
            <w:rPr>
              <w:rStyle w:val="PageNumber"/>
            </w:rPr>
            <w:fldChar w:fldCharType="begin"/>
          </w:r>
          <w:r>
            <w:rPr>
              <w:rStyle w:val="PageNumber"/>
            </w:rPr>
            <w:instrText xml:space="preserve">PAGE  </w:instrText>
          </w:r>
          <w:r>
            <w:rPr>
              <w:rStyle w:val="PageNumber"/>
            </w:rPr>
            <w:fldChar w:fldCharType="separate"/>
          </w:r>
          <w:r w:rsidR="00831C87">
            <w:rPr>
              <w:rStyle w:val="PageNumber"/>
              <w:noProof/>
            </w:rPr>
            <w:t>79</w:t>
          </w:r>
          <w:r>
            <w:rPr>
              <w:rStyle w:val="PageNumber"/>
            </w:rPr>
            <w:fldChar w:fldCharType="end"/>
          </w:r>
        </w:p>
      </w:tc>
    </w:tr>
  </w:tbl>
  <w:p w:rsidR="002C57D4" w:rsidRDefault="002C57D4">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D4" w:rsidRDefault="002C57D4">
      <w:r>
        <w:separator/>
      </w:r>
    </w:p>
  </w:footnote>
  <w:footnote w:type="continuationSeparator" w:id="0">
    <w:p w:rsidR="002C57D4" w:rsidRDefault="002C57D4">
      <w:r>
        <w:continuationSeparator/>
      </w:r>
    </w:p>
  </w:footnote>
  <w:footnote w:id="1">
    <w:p w:rsidR="002C57D4" w:rsidRDefault="002C57D4" w:rsidP="00D6532F">
      <w:pPr>
        <w:pStyle w:val="FootnoteText"/>
      </w:pPr>
      <w:r>
        <w:rPr>
          <w:rStyle w:val="FootnoteReference"/>
        </w:rPr>
        <w:footnoteRef/>
      </w:r>
      <w:r>
        <w:t xml:space="preserve"> </w:t>
      </w:r>
      <w:r>
        <w:tab/>
        <w:t>Although there are alternative methods for sequence analysis, these are beyond the scope of this paper and will not be covered.</w:t>
      </w:r>
    </w:p>
  </w:footnote>
  <w:footnote w:id="2">
    <w:p w:rsidR="002C57D4" w:rsidRDefault="002C57D4">
      <w:pPr>
        <w:pStyle w:val="FootnoteText"/>
      </w:pPr>
      <w:r>
        <w:rPr>
          <w:rStyle w:val="FootnoteReference"/>
        </w:rPr>
        <w:footnoteRef/>
      </w:r>
      <w:r>
        <w:t xml:space="preserve"> </w:t>
      </w:r>
      <w:r>
        <w:tab/>
        <w:t xml:space="preserve">This paper uses </w:t>
      </w:r>
      <w:proofErr w:type="spellStart"/>
      <w:r>
        <w:t>Stata’s</w:t>
      </w:r>
      <w:proofErr w:type="spellEnd"/>
      <w:r>
        <w:t xml:space="preserve"> </w:t>
      </w:r>
      <w:proofErr w:type="spellStart"/>
      <w:r>
        <w:t>SQ</w:t>
      </w:r>
      <w:proofErr w:type="spellEnd"/>
      <w:r>
        <w:t xml:space="preserve"> routines developed by </w:t>
      </w:r>
      <w:proofErr w:type="spellStart"/>
      <w:r>
        <w:t>Brzinsky</w:t>
      </w:r>
      <w:proofErr w:type="spellEnd"/>
      <w:r>
        <w:noBreakHyphen/>
        <w:t xml:space="preserve">Fay, Kohler and </w:t>
      </w:r>
      <w:proofErr w:type="spellStart"/>
      <w:r>
        <w:t>Luniak</w:t>
      </w:r>
      <w:proofErr w:type="spellEnd"/>
      <w:r>
        <w:t xml:space="preserve"> (2006) for analysing sequence data. The routines do not support the use of survey weights. </w:t>
      </w:r>
    </w:p>
  </w:footnote>
  <w:footnote w:id="3">
    <w:p w:rsidR="00D957E2" w:rsidRDefault="00D957E2">
      <w:pPr>
        <w:pStyle w:val="FootnoteText"/>
      </w:pPr>
      <w:r>
        <w:rPr>
          <w:rStyle w:val="FootnoteReference"/>
        </w:rPr>
        <w:footnoteRef/>
      </w:r>
      <w:r>
        <w:t xml:space="preserve"> </w:t>
      </w:r>
      <w:r>
        <w:tab/>
      </w:r>
      <w:r w:rsidR="002C739C">
        <w:t>The costs of s</w:t>
      </w:r>
      <w:r>
        <w:t>ubstitution</w:t>
      </w:r>
      <w:r w:rsidR="002C739C">
        <w:t>s</w:t>
      </w:r>
      <w:r>
        <w:t xml:space="preserve"> can be allowed to </w:t>
      </w:r>
      <w:r w:rsidR="002C739C">
        <w:t>differ</w:t>
      </w:r>
      <w:r>
        <w:t xml:space="preserve"> according to the pair of activities concerned (</w:t>
      </w:r>
      <w:r w:rsidR="002C739C">
        <w:t>discussed below</w:t>
      </w:r>
      <w:r>
        <w:t>).</w:t>
      </w:r>
    </w:p>
  </w:footnote>
  <w:footnote w:id="4">
    <w:p w:rsidR="00C0684D" w:rsidRDefault="00C0684D" w:rsidP="00C0684D">
      <w:pPr>
        <w:pStyle w:val="FootnoteText"/>
      </w:pPr>
      <w:r>
        <w:rPr>
          <w:rStyle w:val="FootnoteReference"/>
        </w:rPr>
        <w:footnoteRef/>
      </w:r>
      <w:r>
        <w:t xml:space="preserve"> </w:t>
      </w:r>
      <w:r>
        <w:tab/>
        <w:t xml:space="preserve">In </w:t>
      </w:r>
      <w:proofErr w:type="spellStart"/>
      <w:r>
        <w:t>Stata</w:t>
      </w:r>
      <w:proofErr w:type="spellEnd"/>
      <w:r w:rsidR="000F632A">
        <w:t>,</w:t>
      </w:r>
      <w:r>
        <w:t xml:space="preserve"> and in other statistical programs</w:t>
      </w:r>
      <w:r w:rsidR="000F632A">
        <w:t>,</w:t>
      </w:r>
      <w:r>
        <w:t xml:space="preserve"> the default is to set the costs of </w:t>
      </w:r>
      <w:proofErr w:type="spellStart"/>
      <w:r>
        <w:t>indels</w:t>
      </w:r>
      <w:proofErr w:type="spellEnd"/>
      <w:r>
        <w:t xml:space="preserve"> to 1 and substitutions to 2, so that an insertion and a deletion are assigned the same cost as a substitution</w:t>
      </w:r>
      <w:r w:rsidRPr="00DC4B05">
        <w:t>.</w:t>
      </w:r>
      <w:r>
        <w:t xml:space="preserve"> </w:t>
      </w:r>
      <w:r w:rsidR="00472A8D">
        <w:t>Since a</w:t>
      </w:r>
      <w:r>
        <w:t xml:space="preserve">ll substitutions have the same cost </w:t>
      </w:r>
      <w:r w:rsidR="00472A8D">
        <w:t xml:space="preserve">under the </w:t>
      </w:r>
      <w:r>
        <w:t xml:space="preserve">default settings, all types of activities </w:t>
      </w:r>
      <w:r w:rsidR="00472A8D">
        <w:t xml:space="preserve">are equally distant from </w:t>
      </w:r>
      <w:r w:rsidR="005A03B3">
        <w:t xml:space="preserve">each </w:t>
      </w:r>
      <w:r w:rsidR="00472A8D">
        <w:t>other</w:t>
      </w:r>
      <w:r>
        <w:t>.</w:t>
      </w:r>
    </w:p>
  </w:footnote>
  <w:footnote w:id="5">
    <w:p w:rsidR="00913FB7" w:rsidRDefault="00913FB7">
      <w:pPr>
        <w:pStyle w:val="FootnoteText"/>
      </w:pPr>
      <w:r>
        <w:rPr>
          <w:rStyle w:val="FootnoteReference"/>
        </w:rPr>
        <w:footnoteRef/>
      </w:r>
      <w:r>
        <w:t xml:space="preserve"> </w:t>
      </w:r>
      <w:r>
        <w:tab/>
        <w:t xml:space="preserve">Elements corresponding to the same two activities (the ‘diagonal’) will contain zeros to indicate that the distance between an activity and itself is zero. </w:t>
      </w:r>
    </w:p>
  </w:footnote>
  <w:footnote w:id="6">
    <w:p w:rsidR="002C57D4" w:rsidRDefault="002C57D4">
      <w:pPr>
        <w:pStyle w:val="FootnoteText"/>
      </w:pPr>
      <w:r>
        <w:rPr>
          <w:rStyle w:val="FootnoteReference"/>
        </w:rPr>
        <w:footnoteRef/>
      </w:r>
      <w:r>
        <w:t xml:space="preserve"> </w:t>
      </w:r>
      <w:r>
        <w:tab/>
        <w:t xml:space="preserve">Actually 2 – </w:t>
      </w:r>
      <w:proofErr w:type="spellStart"/>
      <w:r>
        <w:t>Pr</w:t>
      </w:r>
      <w:proofErr w:type="spellEnd"/>
      <w:r>
        <w:t xml:space="preserve">(A to B) – </w:t>
      </w:r>
      <w:proofErr w:type="spellStart"/>
      <w:r>
        <w:t>Pr</w:t>
      </w:r>
      <w:proofErr w:type="spellEnd"/>
      <w:r>
        <w:t xml:space="preserve">(B to A), </w:t>
      </w:r>
      <w:r w:rsidR="00BD6D63">
        <w:t>which preserves symmetry in the substitution costs. E</w:t>
      </w:r>
      <w:r>
        <w:t>ach probability i</w:t>
      </w:r>
      <w:r w:rsidR="000A72F1">
        <w:t xml:space="preserve">s based on the transition </w:t>
      </w:r>
      <w:proofErr w:type="spellStart"/>
      <w:r w:rsidR="000A72F1">
        <w:t>matrices</w:t>
      </w:r>
      <w:proofErr w:type="spellEnd"/>
      <w:r w:rsidR="00A81386">
        <w:t>,</w:t>
      </w:r>
      <w:r>
        <w:t xml:space="preserve"> </w:t>
      </w:r>
      <w:r w:rsidR="00A81386">
        <w:t>averaged over time</w:t>
      </w:r>
      <w:r>
        <w:t>. Other data</w:t>
      </w:r>
      <w:r>
        <w:noBreakHyphen/>
        <w:t>driven options are to use the minimum or maximum probability for a substitution pair.</w:t>
      </w:r>
    </w:p>
  </w:footnote>
  <w:footnote w:id="7">
    <w:p w:rsidR="002C57D4" w:rsidRDefault="002C57D4" w:rsidP="00D67CF7">
      <w:pPr>
        <w:pStyle w:val="FootnoteText"/>
      </w:pPr>
      <w:r>
        <w:rPr>
          <w:rStyle w:val="FootnoteReference"/>
        </w:rPr>
        <w:footnoteRef/>
      </w:r>
      <w:r>
        <w:t xml:space="preserve"> </w:t>
      </w:r>
      <w:r>
        <w:tab/>
        <w:t>Instead of a hierarchical approach, the individuals could be partitioned into a pre</w:t>
      </w:r>
      <w:r>
        <w:noBreakHyphen/>
        <w:t xml:space="preserve">determined number of clusters. </w:t>
      </w:r>
    </w:p>
  </w:footnote>
  <w:footnote w:id="8">
    <w:p w:rsidR="002C57D4" w:rsidRDefault="002C57D4" w:rsidP="00D67CF7">
      <w:pPr>
        <w:pStyle w:val="FootnoteText"/>
      </w:pPr>
      <w:r>
        <w:rPr>
          <w:rStyle w:val="FootnoteReference"/>
        </w:rPr>
        <w:footnoteRef/>
      </w:r>
      <w:r>
        <w:t xml:space="preserve"> </w:t>
      </w:r>
      <w:r>
        <w:tab/>
        <w:t xml:space="preserve">There are several alternatives available, including single linkage, complete linkage, average linkage, centroid method and density </w:t>
      </w:r>
      <w:r w:rsidRPr="00F476B8">
        <w:t xml:space="preserve">linkage </w:t>
      </w:r>
      <w:r w:rsidRPr="00F3215E">
        <w:t xml:space="preserve">(see </w:t>
      </w:r>
      <w:proofErr w:type="spellStart"/>
      <w:r w:rsidRPr="00F3215E">
        <w:t>Lattin</w:t>
      </w:r>
      <w:proofErr w:type="spellEnd"/>
      <w:r w:rsidR="006A60C5">
        <w:t>,</w:t>
      </w:r>
      <w:r w:rsidRPr="00F3215E">
        <w:t xml:space="preserve"> </w:t>
      </w:r>
      <w:r w:rsidR="006A60C5">
        <w:t>Carroll and Green</w:t>
      </w:r>
      <w:r w:rsidRPr="00F3215E">
        <w:t xml:space="preserve"> </w:t>
      </w:r>
      <w:r>
        <w:t>(</w:t>
      </w:r>
      <w:r w:rsidRPr="00F3215E">
        <w:t>2003</w:t>
      </w:r>
      <w:r>
        <w:t>) for further details</w:t>
      </w:r>
      <w:r w:rsidRPr="00F3215E">
        <w:t>)</w:t>
      </w:r>
      <w:r w:rsidRPr="00F476B8">
        <w:t>.</w:t>
      </w:r>
    </w:p>
  </w:footnote>
  <w:footnote w:id="9">
    <w:p w:rsidR="002C57D4" w:rsidRDefault="002C57D4" w:rsidP="00DD433D">
      <w:pPr>
        <w:pStyle w:val="FootnoteText"/>
      </w:pPr>
      <w:r>
        <w:rPr>
          <w:rStyle w:val="FootnoteReference"/>
        </w:rPr>
        <w:footnoteRef/>
      </w:r>
      <w:r>
        <w:t xml:space="preserve"> </w:t>
      </w:r>
      <w:r>
        <w:tab/>
      </w:r>
      <w:proofErr w:type="spellStart"/>
      <w:r>
        <w:t>Aisenbrey</w:t>
      </w:r>
      <w:proofErr w:type="spellEnd"/>
      <w:r>
        <w:t xml:space="preserve"> and </w:t>
      </w:r>
      <w:proofErr w:type="spellStart"/>
      <w:r>
        <w:t>Fasang</w:t>
      </w:r>
      <w:proofErr w:type="spellEnd"/>
      <w:r>
        <w:t xml:space="preserve"> (2010) suggest the use of cluster cut-off criteria in these instances to validate the number of clusters found in the data. Alternatively, the relative within and between cluster variation could be compared at each stage of the clustering process. </w:t>
      </w:r>
    </w:p>
  </w:footnote>
  <w:footnote w:id="10">
    <w:p w:rsidR="002C57D4" w:rsidRDefault="002C57D4">
      <w:pPr>
        <w:pStyle w:val="FootnoteText"/>
      </w:pPr>
      <w:r>
        <w:rPr>
          <w:rStyle w:val="FootnoteReference"/>
        </w:rPr>
        <w:footnoteRef/>
      </w:r>
      <w:r>
        <w:t xml:space="preserve"> </w:t>
      </w:r>
      <w:r>
        <w:tab/>
        <w:t xml:space="preserve">The approach, which has been named the dynamic Hamming model, is an extension to Hamming’s distance, which is equal to the number of substitutions required to align two sequences. See </w:t>
      </w:r>
      <w:proofErr w:type="spellStart"/>
      <w:r>
        <w:t>Lesnard</w:t>
      </w:r>
      <w:proofErr w:type="spellEnd"/>
      <w:r>
        <w:t xml:space="preserve"> (2010) for further discussion about dynamic substitution costs.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2C57D4">
      <w:tc>
        <w:tcPr>
          <w:tcW w:w="2155" w:type="dxa"/>
          <w:tcBorders>
            <w:top w:val="single" w:sz="24" w:space="0" w:color="auto"/>
          </w:tcBorders>
        </w:tcPr>
        <w:p w:rsidR="002C57D4" w:rsidRDefault="002C57D4" w:rsidP="0019293B">
          <w:pPr>
            <w:pStyle w:val="HeaderEven"/>
          </w:pPr>
        </w:p>
      </w:tc>
      <w:tc>
        <w:tcPr>
          <w:tcW w:w="6634" w:type="dxa"/>
          <w:tcBorders>
            <w:top w:val="single" w:sz="6" w:space="0" w:color="auto"/>
          </w:tcBorders>
        </w:tcPr>
        <w:p w:rsidR="002C57D4" w:rsidRDefault="002C57D4" w:rsidP="0019293B">
          <w:pPr>
            <w:pStyle w:val="HeaderEven"/>
          </w:pPr>
        </w:p>
      </w:tc>
    </w:tr>
  </w:tbl>
  <w:p w:rsidR="002C57D4" w:rsidRDefault="002C57D4"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2C57D4">
      <w:tc>
        <w:tcPr>
          <w:tcW w:w="6634" w:type="dxa"/>
          <w:tcBorders>
            <w:top w:val="single" w:sz="6" w:space="0" w:color="auto"/>
          </w:tcBorders>
        </w:tcPr>
        <w:p w:rsidR="002C57D4" w:rsidRDefault="002C57D4" w:rsidP="00E669E2">
          <w:pPr>
            <w:pStyle w:val="HeaderOdd"/>
          </w:pPr>
        </w:p>
      </w:tc>
      <w:tc>
        <w:tcPr>
          <w:tcW w:w="2155" w:type="dxa"/>
          <w:tcBorders>
            <w:top w:val="single" w:sz="24" w:space="0" w:color="auto"/>
          </w:tcBorders>
        </w:tcPr>
        <w:p w:rsidR="002C57D4" w:rsidRDefault="002C57D4" w:rsidP="00E669E2">
          <w:pPr>
            <w:pStyle w:val="HeaderOdd"/>
          </w:pPr>
        </w:p>
      </w:tc>
    </w:tr>
  </w:tbl>
  <w:p w:rsidR="002C57D4" w:rsidRDefault="002C57D4"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3A9F15BE"/>
    <w:multiLevelType w:val="hybridMultilevel"/>
    <w:tmpl w:val="8E582F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4E904315"/>
    <w:multiLevelType w:val="hybridMultilevel"/>
    <w:tmpl w:val="FB06CCF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1F74561"/>
    <w:multiLevelType w:val="singleLevel"/>
    <w:tmpl w:val="ED98921A"/>
    <w:lvl w:ilvl="0">
      <w:start w:val="1"/>
      <w:numFmt w:val="decimal"/>
      <w:lvlText w:val="%1."/>
      <w:legacy w:legacy="1" w:legacySpace="0" w:legacyIndent="340"/>
      <w:lvlJc w:val="left"/>
      <w:pPr>
        <w:ind w:left="340" w:hanging="340"/>
      </w:pPr>
    </w:lvl>
  </w:abstractNum>
  <w:abstractNum w:abstractNumId="27">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8">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9">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3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1">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2">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3">
    <w:nsid w:val="5A096576"/>
    <w:multiLevelType w:val="singleLevel"/>
    <w:tmpl w:val="ED98921A"/>
    <w:lvl w:ilvl="0">
      <w:start w:val="1"/>
      <w:numFmt w:val="decimal"/>
      <w:lvlText w:val="%1."/>
      <w:legacy w:legacy="1" w:legacySpace="0" w:legacyIndent="340"/>
      <w:lvlJc w:val="left"/>
      <w:pPr>
        <w:ind w:left="340" w:hanging="340"/>
      </w:pPr>
    </w:lvl>
  </w:abstractNum>
  <w:abstractNum w:abstractNumId="34">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60055F7F"/>
    <w:multiLevelType w:val="singleLevel"/>
    <w:tmpl w:val="ED98921A"/>
    <w:lvl w:ilvl="0">
      <w:start w:val="1"/>
      <w:numFmt w:val="decimal"/>
      <w:lvlText w:val="%1."/>
      <w:legacy w:legacy="1" w:legacySpace="0" w:legacyIndent="340"/>
      <w:lvlJc w:val="left"/>
      <w:pPr>
        <w:ind w:left="340" w:hanging="340"/>
      </w:pPr>
    </w:lvl>
  </w:abstractNum>
  <w:abstractNum w:abstractNumId="36">
    <w:nsid w:val="608E741E"/>
    <w:multiLevelType w:val="singleLevel"/>
    <w:tmpl w:val="ED98921A"/>
    <w:lvl w:ilvl="0">
      <w:start w:val="1"/>
      <w:numFmt w:val="decimal"/>
      <w:lvlText w:val="%1."/>
      <w:legacy w:legacy="1" w:legacySpace="0" w:legacyIndent="340"/>
      <w:lvlJc w:val="left"/>
      <w:pPr>
        <w:ind w:left="340" w:hanging="340"/>
      </w:pPr>
    </w:lvl>
  </w:abstractNum>
  <w:abstractNum w:abstractNumId="37">
    <w:nsid w:val="61320C1E"/>
    <w:multiLevelType w:val="singleLevel"/>
    <w:tmpl w:val="C444122C"/>
    <w:lvl w:ilvl="0">
      <w:start w:val="1"/>
      <w:numFmt w:val="decimal"/>
      <w:lvlText w:val="%1."/>
      <w:legacy w:legacy="1" w:legacySpace="0" w:legacyIndent="284"/>
      <w:lvlJc w:val="left"/>
      <w:pPr>
        <w:ind w:left="284" w:hanging="284"/>
      </w:pPr>
    </w:lvl>
  </w:abstractNum>
  <w:abstractNum w:abstractNumId="38">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9">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40">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1">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2">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6">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4"/>
  </w:num>
  <w:num w:numId="4">
    <w:abstractNumId w:val="7"/>
  </w:num>
  <w:num w:numId="5">
    <w:abstractNumId w:val="5"/>
  </w:num>
  <w:num w:numId="6">
    <w:abstractNumId w:val="27"/>
  </w:num>
  <w:num w:numId="7">
    <w:abstractNumId w:val="3"/>
  </w:num>
  <w:num w:numId="8">
    <w:abstractNumId w:val="9"/>
  </w:num>
  <w:num w:numId="9">
    <w:abstractNumId w:val="2"/>
  </w:num>
  <w:num w:numId="10">
    <w:abstractNumId w:val="39"/>
  </w:num>
  <w:num w:numId="11">
    <w:abstractNumId w:val="4"/>
  </w:num>
  <w:num w:numId="12">
    <w:abstractNumId w:val="1"/>
  </w:num>
  <w:num w:numId="13">
    <w:abstractNumId w:val="0"/>
  </w:num>
  <w:num w:numId="14">
    <w:abstractNumId w:val="30"/>
  </w:num>
  <w:num w:numId="15">
    <w:abstractNumId w:val="45"/>
  </w:num>
  <w:num w:numId="16">
    <w:abstractNumId w:val="17"/>
  </w:num>
  <w:num w:numId="17">
    <w:abstractNumId w:val="16"/>
  </w:num>
  <w:num w:numId="18">
    <w:abstractNumId w:val="28"/>
  </w:num>
  <w:num w:numId="19">
    <w:abstractNumId w:val="12"/>
  </w:num>
  <w:num w:numId="20">
    <w:abstractNumId w:val="36"/>
  </w:num>
  <w:num w:numId="21">
    <w:abstractNumId w:val="38"/>
  </w:num>
  <w:num w:numId="22">
    <w:abstractNumId w:val="26"/>
  </w:num>
  <w:num w:numId="23">
    <w:abstractNumId w:val="29"/>
  </w:num>
  <w:num w:numId="24">
    <w:abstractNumId w:val="31"/>
  </w:num>
  <w:num w:numId="25">
    <w:abstractNumId w:val="43"/>
  </w:num>
  <w:num w:numId="26">
    <w:abstractNumId w:val="35"/>
  </w:num>
  <w:num w:numId="27">
    <w:abstractNumId w:val="40"/>
  </w:num>
  <w:num w:numId="28">
    <w:abstractNumId w:val="41"/>
  </w:num>
  <w:num w:numId="29">
    <w:abstractNumId w:val="33"/>
  </w:num>
  <w:num w:numId="30">
    <w:abstractNumId w:val="21"/>
  </w:num>
  <w:num w:numId="31">
    <w:abstractNumId w:val="46"/>
  </w:num>
  <w:num w:numId="32">
    <w:abstractNumId w:val="15"/>
  </w:num>
  <w:num w:numId="33">
    <w:abstractNumId w:val="8"/>
  </w:num>
  <w:num w:numId="34">
    <w:abstractNumId w:val="18"/>
  </w:num>
  <w:num w:numId="35">
    <w:abstractNumId w:val="42"/>
  </w:num>
  <w:num w:numId="36">
    <w:abstractNumId w:val="34"/>
  </w:num>
  <w:num w:numId="37">
    <w:abstractNumId w:val="13"/>
  </w:num>
  <w:num w:numId="38">
    <w:abstractNumId w:val="37"/>
  </w:num>
  <w:num w:numId="39">
    <w:abstractNumId w:val="14"/>
  </w:num>
  <w:num w:numId="40">
    <w:abstractNumId w:val="17"/>
  </w:num>
  <w:num w:numId="41">
    <w:abstractNumId w:val="9"/>
  </w:num>
  <w:num w:numId="42">
    <w:abstractNumId w:val="24"/>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3"/>
  </w:num>
  <w:num w:numId="47">
    <w:abstractNumId w:val="10"/>
  </w:num>
  <w:num w:numId="48">
    <w:abstractNumId w:val="32"/>
  </w:num>
  <w:num w:numId="49">
    <w:abstractNumId w:val="25"/>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B"/>
    <w:docVar w:name="FindingOptions" w:val="1"/>
    <w:docVar w:name="RecOptions" w:val="111"/>
    <w:docVar w:name="ShortChapterTitle" w:val="Optimal matching and cluster analysis"/>
    <w:docVar w:name="ShortReportTitle" w:val="Prevalence of transition pathways"/>
  </w:docVars>
  <w:rsids>
    <w:rsidRoot w:val="004537A5"/>
    <w:rsid w:val="000001D8"/>
    <w:rsid w:val="0000155A"/>
    <w:rsid w:val="00004C4D"/>
    <w:rsid w:val="00004ED4"/>
    <w:rsid w:val="00010976"/>
    <w:rsid w:val="00012149"/>
    <w:rsid w:val="00022701"/>
    <w:rsid w:val="000227D5"/>
    <w:rsid w:val="000245AA"/>
    <w:rsid w:val="00025242"/>
    <w:rsid w:val="0003664B"/>
    <w:rsid w:val="000409F6"/>
    <w:rsid w:val="0004111F"/>
    <w:rsid w:val="00050E50"/>
    <w:rsid w:val="00052422"/>
    <w:rsid w:val="000528E3"/>
    <w:rsid w:val="000536BA"/>
    <w:rsid w:val="000565B3"/>
    <w:rsid w:val="000673E6"/>
    <w:rsid w:val="00070D66"/>
    <w:rsid w:val="0007150B"/>
    <w:rsid w:val="00075337"/>
    <w:rsid w:val="00081787"/>
    <w:rsid w:val="000819D8"/>
    <w:rsid w:val="000825A6"/>
    <w:rsid w:val="00090FFA"/>
    <w:rsid w:val="0009213F"/>
    <w:rsid w:val="000938F5"/>
    <w:rsid w:val="000942B8"/>
    <w:rsid w:val="00096E55"/>
    <w:rsid w:val="000976C0"/>
    <w:rsid w:val="000A72F1"/>
    <w:rsid w:val="000A7CC6"/>
    <w:rsid w:val="000B03F6"/>
    <w:rsid w:val="000B0830"/>
    <w:rsid w:val="000B55BE"/>
    <w:rsid w:val="000B601B"/>
    <w:rsid w:val="000C207E"/>
    <w:rsid w:val="000C295F"/>
    <w:rsid w:val="000C6294"/>
    <w:rsid w:val="000D059C"/>
    <w:rsid w:val="000D2EC0"/>
    <w:rsid w:val="000E3BAA"/>
    <w:rsid w:val="000E429D"/>
    <w:rsid w:val="000E7811"/>
    <w:rsid w:val="000F0035"/>
    <w:rsid w:val="000F20BD"/>
    <w:rsid w:val="000F3DB3"/>
    <w:rsid w:val="000F420B"/>
    <w:rsid w:val="000F5700"/>
    <w:rsid w:val="000F632A"/>
    <w:rsid w:val="001012BA"/>
    <w:rsid w:val="001034B4"/>
    <w:rsid w:val="00105B3B"/>
    <w:rsid w:val="00106764"/>
    <w:rsid w:val="00110116"/>
    <w:rsid w:val="00114B31"/>
    <w:rsid w:val="00117916"/>
    <w:rsid w:val="00120072"/>
    <w:rsid w:val="00125353"/>
    <w:rsid w:val="00126EB8"/>
    <w:rsid w:val="0012718A"/>
    <w:rsid w:val="001274D4"/>
    <w:rsid w:val="001363AA"/>
    <w:rsid w:val="0015310A"/>
    <w:rsid w:val="001541A3"/>
    <w:rsid w:val="00155165"/>
    <w:rsid w:val="00165A60"/>
    <w:rsid w:val="00167B4F"/>
    <w:rsid w:val="001730DD"/>
    <w:rsid w:val="00174241"/>
    <w:rsid w:val="001765FE"/>
    <w:rsid w:val="00183E82"/>
    <w:rsid w:val="001878BB"/>
    <w:rsid w:val="00191AE0"/>
    <w:rsid w:val="0019293B"/>
    <w:rsid w:val="00192B51"/>
    <w:rsid w:val="00193EF6"/>
    <w:rsid w:val="001958FF"/>
    <w:rsid w:val="001A4DFB"/>
    <w:rsid w:val="001A7C97"/>
    <w:rsid w:val="001B0388"/>
    <w:rsid w:val="001B2935"/>
    <w:rsid w:val="001C078C"/>
    <w:rsid w:val="001C0865"/>
    <w:rsid w:val="001C0C17"/>
    <w:rsid w:val="001C3ABA"/>
    <w:rsid w:val="001C7303"/>
    <w:rsid w:val="001C7C31"/>
    <w:rsid w:val="001D0C5F"/>
    <w:rsid w:val="001E2292"/>
    <w:rsid w:val="001E6099"/>
    <w:rsid w:val="001E76A2"/>
    <w:rsid w:val="001E7BE8"/>
    <w:rsid w:val="001F0248"/>
    <w:rsid w:val="001F1F1B"/>
    <w:rsid w:val="001F3EB3"/>
    <w:rsid w:val="001F4F86"/>
    <w:rsid w:val="002010FF"/>
    <w:rsid w:val="00202328"/>
    <w:rsid w:val="00202C2C"/>
    <w:rsid w:val="00203B9F"/>
    <w:rsid w:val="002135AB"/>
    <w:rsid w:val="002144BE"/>
    <w:rsid w:val="00215DE7"/>
    <w:rsid w:val="00216058"/>
    <w:rsid w:val="0021735A"/>
    <w:rsid w:val="00221A4D"/>
    <w:rsid w:val="00223033"/>
    <w:rsid w:val="00226458"/>
    <w:rsid w:val="00226E16"/>
    <w:rsid w:val="00227AF5"/>
    <w:rsid w:val="00231E7E"/>
    <w:rsid w:val="00234776"/>
    <w:rsid w:val="00234B9C"/>
    <w:rsid w:val="00242279"/>
    <w:rsid w:val="00245472"/>
    <w:rsid w:val="00245C82"/>
    <w:rsid w:val="00266B21"/>
    <w:rsid w:val="00271ADA"/>
    <w:rsid w:val="00285977"/>
    <w:rsid w:val="00285EB2"/>
    <w:rsid w:val="002913D5"/>
    <w:rsid w:val="00291B40"/>
    <w:rsid w:val="00293879"/>
    <w:rsid w:val="00294555"/>
    <w:rsid w:val="0029474C"/>
    <w:rsid w:val="00297F2B"/>
    <w:rsid w:val="002B4008"/>
    <w:rsid w:val="002B41F6"/>
    <w:rsid w:val="002B44B9"/>
    <w:rsid w:val="002C2201"/>
    <w:rsid w:val="002C57D4"/>
    <w:rsid w:val="002C60E1"/>
    <w:rsid w:val="002C739C"/>
    <w:rsid w:val="002D0E8E"/>
    <w:rsid w:val="002D2E25"/>
    <w:rsid w:val="002D5EF5"/>
    <w:rsid w:val="002E073A"/>
    <w:rsid w:val="002E241A"/>
    <w:rsid w:val="002F49D7"/>
    <w:rsid w:val="002F5F2C"/>
    <w:rsid w:val="00300CF0"/>
    <w:rsid w:val="00301189"/>
    <w:rsid w:val="0030691C"/>
    <w:rsid w:val="003142EC"/>
    <w:rsid w:val="00316B19"/>
    <w:rsid w:val="00316F4D"/>
    <w:rsid w:val="00323E09"/>
    <w:rsid w:val="00332DD9"/>
    <w:rsid w:val="00333932"/>
    <w:rsid w:val="003364EB"/>
    <w:rsid w:val="003452D3"/>
    <w:rsid w:val="003518AA"/>
    <w:rsid w:val="00351D2B"/>
    <w:rsid w:val="00352165"/>
    <w:rsid w:val="00353182"/>
    <w:rsid w:val="00355C14"/>
    <w:rsid w:val="003565D9"/>
    <w:rsid w:val="003602E1"/>
    <w:rsid w:val="00360693"/>
    <w:rsid w:val="00367F11"/>
    <w:rsid w:val="0037026F"/>
    <w:rsid w:val="003706D1"/>
    <w:rsid w:val="00371240"/>
    <w:rsid w:val="00371D9A"/>
    <w:rsid w:val="00374731"/>
    <w:rsid w:val="00376E59"/>
    <w:rsid w:val="0037728E"/>
    <w:rsid w:val="003919F9"/>
    <w:rsid w:val="00391FF7"/>
    <w:rsid w:val="00396F78"/>
    <w:rsid w:val="003A1776"/>
    <w:rsid w:val="003A1A15"/>
    <w:rsid w:val="003A2449"/>
    <w:rsid w:val="003A671B"/>
    <w:rsid w:val="003A6BA6"/>
    <w:rsid w:val="003B1A86"/>
    <w:rsid w:val="003B593C"/>
    <w:rsid w:val="003C38B5"/>
    <w:rsid w:val="003C4392"/>
    <w:rsid w:val="003C4465"/>
    <w:rsid w:val="003C548C"/>
    <w:rsid w:val="003C5D99"/>
    <w:rsid w:val="003D13E3"/>
    <w:rsid w:val="003D63F1"/>
    <w:rsid w:val="003D663E"/>
    <w:rsid w:val="003E2F59"/>
    <w:rsid w:val="003E36E7"/>
    <w:rsid w:val="003E479C"/>
    <w:rsid w:val="003E6935"/>
    <w:rsid w:val="003F0789"/>
    <w:rsid w:val="003F29EB"/>
    <w:rsid w:val="003F7073"/>
    <w:rsid w:val="0040184E"/>
    <w:rsid w:val="00401882"/>
    <w:rsid w:val="00401A16"/>
    <w:rsid w:val="004028DF"/>
    <w:rsid w:val="00406E44"/>
    <w:rsid w:val="004100C8"/>
    <w:rsid w:val="00411DBD"/>
    <w:rsid w:val="0041237E"/>
    <w:rsid w:val="00412ACE"/>
    <w:rsid w:val="0041756A"/>
    <w:rsid w:val="00424F63"/>
    <w:rsid w:val="004258ED"/>
    <w:rsid w:val="00431249"/>
    <w:rsid w:val="00434C19"/>
    <w:rsid w:val="00436F21"/>
    <w:rsid w:val="00440A53"/>
    <w:rsid w:val="00441079"/>
    <w:rsid w:val="00443C1A"/>
    <w:rsid w:val="00450810"/>
    <w:rsid w:val="004537A5"/>
    <w:rsid w:val="00453D88"/>
    <w:rsid w:val="0045447D"/>
    <w:rsid w:val="0045525E"/>
    <w:rsid w:val="00455A9E"/>
    <w:rsid w:val="0046055E"/>
    <w:rsid w:val="00461999"/>
    <w:rsid w:val="0047000C"/>
    <w:rsid w:val="00472A8D"/>
    <w:rsid w:val="00475F66"/>
    <w:rsid w:val="00477144"/>
    <w:rsid w:val="0048049F"/>
    <w:rsid w:val="004815E1"/>
    <w:rsid w:val="00483C9B"/>
    <w:rsid w:val="004865B4"/>
    <w:rsid w:val="004870C7"/>
    <w:rsid w:val="004906A4"/>
    <w:rsid w:val="004911B2"/>
    <w:rsid w:val="00491380"/>
    <w:rsid w:val="0049459F"/>
    <w:rsid w:val="004A38DD"/>
    <w:rsid w:val="004A7F10"/>
    <w:rsid w:val="004B3B1A"/>
    <w:rsid w:val="004B43AE"/>
    <w:rsid w:val="004B75E4"/>
    <w:rsid w:val="004C1802"/>
    <w:rsid w:val="004C1FFC"/>
    <w:rsid w:val="004C30ED"/>
    <w:rsid w:val="004C357F"/>
    <w:rsid w:val="004C4782"/>
    <w:rsid w:val="004D24AF"/>
    <w:rsid w:val="004D5675"/>
    <w:rsid w:val="004D5C4C"/>
    <w:rsid w:val="004D604A"/>
    <w:rsid w:val="004D6E10"/>
    <w:rsid w:val="004F64D0"/>
    <w:rsid w:val="004F6814"/>
    <w:rsid w:val="0050167C"/>
    <w:rsid w:val="00501B28"/>
    <w:rsid w:val="005031C7"/>
    <w:rsid w:val="00507288"/>
    <w:rsid w:val="00511F6D"/>
    <w:rsid w:val="005179A7"/>
    <w:rsid w:val="00523639"/>
    <w:rsid w:val="00531FE5"/>
    <w:rsid w:val="005402FA"/>
    <w:rsid w:val="00543F0B"/>
    <w:rsid w:val="00545088"/>
    <w:rsid w:val="00556666"/>
    <w:rsid w:val="005665B4"/>
    <w:rsid w:val="00567BE3"/>
    <w:rsid w:val="005809CC"/>
    <w:rsid w:val="00583C39"/>
    <w:rsid w:val="00587F28"/>
    <w:rsid w:val="005909CF"/>
    <w:rsid w:val="00591E71"/>
    <w:rsid w:val="00592893"/>
    <w:rsid w:val="00592FDC"/>
    <w:rsid w:val="005A03B3"/>
    <w:rsid w:val="005A0D41"/>
    <w:rsid w:val="005A4BE3"/>
    <w:rsid w:val="005A4E68"/>
    <w:rsid w:val="005B1277"/>
    <w:rsid w:val="005B2B3B"/>
    <w:rsid w:val="005B6DA4"/>
    <w:rsid w:val="005C74E2"/>
    <w:rsid w:val="005D0FAF"/>
    <w:rsid w:val="005D32F7"/>
    <w:rsid w:val="005D7AA5"/>
    <w:rsid w:val="005E6008"/>
    <w:rsid w:val="005F0B66"/>
    <w:rsid w:val="005F2394"/>
    <w:rsid w:val="005F4447"/>
    <w:rsid w:val="005F4BC6"/>
    <w:rsid w:val="00601550"/>
    <w:rsid w:val="006048CD"/>
    <w:rsid w:val="00605805"/>
    <w:rsid w:val="00605D04"/>
    <w:rsid w:val="00607BF1"/>
    <w:rsid w:val="00610C6F"/>
    <w:rsid w:val="00611FCA"/>
    <w:rsid w:val="006146F2"/>
    <w:rsid w:val="00622887"/>
    <w:rsid w:val="00625B29"/>
    <w:rsid w:val="00626093"/>
    <w:rsid w:val="00630D4D"/>
    <w:rsid w:val="00632A74"/>
    <w:rsid w:val="00634258"/>
    <w:rsid w:val="00634F71"/>
    <w:rsid w:val="00641C3F"/>
    <w:rsid w:val="00650567"/>
    <w:rsid w:val="00657938"/>
    <w:rsid w:val="006622D5"/>
    <w:rsid w:val="00667866"/>
    <w:rsid w:val="00694559"/>
    <w:rsid w:val="006A26AC"/>
    <w:rsid w:val="006A4655"/>
    <w:rsid w:val="006A60C5"/>
    <w:rsid w:val="006A6623"/>
    <w:rsid w:val="006B01C9"/>
    <w:rsid w:val="006B1143"/>
    <w:rsid w:val="006B1E67"/>
    <w:rsid w:val="006B2B3C"/>
    <w:rsid w:val="006B2FCE"/>
    <w:rsid w:val="006B6480"/>
    <w:rsid w:val="006C1D81"/>
    <w:rsid w:val="006C7038"/>
    <w:rsid w:val="006D08D4"/>
    <w:rsid w:val="006E11B0"/>
    <w:rsid w:val="006E1268"/>
    <w:rsid w:val="006E73EF"/>
    <w:rsid w:val="006F4281"/>
    <w:rsid w:val="00701290"/>
    <w:rsid w:val="0070347D"/>
    <w:rsid w:val="00703740"/>
    <w:rsid w:val="007037B8"/>
    <w:rsid w:val="00706B07"/>
    <w:rsid w:val="007115E3"/>
    <w:rsid w:val="00714D4D"/>
    <w:rsid w:val="00735F57"/>
    <w:rsid w:val="00750517"/>
    <w:rsid w:val="00751228"/>
    <w:rsid w:val="00753A76"/>
    <w:rsid w:val="007604BB"/>
    <w:rsid w:val="00767EC4"/>
    <w:rsid w:val="00773A8E"/>
    <w:rsid w:val="00785232"/>
    <w:rsid w:val="00785634"/>
    <w:rsid w:val="007877C4"/>
    <w:rsid w:val="00790000"/>
    <w:rsid w:val="007950F9"/>
    <w:rsid w:val="00797536"/>
    <w:rsid w:val="007A21EB"/>
    <w:rsid w:val="007A402E"/>
    <w:rsid w:val="007A5FEB"/>
    <w:rsid w:val="007A69DA"/>
    <w:rsid w:val="007A69E6"/>
    <w:rsid w:val="007B1A57"/>
    <w:rsid w:val="007B1A93"/>
    <w:rsid w:val="007C321F"/>
    <w:rsid w:val="007C36C9"/>
    <w:rsid w:val="007C49E9"/>
    <w:rsid w:val="007C67F7"/>
    <w:rsid w:val="007D367B"/>
    <w:rsid w:val="007D6401"/>
    <w:rsid w:val="007E01E4"/>
    <w:rsid w:val="007E5E17"/>
    <w:rsid w:val="007E7806"/>
    <w:rsid w:val="007F172C"/>
    <w:rsid w:val="007F1CC6"/>
    <w:rsid w:val="007F2C5A"/>
    <w:rsid w:val="007F300B"/>
    <w:rsid w:val="007F35B1"/>
    <w:rsid w:val="007F6A1A"/>
    <w:rsid w:val="007F7107"/>
    <w:rsid w:val="007F7447"/>
    <w:rsid w:val="007F7DA9"/>
    <w:rsid w:val="00800D4C"/>
    <w:rsid w:val="0081030F"/>
    <w:rsid w:val="00810FA9"/>
    <w:rsid w:val="00811561"/>
    <w:rsid w:val="008156A9"/>
    <w:rsid w:val="0082087D"/>
    <w:rsid w:val="00821FEF"/>
    <w:rsid w:val="00830F76"/>
    <w:rsid w:val="00831C87"/>
    <w:rsid w:val="00833273"/>
    <w:rsid w:val="00835771"/>
    <w:rsid w:val="00835C0E"/>
    <w:rsid w:val="00842933"/>
    <w:rsid w:val="0084315B"/>
    <w:rsid w:val="00843610"/>
    <w:rsid w:val="00845F55"/>
    <w:rsid w:val="00852586"/>
    <w:rsid w:val="00854C66"/>
    <w:rsid w:val="00856325"/>
    <w:rsid w:val="0086082C"/>
    <w:rsid w:val="00860EE9"/>
    <w:rsid w:val="00864ADC"/>
    <w:rsid w:val="00865AE6"/>
    <w:rsid w:val="00870F4D"/>
    <w:rsid w:val="00873551"/>
    <w:rsid w:val="00875AB2"/>
    <w:rsid w:val="00875C03"/>
    <w:rsid w:val="00877C61"/>
    <w:rsid w:val="00880153"/>
    <w:rsid w:val="00880F97"/>
    <w:rsid w:val="0088133A"/>
    <w:rsid w:val="00881728"/>
    <w:rsid w:val="008834DE"/>
    <w:rsid w:val="00884B91"/>
    <w:rsid w:val="008917B4"/>
    <w:rsid w:val="0089285E"/>
    <w:rsid w:val="0089436C"/>
    <w:rsid w:val="0089502D"/>
    <w:rsid w:val="008A63CC"/>
    <w:rsid w:val="008C1BEF"/>
    <w:rsid w:val="008C4508"/>
    <w:rsid w:val="008C5114"/>
    <w:rsid w:val="008C6F0A"/>
    <w:rsid w:val="008D365C"/>
    <w:rsid w:val="008F24BE"/>
    <w:rsid w:val="00900457"/>
    <w:rsid w:val="00901D50"/>
    <w:rsid w:val="009030BF"/>
    <w:rsid w:val="00905973"/>
    <w:rsid w:val="00905B7E"/>
    <w:rsid w:val="0091032F"/>
    <w:rsid w:val="009133FB"/>
    <w:rsid w:val="00913FB7"/>
    <w:rsid w:val="00914368"/>
    <w:rsid w:val="00915B63"/>
    <w:rsid w:val="00925E9E"/>
    <w:rsid w:val="00926ECC"/>
    <w:rsid w:val="00931076"/>
    <w:rsid w:val="009345D9"/>
    <w:rsid w:val="00934B15"/>
    <w:rsid w:val="00940C87"/>
    <w:rsid w:val="0094183E"/>
    <w:rsid w:val="00942B62"/>
    <w:rsid w:val="00944AE6"/>
    <w:rsid w:val="00944B3A"/>
    <w:rsid w:val="00945B66"/>
    <w:rsid w:val="009524F2"/>
    <w:rsid w:val="009527B7"/>
    <w:rsid w:val="00952ADB"/>
    <w:rsid w:val="0095323B"/>
    <w:rsid w:val="00956A0C"/>
    <w:rsid w:val="00956BD9"/>
    <w:rsid w:val="0096054D"/>
    <w:rsid w:val="00962489"/>
    <w:rsid w:val="00970D6F"/>
    <w:rsid w:val="009736F7"/>
    <w:rsid w:val="009773BB"/>
    <w:rsid w:val="00983009"/>
    <w:rsid w:val="00987755"/>
    <w:rsid w:val="00990C2C"/>
    <w:rsid w:val="009A1361"/>
    <w:rsid w:val="009A136D"/>
    <w:rsid w:val="009A3630"/>
    <w:rsid w:val="009A3640"/>
    <w:rsid w:val="009B5A93"/>
    <w:rsid w:val="009B6E64"/>
    <w:rsid w:val="009C549F"/>
    <w:rsid w:val="009D230B"/>
    <w:rsid w:val="009D673E"/>
    <w:rsid w:val="009E1844"/>
    <w:rsid w:val="009E59F7"/>
    <w:rsid w:val="009E7293"/>
    <w:rsid w:val="009E79E5"/>
    <w:rsid w:val="009F067A"/>
    <w:rsid w:val="009F0D1B"/>
    <w:rsid w:val="009F2377"/>
    <w:rsid w:val="009F3B8A"/>
    <w:rsid w:val="009F696D"/>
    <w:rsid w:val="009F6BC6"/>
    <w:rsid w:val="00A133A8"/>
    <w:rsid w:val="00A17313"/>
    <w:rsid w:val="00A17328"/>
    <w:rsid w:val="00A23A20"/>
    <w:rsid w:val="00A268B9"/>
    <w:rsid w:val="00A269B0"/>
    <w:rsid w:val="00A26CC7"/>
    <w:rsid w:val="00A2703A"/>
    <w:rsid w:val="00A33AFD"/>
    <w:rsid w:val="00A33DFF"/>
    <w:rsid w:val="00A342C2"/>
    <w:rsid w:val="00A35115"/>
    <w:rsid w:val="00A35304"/>
    <w:rsid w:val="00A35790"/>
    <w:rsid w:val="00A36D9A"/>
    <w:rsid w:val="00A45785"/>
    <w:rsid w:val="00A52668"/>
    <w:rsid w:val="00A528AA"/>
    <w:rsid w:val="00A554AB"/>
    <w:rsid w:val="00A56EF8"/>
    <w:rsid w:val="00A56FBC"/>
    <w:rsid w:val="00A57062"/>
    <w:rsid w:val="00A61060"/>
    <w:rsid w:val="00A63760"/>
    <w:rsid w:val="00A639EB"/>
    <w:rsid w:val="00A72F26"/>
    <w:rsid w:val="00A737DD"/>
    <w:rsid w:val="00A75BA9"/>
    <w:rsid w:val="00A81386"/>
    <w:rsid w:val="00A826C0"/>
    <w:rsid w:val="00A85612"/>
    <w:rsid w:val="00A9239D"/>
    <w:rsid w:val="00A92B53"/>
    <w:rsid w:val="00A94056"/>
    <w:rsid w:val="00A94FA6"/>
    <w:rsid w:val="00AA49A0"/>
    <w:rsid w:val="00AA6710"/>
    <w:rsid w:val="00AA6F32"/>
    <w:rsid w:val="00AB0681"/>
    <w:rsid w:val="00AB5B72"/>
    <w:rsid w:val="00AC01DC"/>
    <w:rsid w:val="00AC2F8E"/>
    <w:rsid w:val="00AC49A6"/>
    <w:rsid w:val="00AC791E"/>
    <w:rsid w:val="00AD3DE2"/>
    <w:rsid w:val="00AD5161"/>
    <w:rsid w:val="00AD520B"/>
    <w:rsid w:val="00AE3A70"/>
    <w:rsid w:val="00B0267C"/>
    <w:rsid w:val="00B06EE7"/>
    <w:rsid w:val="00B071F6"/>
    <w:rsid w:val="00B151D0"/>
    <w:rsid w:val="00B20FE5"/>
    <w:rsid w:val="00B22FA4"/>
    <w:rsid w:val="00B24854"/>
    <w:rsid w:val="00B30C15"/>
    <w:rsid w:val="00B36BF2"/>
    <w:rsid w:val="00B425C3"/>
    <w:rsid w:val="00B440AD"/>
    <w:rsid w:val="00B479BB"/>
    <w:rsid w:val="00B53E7E"/>
    <w:rsid w:val="00B55C0E"/>
    <w:rsid w:val="00B60C56"/>
    <w:rsid w:val="00B6342E"/>
    <w:rsid w:val="00B710CB"/>
    <w:rsid w:val="00B7113F"/>
    <w:rsid w:val="00B80760"/>
    <w:rsid w:val="00B940A3"/>
    <w:rsid w:val="00BA738B"/>
    <w:rsid w:val="00BA73B6"/>
    <w:rsid w:val="00BA7BAF"/>
    <w:rsid w:val="00BA7E27"/>
    <w:rsid w:val="00BB1554"/>
    <w:rsid w:val="00BB2603"/>
    <w:rsid w:val="00BB404B"/>
    <w:rsid w:val="00BB4FCD"/>
    <w:rsid w:val="00BC04E9"/>
    <w:rsid w:val="00BD13EA"/>
    <w:rsid w:val="00BD52EB"/>
    <w:rsid w:val="00BD699F"/>
    <w:rsid w:val="00BD6D63"/>
    <w:rsid w:val="00BE0745"/>
    <w:rsid w:val="00BE33E1"/>
    <w:rsid w:val="00BE3808"/>
    <w:rsid w:val="00BF75A4"/>
    <w:rsid w:val="00C01A4F"/>
    <w:rsid w:val="00C0372C"/>
    <w:rsid w:val="00C062E9"/>
    <w:rsid w:val="00C0684D"/>
    <w:rsid w:val="00C07B64"/>
    <w:rsid w:val="00C13721"/>
    <w:rsid w:val="00C14DD4"/>
    <w:rsid w:val="00C14FE4"/>
    <w:rsid w:val="00C16698"/>
    <w:rsid w:val="00C25205"/>
    <w:rsid w:val="00C3066D"/>
    <w:rsid w:val="00C32A7D"/>
    <w:rsid w:val="00C36EA6"/>
    <w:rsid w:val="00C422FE"/>
    <w:rsid w:val="00C4361E"/>
    <w:rsid w:val="00C43A25"/>
    <w:rsid w:val="00C44E1A"/>
    <w:rsid w:val="00C52416"/>
    <w:rsid w:val="00C53AA5"/>
    <w:rsid w:val="00C53BB3"/>
    <w:rsid w:val="00C543F4"/>
    <w:rsid w:val="00C6291C"/>
    <w:rsid w:val="00C633CB"/>
    <w:rsid w:val="00C63861"/>
    <w:rsid w:val="00C70F5B"/>
    <w:rsid w:val="00C72F2C"/>
    <w:rsid w:val="00C736B7"/>
    <w:rsid w:val="00C76B5F"/>
    <w:rsid w:val="00C77714"/>
    <w:rsid w:val="00C81D4A"/>
    <w:rsid w:val="00C8762C"/>
    <w:rsid w:val="00CA0035"/>
    <w:rsid w:val="00CA00F9"/>
    <w:rsid w:val="00CA2961"/>
    <w:rsid w:val="00CB50D7"/>
    <w:rsid w:val="00CB66F0"/>
    <w:rsid w:val="00CB7177"/>
    <w:rsid w:val="00CC0311"/>
    <w:rsid w:val="00CC1998"/>
    <w:rsid w:val="00CC4946"/>
    <w:rsid w:val="00CD01FD"/>
    <w:rsid w:val="00CD27FA"/>
    <w:rsid w:val="00CD5DDC"/>
    <w:rsid w:val="00CD699B"/>
    <w:rsid w:val="00CD7962"/>
    <w:rsid w:val="00CE0B96"/>
    <w:rsid w:val="00CE4BB5"/>
    <w:rsid w:val="00CE7B63"/>
    <w:rsid w:val="00CF3438"/>
    <w:rsid w:val="00CF3541"/>
    <w:rsid w:val="00CF3DA9"/>
    <w:rsid w:val="00D0266E"/>
    <w:rsid w:val="00D02D85"/>
    <w:rsid w:val="00D16586"/>
    <w:rsid w:val="00D20CCD"/>
    <w:rsid w:val="00D24905"/>
    <w:rsid w:val="00D253DA"/>
    <w:rsid w:val="00D26803"/>
    <w:rsid w:val="00D270A4"/>
    <w:rsid w:val="00D31FE9"/>
    <w:rsid w:val="00D34E1B"/>
    <w:rsid w:val="00D376BA"/>
    <w:rsid w:val="00D37EAC"/>
    <w:rsid w:val="00D4478E"/>
    <w:rsid w:val="00D45634"/>
    <w:rsid w:val="00D47721"/>
    <w:rsid w:val="00D5568A"/>
    <w:rsid w:val="00D6114D"/>
    <w:rsid w:val="00D63D73"/>
    <w:rsid w:val="00D64452"/>
    <w:rsid w:val="00D6532F"/>
    <w:rsid w:val="00D66E1E"/>
    <w:rsid w:val="00D67CF7"/>
    <w:rsid w:val="00D721C5"/>
    <w:rsid w:val="00D75722"/>
    <w:rsid w:val="00D76C7F"/>
    <w:rsid w:val="00D80CF5"/>
    <w:rsid w:val="00D86F21"/>
    <w:rsid w:val="00D875CC"/>
    <w:rsid w:val="00D87B46"/>
    <w:rsid w:val="00D957E2"/>
    <w:rsid w:val="00D95AE1"/>
    <w:rsid w:val="00DA5BBA"/>
    <w:rsid w:val="00DA6345"/>
    <w:rsid w:val="00DA7247"/>
    <w:rsid w:val="00DB26D2"/>
    <w:rsid w:val="00DB67C9"/>
    <w:rsid w:val="00DC0C95"/>
    <w:rsid w:val="00DD0C37"/>
    <w:rsid w:val="00DD433D"/>
    <w:rsid w:val="00DD51D2"/>
    <w:rsid w:val="00DD5ED9"/>
    <w:rsid w:val="00DD6580"/>
    <w:rsid w:val="00DE1C3E"/>
    <w:rsid w:val="00DF3E7F"/>
    <w:rsid w:val="00DF42D9"/>
    <w:rsid w:val="00DF4EEB"/>
    <w:rsid w:val="00E00B6E"/>
    <w:rsid w:val="00E06467"/>
    <w:rsid w:val="00E06E74"/>
    <w:rsid w:val="00E07D2A"/>
    <w:rsid w:val="00E07E51"/>
    <w:rsid w:val="00E17C72"/>
    <w:rsid w:val="00E21FC6"/>
    <w:rsid w:val="00E27995"/>
    <w:rsid w:val="00E40164"/>
    <w:rsid w:val="00E42277"/>
    <w:rsid w:val="00E42FCB"/>
    <w:rsid w:val="00E431A9"/>
    <w:rsid w:val="00E451DA"/>
    <w:rsid w:val="00E6183B"/>
    <w:rsid w:val="00E61BB0"/>
    <w:rsid w:val="00E669E2"/>
    <w:rsid w:val="00E7074B"/>
    <w:rsid w:val="00E72305"/>
    <w:rsid w:val="00E76135"/>
    <w:rsid w:val="00E81738"/>
    <w:rsid w:val="00E823FF"/>
    <w:rsid w:val="00E82F4F"/>
    <w:rsid w:val="00E92EF9"/>
    <w:rsid w:val="00E93105"/>
    <w:rsid w:val="00EA3CED"/>
    <w:rsid w:val="00EA4DF3"/>
    <w:rsid w:val="00EB2DEB"/>
    <w:rsid w:val="00EC2844"/>
    <w:rsid w:val="00EC2879"/>
    <w:rsid w:val="00EC4084"/>
    <w:rsid w:val="00EC5500"/>
    <w:rsid w:val="00EC5563"/>
    <w:rsid w:val="00ED18F8"/>
    <w:rsid w:val="00ED1922"/>
    <w:rsid w:val="00ED6039"/>
    <w:rsid w:val="00ED6734"/>
    <w:rsid w:val="00ED774E"/>
    <w:rsid w:val="00EF5365"/>
    <w:rsid w:val="00EF6C6C"/>
    <w:rsid w:val="00F056FC"/>
    <w:rsid w:val="00F10476"/>
    <w:rsid w:val="00F135D8"/>
    <w:rsid w:val="00F20A73"/>
    <w:rsid w:val="00F22277"/>
    <w:rsid w:val="00F22C64"/>
    <w:rsid w:val="00F2664A"/>
    <w:rsid w:val="00F2751A"/>
    <w:rsid w:val="00F30DF4"/>
    <w:rsid w:val="00F30F52"/>
    <w:rsid w:val="00F31299"/>
    <w:rsid w:val="00F3534A"/>
    <w:rsid w:val="00F51609"/>
    <w:rsid w:val="00F74690"/>
    <w:rsid w:val="00F75B0A"/>
    <w:rsid w:val="00F801A5"/>
    <w:rsid w:val="00F81006"/>
    <w:rsid w:val="00F82908"/>
    <w:rsid w:val="00F85325"/>
    <w:rsid w:val="00F93777"/>
    <w:rsid w:val="00F9690E"/>
    <w:rsid w:val="00FA0117"/>
    <w:rsid w:val="00FA0849"/>
    <w:rsid w:val="00FA1F20"/>
    <w:rsid w:val="00FA3BA2"/>
    <w:rsid w:val="00FA5A76"/>
    <w:rsid w:val="00FC4D7D"/>
    <w:rsid w:val="00FC535F"/>
    <w:rsid w:val="00FC5654"/>
    <w:rsid w:val="00FC615F"/>
    <w:rsid w:val="00FC6A75"/>
    <w:rsid w:val="00FC73DB"/>
    <w:rsid w:val="00FD22B1"/>
    <w:rsid w:val="00FD2ADE"/>
    <w:rsid w:val="00FD6747"/>
    <w:rsid w:val="00FD7948"/>
    <w:rsid w:val="00FE022F"/>
    <w:rsid w:val="00FE28C7"/>
    <w:rsid w:val="00FE5397"/>
    <w:rsid w:val="00FE6FD7"/>
    <w:rsid w:val="00FF69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67CF7"/>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4537A5"/>
    <w:rPr>
      <w:sz w:val="26"/>
    </w:rPr>
  </w:style>
  <w:style w:type="character" w:customStyle="1" w:styleId="CommentTextChar">
    <w:name w:val="Comment Text Char"/>
    <w:basedOn w:val="DefaultParagraphFont"/>
    <w:link w:val="CommentText"/>
    <w:semiHidden/>
    <w:rsid w:val="004537A5"/>
    <w:rPr>
      <w:szCs w:val="24"/>
    </w:rPr>
  </w:style>
  <w:style w:type="table" w:styleId="TableGrid">
    <w:name w:val="Table Grid"/>
    <w:basedOn w:val="TableNormal"/>
    <w:rsid w:val="00D67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D67CF7"/>
    <w:pPr>
      <w:spacing w:before="0" w:line="240" w:lineRule="auto"/>
      <w:ind w:left="0" w:firstLine="0"/>
    </w:pPr>
    <w:rPr>
      <w:b/>
      <w:bCs/>
      <w:szCs w:val="20"/>
    </w:rPr>
  </w:style>
  <w:style w:type="character" w:customStyle="1" w:styleId="CommentSubjectChar">
    <w:name w:val="Comment Subject Char"/>
    <w:basedOn w:val="CommentTextChar"/>
    <w:link w:val="CommentSubject"/>
    <w:rsid w:val="00D67CF7"/>
    <w:rPr>
      <w:b/>
      <w:bCs/>
      <w:szCs w:val="24"/>
    </w:rPr>
  </w:style>
  <w:style w:type="character" w:styleId="Hyperlink">
    <w:name w:val="Hyperlink"/>
    <w:basedOn w:val="DefaultParagraphFont"/>
    <w:rsid w:val="00D67CF7"/>
    <w:rPr>
      <w:color w:val="0000FF" w:themeColor="hyperlink"/>
      <w:u w:val="single"/>
    </w:rPr>
  </w:style>
  <w:style w:type="character" w:customStyle="1" w:styleId="FootnoteTextChar">
    <w:name w:val="Footnote Text Char"/>
    <w:basedOn w:val="DefaultParagraphFont"/>
    <w:link w:val="FootnoteText"/>
    <w:rsid w:val="00611FCA"/>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67CF7"/>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4537A5"/>
    <w:rPr>
      <w:sz w:val="26"/>
    </w:rPr>
  </w:style>
  <w:style w:type="character" w:customStyle="1" w:styleId="CommentTextChar">
    <w:name w:val="Comment Text Char"/>
    <w:basedOn w:val="DefaultParagraphFont"/>
    <w:link w:val="CommentText"/>
    <w:semiHidden/>
    <w:rsid w:val="004537A5"/>
    <w:rPr>
      <w:szCs w:val="24"/>
    </w:rPr>
  </w:style>
  <w:style w:type="table" w:styleId="TableGrid">
    <w:name w:val="Table Grid"/>
    <w:basedOn w:val="TableNormal"/>
    <w:rsid w:val="00D67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D67CF7"/>
    <w:pPr>
      <w:spacing w:before="0" w:line="240" w:lineRule="auto"/>
      <w:ind w:left="0" w:firstLine="0"/>
    </w:pPr>
    <w:rPr>
      <w:b/>
      <w:bCs/>
      <w:szCs w:val="20"/>
    </w:rPr>
  </w:style>
  <w:style w:type="character" w:customStyle="1" w:styleId="CommentSubjectChar">
    <w:name w:val="Comment Subject Char"/>
    <w:basedOn w:val="CommentTextChar"/>
    <w:link w:val="CommentSubject"/>
    <w:rsid w:val="00D67CF7"/>
    <w:rPr>
      <w:b/>
      <w:bCs/>
      <w:szCs w:val="24"/>
    </w:rPr>
  </w:style>
  <w:style w:type="character" w:styleId="Hyperlink">
    <w:name w:val="Hyperlink"/>
    <w:basedOn w:val="DefaultParagraphFont"/>
    <w:rsid w:val="00D67CF7"/>
    <w:rPr>
      <w:color w:val="0000FF" w:themeColor="hyperlink"/>
      <w:u w:val="single"/>
    </w:rPr>
  </w:style>
  <w:style w:type="character" w:customStyle="1" w:styleId="FootnoteTextChar">
    <w:name w:val="Footnote Text Char"/>
    <w:basedOn w:val="DefaultParagraphFont"/>
    <w:link w:val="FootnoteText"/>
    <w:rsid w:val="00611FC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7EEB0-8721-4AE3-ACB7-5491F5A0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1064</TotalTime>
  <Pages>15</Pages>
  <Words>4674</Words>
  <Characters>24705</Characters>
  <Application>Microsoft Office Word</Application>
  <DocSecurity>0</DocSecurity>
  <Lines>2058</Lines>
  <Paragraphs>1836</Paragraphs>
  <ScaleCrop>false</ScaleCrop>
  <HeadingPairs>
    <vt:vector size="2" baseType="variant">
      <vt:variant>
        <vt:lpstr>Title</vt:lpstr>
      </vt:variant>
      <vt:variant>
        <vt:i4>1</vt:i4>
      </vt:variant>
    </vt:vector>
  </HeadingPairs>
  <TitlesOfParts>
    <vt:vector size="1" baseType="lpstr">
      <vt:lpstr>Optimal matching and cluster analysis</vt:lpstr>
    </vt:vector>
  </TitlesOfParts>
  <Company>Productivity Commission</Company>
  <LinksUpToDate>false</LinksUpToDate>
  <CharactersWithSpaces>27543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Optimal matching and cluster analysis</dc:title>
  <dc:subject>Prevalence of transition pathways</dc:subject>
  <dc:creator>Productivity Commission</dc:creator>
  <dc:description>B.</dc:description>
  <cp:lastModifiedBy>Productivity Commission</cp:lastModifiedBy>
  <cp:revision>69</cp:revision>
  <cp:lastPrinted>2013-08-23T03:08:00Z</cp:lastPrinted>
  <dcterms:created xsi:type="dcterms:W3CDTF">2013-06-28T02:14:00Z</dcterms:created>
  <dcterms:modified xsi:type="dcterms:W3CDTF">2013-08-27T01:37:00Z</dcterms:modified>
</cp:coreProperties>
</file>