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78C" w:rsidRPr="0002578C" w:rsidRDefault="0002578C" w:rsidP="0002578C">
      <w:pPr>
        <w:pStyle w:val="Heading1"/>
        <w:rPr>
          <w:color w:val="FFFFFF" w:themeColor="background1"/>
          <w:sz w:val="12"/>
          <w:szCs w:val="12"/>
        </w:rPr>
      </w:pPr>
      <w:proofErr w:type="spellStart"/>
      <w:r w:rsidRPr="0002578C">
        <w:rPr>
          <w:color w:val="FFFFFF" w:themeColor="background1"/>
          <w:sz w:val="12"/>
          <w:szCs w:val="12"/>
        </w:rPr>
        <w:t>VUMR</w:t>
      </w:r>
      <w:proofErr w:type="spellEnd"/>
      <w:r w:rsidRPr="0002578C">
        <w:rPr>
          <w:color w:val="FFFFFF" w:themeColor="background1"/>
          <w:sz w:val="12"/>
          <w:szCs w:val="12"/>
        </w:rPr>
        <w:t xml:space="preserve"> Modelling Reference Case, 2009</w:t>
      </w:r>
      <w:r w:rsidRPr="0002578C">
        <w:rPr>
          <w:color w:val="FFFFFF" w:themeColor="background1"/>
          <w:sz w:val="12"/>
          <w:szCs w:val="12"/>
        </w:rPr>
        <w:noBreakHyphen/>
        <w:t>10 to 2059</w:t>
      </w:r>
      <w:r w:rsidRPr="0002578C">
        <w:rPr>
          <w:color w:val="FFFFFF" w:themeColor="background1"/>
          <w:sz w:val="12"/>
          <w:szCs w:val="12"/>
        </w:rPr>
        <w:noBreakHyphen/>
        <w:t>60</w:t>
      </w:r>
    </w:p>
    <w:p w:rsidR="00B04D19" w:rsidRDefault="0002578C" w:rsidP="00CD5E6B">
      <w:pPr>
        <w:pStyle w:val="BodyText"/>
        <w:rPr>
          <w:b/>
          <w:szCs w:val="26"/>
        </w:rPr>
      </w:pPr>
      <w:r w:rsidRPr="0002578C">
        <w:rPr>
          <w:color w:val="FFFFFF" w:themeColor="background1"/>
          <w:sz w:val="12"/>
          <w:szCs w:val="12"/>
        </w:rPr>
        <w:t>Staff Working Paper, Productivity Commission</w:t>
      </w:r>
      <w:r w:rsidR="00B04D19">
        <w:br w:type="page"/>
      </w:r>
      <w:r>
        <w:rPr>
          <w:b/>
          <w:noProof/>
          <w:szCs w:val="26"/>
        </w:rPr>
        <w:drawing>
          <wp:anchor distT="0" distB="0" distL="114300" distR="114300" simplePos="0" relativeHeight="251658240" behindDoc="0" locked="0" layoutInCell="1" allowOverlap="1">
            <wp:simplePos x="0" y="0"/>
            <wp:positionH relativeFrom="page">
              <wp:align>center</wp:align>
            </wp:positionH>
            <wp:positionV relativeFrom="page">
              <wp:align>center</wp:align>
            </wp:positionV>
            <wp:extent cx="7567200" cy="10702800"/>
            <wp:effectExtent l="0" t="0" r="0" b="3810"/>
            <wp:wrapNone/>
            <wp:docPr id="1" name="Picture 1" descr="Cover for: VUMR Modelling Reference Case, 2009-10 to 2059-60, Staff Working Paper, Productivity Commision, Canbe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umr-swp-cover-web.png"/>
                    <pic:cNvPicPr/>
                  </pic:nvPicPr>
                  <pic:blipFill>
                    <a:blip r:embed="rId9">
                      <a:extLst>
                        <a:ext uri="{28A0092B-C50C-407E-A947-70E740481C1C}">
                          <a14:useLocalDpi xmlns:a14="http://schemas.microsoft.com/office/drawing/2010/main" val="0"/>
                        </a:ext>
                      </a:extLst>
                    </a:blip>
                    <a:stretch>
                      <a:fillRect/>
                    </a:stretch>
                  </pic:blipFill>
                  <pic:spPr>
                    <a:xfrm>
                      <a:off x="0" y="0"/>
                      <a:ext cx="7567200" cy="10702800"/>
                    </a:xfrm>
                    <a:prstGeom prst="rect">
                      <a:avLst/>
                    </a:prstGeom>
                  </pic:spPr>
                </pic:pic>
              </a:graphicData>
            </a:graphic>
            <wp14:sizeRelH relativeFrom="margin">
              <wp14:pctWidth>0</wp14:pctWidth>
            </wp14:sizeRelH>
            <wp14:sizeRelV relativeFrom="margin">
              <wp14:pctHeight>0</wp14:pctHeight>
            </wp14:sizeRelV>
          </wp:anchor>
        </w:drawing>
      </w:r>
    </w:p>
    <w:p w:rsidR="003E7802" w:rsidRDefault="003E7802" w:rsidP="00D969AE">
      <w:pPr>
        <w:pStyle w:val="Copyrightheading"/>
      </w:pPr>
      <w:r w:rsidRPr="008C305F">
        <w:lastRenderedPageBreak/>
        <w:fldChar w:fldCharType="begin"/>
      </w:r>
      <w:r w:rsidRPr="008C305F">
        <w:instrText>SYMBOL 227 \f "Symbol"</w:instrText>
      </w:r>
      <w:r w:rsidRPr="008C305F">
        <w:fldChar w:fldCharType="end"/>
      </w:r>
      <w:r w:rsidRPr="008C305F">
        <w:t xml:space="preserve"> Commonwealth of Australia </w:t>
      </w:r>
      <w:r w:rsidR="00D74E25">
        <w:t>201</w:t>
      </w:r>
      <w:r w:rsidR="00BA311E">
        <w:t>6</w:t>
      </w:r>
    </w:p>
    <w:p w:rsidR="008A3857" w:rsidRDefault="008A3857" w:rsidP="008E242D">
      <w:pPr>
        <w:pStyle w:val="BodyText"/>
        <w:spacing w:after="120"/>
      </w:pPr>
      <w:bookmarkStart w:id="0" w:name="ISSN"/>
      <w:bookmarkEnd w:id="0"/>
      <w:r w:rsidRPr="00862D8F">
        <w:rPr>
          <w:noProof/>
          <w:sz w:val="22"/>
          <w:szCs w:val="22"/>
        </w:rPr>
        <w:drawing>
          <wp:inline distT="0" distB="0" distL="0" distR="0" wp14:anchorId="50176C1F" wp14:editId="2D9BB5A2">
            <wp:extent cx="843280" cy="295043"/>
            <wp:effectExtent l="0" t="0" r="0" b="0"/>
            <wp:docPr id="2" name="Picture 2" descr="CC BY licen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C-By logo"/>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43280" cy="295043"/>
                    </a:xfrm>
                    <a:prstGeom prst="rect">
                      <a:avLst/>
                    </a:prstGeom>
                    <a:noFill/>
                    <a:ln>
                      <a:noFill/>
                    </a:ln>
                  </pic:spPr>
                </pic:pic>
              </a:graphicData>
            </a:graphic>
          </wp:inline>
        </w:drawing>
      </w:r>
    </w:p>
    <w:p w:rsidR="008A3857" w:rsidRPr="008A3857" w:rsidRDefault="008A3857" w:rsidP="00BA0B81">
      <w:pPr>
        <w:pStyle w:val="Copyrightbodytext"/>
      </w:pPr>
      <w:r w:rsidRPr="008A3857">
        <w:t xml:space="preserve">Except for the Commonwealth Coat of Arms and content supplied by third parties, this copyright work is licensed under a Creative Commons Attribution 3.0 Australia licence. To view a copy of this licence, visit </w:t>
      </w:r>
      <w:r w:rsidRPr="00805FD7">
        <w:t>http://</w:t>
      </w:r>
      <w:proofErr w:type="spellStart"/>
      <w:r w:rsidRPr="00805FD7">
        <w:t>creativecommons.org</w:t>
      </w:r>
      <w:proofErr w:type="spellEnd"/>
      <w:r w:rsidRPr="00805FD7">
        <w:t>/licenses/by/3.0/au</w:t>
      </w:r>
      <w:r w:rsidRPr="008A3857">
        <w:rPr>
          <w:sz w:val="24"/>
          <w:szCs w:val="24"/>
        </w:rPr>
        <w:t>.</w:t>
      </w:r>
      <w:r w:rsidRPr="008A3857">
        <w:t xml:space="preserve"> In essence, you are free to copy, communicate and adapt the work, as long as you attribute the work to the Productivity Commission (but not in any way that suggests the Commission endorses you or your use) and abide by the other licence terms.</w:t>
      </w:r>
    </w:p>
    <w:p w:rsidR="008A3857" w:rsidRPr="008A3857" w:rsidRDefault="008A3857" w:rsidP="008A3857">
      <w:pPr>
        <w:pStyle w:val="Copyrightsubtitle"/>
      </w:pPr>
      <w:r w:rsidRPr="008A3857">
        <w:t>Use of the Commonwealth Coat of Arms</w:t>
      </w:r>
    </w:p>
    <w:p w:rsidR="008A3857" w:rsidRPr="008A3857" w:rsidRDefault="008A3857" w:rsidP="00BA0B81">
      <w:pPr>
        <w:pStyle w:val="Copyrightbodytext"/>
      </w:pPr>
      <w:r w:rsidRPr="008A3857">
        <w:t>For terms of use of the Coat of Arms visit the ‘</w:t>
      </w:r>
      <w:r w:rsidRPr="00805FD7">
        <w:t>It’s an Honour</w:t>
      </w:r>
      <w:r w:rsidRPr="008A3857">
        <w:t>’ website</w:t>
      </w:r>
      <w:r w:rsidR="00122FE9" w:rsidRPr="00BA0B81">
        <w:t>:</w:t>
      </w:r>
      <w:r w:rsidRPr="00BA0B81">
        <w:t xml:space="preserve"> </w:t>
      </w:r>
      <w:r w:rsidR="00BA0B81" w:rsidRPr="00805FD7">
        <w:t>http://</w:t>
      </w:r>
      <w:proofErr w:type="spellStart"/>
      <w:r w:rsidR="00BA0B81" w:rsidRPr="00805FD7">
        <w:t>www.itsanhonour.gov.au</w:t>
      </w:r>
      <w:proofErr w:type="spellEnd"/>
    </w:p>
    <w:p w:rsidR="008A3857" w:rsidRPr="008A3857" w:rsidRDefault="008A3857" w:rsidP="008A3857">
      <w:pPr>
        <w:pStyle w:val="Copyrightsubtitle"/>
      </w:pPr>
      <w:r w:rsidRPr="008A3857">
        <w:t>Third party copyright</w:t>
      </w:r>
    </w:p>
    <w:p w:rsidR="008A3857" w:rsidRPr="008A3857" w:rsidRDefault="008A3857" w:rsidP="00BA0B81">
      <w:pPr>
        <w:pStyle w:val="Copyrightbodytext"/>
      </w:pPr>
      <w:r w:rsidRPr="008A3857">
        <w:t>Wherever a third party holds copyright in this material, the copyright remains with that party. Their permission may be required to use the material, please contact them directly.</w:t>
      </w:r>
    </w:p>
    <w:p w:rsidR="008A3857" w:rsidRPr="008A3857" w:rsidRDefault="008A3857" w:rsidP="008A3857">
      <w:pPr>
        <w:pStyle w:val="Copyrightsubtitle"/>
      </w:pPr>
      <w:r w:rsidRPr="008A3857">
        <w:t>Attribution</w:t>
      </w:r>
    </w:p>
    <w:p w:rsidR="008A3857" w:rsidRPr="008A3857" w:rsidRDefault="008A3857" w:rsidP="00BA0B81">
      <w:pPr>
        <w:pStyle w:val="Copyrightbodytext"/>
      </w:pPr>
      <w:r w:rsidRPr="008A3857">
        <w:t xml:space="preserve">This work should be attributed as follows, </w:t>
      </w:r>
      <w:r w:rsidRPr="008E242D">
        <w:rPr>
          <w:i/>
        </w:rPr>
        <w:t xml:space="preserve">Source: Productivity Commission, </w:t>
      </w:r>
      <w:proofErr w:type="spellStart"/>
      <w:r w:rsidR="0002578C" w:rsidRPr="0002578C">
        <w:rPr>
          <w:i/>
        </w:rPr>
        <w:t>VUMR</w:t>
      </w:r>
      <w:proofErr w:type="spellEnd"/>
      <w:r w:rsidR="00BA612E">
        <w:rPr>
          <w:i/>
        </w:rPr>
        <w:t xml:space="preserve"> Modelling Reference Case, 2009-10 to 2059-</w:t>
      </w:r>
      <w:r w:rsidR="0002578C" w:rsidRPr="0002578C">
        <w:rPr>
          <w:i/>
        </w:rPr>
        <w:t>60</w:t>
      </w:r>
      <w:r w:rsidRPr="008A3857">
        <w:t>.</w:t>
      </w:r>
    </w:p>
    <w:p w:rsidR="008A3857" w:rsidRPr="008A3857" w:rsidRDefault="008A3857" w:rsidP="00BA0B81">
      <w:pPr>
        <w:pStyle w:val="Copyrightbodytext"/>
        <w:spacing w:before="120"/>
      </w:pPr>
      <w:r w:rsidRPr="008A3857">
        <w:t xml:space="preserve">If you have adapted, modified or transformed this work in anyway, please use the following, </w:t>
      </w:r>
      <w:r w:rsidRPr="008E242D">
        <w:rPr>
          <w:i/>
        </w:rPr>
        <w:t>Source: based on Productivity Commission</w:t>
      </w:r>
      <w:r w:rsidR="00122FE9">
        <w:rPr>
          <w:i/>
        </w:rPr>
        <w:t xml:space="preserve"> </w:t>
      </w:r>
      <w:r w:rsidRPr="008E242D">
        <w:rPr>
          <w:i/>
        </w:rPr>
        <w:t>data</w:t>
      </w:r>
      <w:r w:rsidR="008E242D" w:rsidRPr="008E242D">
        <w:rPr>
          <w:i/>
        </w:rPr>
        <w:t xml:space="preserve">, </w:t>
      </w:r>
      <w:proofErr w:type="spellStart"/>
      <w:r w:rsidR="0002578C" w:rsidRPr="00833610">
        <w:rPr>
          <w:i/>
        </w:rPr>
        <w:t>VUMR</w:t>
      </w:r>
      <w:proofErr w:type="spellEnd"/>
      <w:r w:rsidR="0002578C" w:rsidRPr="00833610">
        <w:rPr>
          <w:i/>
        </w:rPr>
        <w:t xml:space="preserve"> Modelling Reference Case</w:t>
      </w:r>
      <w:r w:rsidR="0002578C">
        <w:rPr>
          <w:i/>
        </w:rPr>
        <w:t>,</w:t>
      </w:r>
      <w:r w:rsidR="0002578C" w:rsidRPr="00833610">
        <w:rPr>
          <w:i/>
        </w:rPr>
        <w:t xml:space="preserve"> 20</w:t>
      </w:r>
      <w:r w:rsidR="0002578C">
        <w:rPr>
          <w:i/>
        </w:rPr>
        <w:t>09</w:t>
      </w:r>
      <w:r w:rsidR="0002578C">
        <w:rPr>
          <w:i/>
        </w:rPr>
        <w:noBreakHyphen/>
        <w:t>10 to 2059</w:t>
      </w:r>
      <w:r w:rsidR="0002578C">
        <w:rPr>
          <w:i/>
        </w:rPr>
        <w:noBreakHyphen/>
        <w:t>60</w:t>
      </w:r>
      <w:r w:rsidRPr="008A3857">
        <w:t>.</w:t>
      </w:r>
    </w:p>
    <w:p w:rsidR="008A3857" w:rsidRPr="008A3857" w:rsidRDefault="008A3857" w:rsidP="008A3857">
      <w:pPr>
        <w:pStyle w:val="Copyrightsubtitle"/>
      </w:pPr>
      <w:r w:rsidRPr="008A3857">
        <w:t xml:space="preserve">An appropriate </w:t>
      </w:r>
      <w:r w:rsidR="00122FE9">
        <w:t>reference</w:t>
      </w:r>
      <w:r w:rsidRPr="008A3857">
        <w:t xml:space="preserve"> for this publication is:</w:t>
      </w:r>
    </w:p>
    <w:p w:rsidR="008A3857" w:rsidRPr="008A3857" w:rsidRDefault="00D42BE3" w:rsidP="008A3857">
      <w:pPr>
        <w:pStyle w:val="Copyrightbodytext"/>
      </w:pPr>
      <w:proofErr w:type="spellStart"/>
      <w:r>
        <w:t>Gabbitas</w:t>
      </w:r>
      <w:proofErr w:type="spellEnd"/>
      <w:r>
        <w:t xml:space="preserve">, O. and Salma, U. 2016, </w:t>
      </w:r>
      <w:proofErr w:type="spellStart"/>
      <w:r w:rsidRPr="00833610">
        <w:rPr>
          <w:i/>
        </w:rPr>
        <w:t>VUMR</w:t>
      </w:r>
      <w:proofErr w:type="spellEnd"/>
      <w:r w:rsidRPr="00833610">
        <w:rPr>
          <w:i/>
        </w:rPr>
        <w:t xml:space="preserve"> </w:t>
      </w:r>
      <w:r w:rsidR="00C83BE5" w:rsidRPr="00833610">
        <w:rPr>
          <w:i/>
        </w:rPr>
        <w:t xml:space="preserve">Modelling </w:t>
      </w:r>
      <w:r w:rsidRPr="00833610">
        <w:rPr>
          <w:i/>
        </w:rPr>
        <w:t>Reference Case</w:t>
      </w:r>
      <w:r>
        <w:rPr>
          <w:i/>
        </w:rPr>
        <w:t>,</w:t>
      </w:r>
      <w:r w:rsidRPr="00833610">
        <w:rPr>
          <w:i/>
        </w:rPr>
        <w:t xml:space="preserve"> 20</w:t>
      </w:r>
      <w:r w:rsidR="00752A45">
        <w:rPr>
          <w:i/>
        </w:rPr>
        <w:t>09</w:t>
      </w:r>
      <w:r w:rsidR="00752A45">
        <w:rPr>
          <w:i/>
        </w:rPr>
        <w:noBreakHyphen/>
        <w:t>10 to 2059</w:t>
      </w:r>
      <w:r w:rsidR="00752A45">
        <w:rPr>
          <w:i/>
        </w:rPr>
        <w:noBreakHyphen/>
        <w:t>60</w:t>
      </w:r>
      <w:r>
        <w:t>, Staff Working Paper, Productivity Commission, Canberra.</w:t>
      </w:r>
    </w:p>
    <w:p w:rsidR="00D42BE3" w:rsidRPr="00A37E73" w:rsidRDefault="00D42BE3" w:rsidP="006F2421">
      <w:pPr>
        <w:pStyle w:val="Copyrightbodytext"/>
      </w:pPr>
      <w:bookmarkStart w:id="1" w:name="JEL"/>
      <w:bookmarkEnd w:id="1"/>
      <w:proofErr w:type="spellStart"/>
      <w:r w:rsidRPr="00A37E73">
        <w:t>JEL</w:t>
      </w:r>
      <w:proofErr w:type="spellEnd"/>
      <w:r w:rsidRPr="00A37E73">
        <w:t xml:space="preserve"> code:</w:t>
      </w:r>
      <w:r w:rsidR="0024085A">
        <w:t xml:space="preserve"> </w:t>
      </w:r>
      <w:proofErr w:type="spellStart"/>
      <w:r w:rsidR="00870147">
        <w:t>C68</w:t>
      </w:r>
      <w:proofErr w:type="spellEnd"/>
      <w:r w:rsidR="00870147">
        <w:t xml:space="preserve">, </w:t>
      </w:r>
      <w:proofErr w:type="spellStart"/>
      <w:r w:rsidR="0024085A">
        <w:t>D58</w:t>
      </w:r>
      <w:proofErr w:type="spellEnd"/>
      <w:r w:rsidR="0024085A">
        <w:t xml:space="preserve">, </w:t>
      </w:r>
      <w:proofErr w:type="spellStart"/>
      <w:r w:rsidR="0024085A">
        <w:t>E66</w:t>
      </w:r>
      <w:proofErr w:type="spellEnd"/>
      <w:r w:rsidR="0024085A">
        <w:t xml:space="preserve">, </w:t>
      </w:r>
      <w:proofErr w:type="spellStart"/>
      <w:r w:rsidR="00870147">
        <w:t>N17</w:t>
      </w:r>
      <w:proofErr w:type="spellEnd"/>
      <w:r w:rsidR="00870147">
        <w:t xml:space="preserve">, </w:t>
      </w:r>
      <w:proofErr w:type="spellStart"/>
      <w:r w:rsidR="0024085A">
        <w:t>O47</w:t>
      </w:r>
      <w:proofErr w:type="spellEnd"/>
      <w:r w:rsidR="0024085A">
        <w:t xml:space="preserve">, </w:t>
      </w:r>
      <w:proofErr w:type="spellStart"/>
      <w:r w:rsidR="0024085A">
        <w:t>O56</w:t>
      </w:r>
      <w:proofErr w:type="spellEnd"/>
    </w:p>
    <w:p w:rsidR="008A3857" w:rsidRPr="008A3857" w:rsidRDefault="008A3857" w:rsidP="008A3857">
      <w:pPr>
        <w:pStyle w:val="Copyrightsubtitle"/>
      </w:pPr>
      <w:r w:rsidRPr="008A3857">
        <w:t>Publications enquiries</w:t>
      </w:r>
    </w:p>
    <w:p w:rsidR="00E30DDB" w:rsidRDefault="008A3857" w:rsidP="00EC38C1">
      <w:pPr>
        <w:pStyle w:val="Copyrightbodytext"/>
      </w:pPr>
      <w:r w:rsidRPr="008A3857">
        <w:t xml:space="preserve">Media and Publications, </w:t>
      </w:r>
      <w:r w:rsidR="00EC38C1">
        <w:rPr>
          <w:szCs w:val="24"/>
        </w:rPr>
        <w:t>phone:</w:t>
      </w:r>
      <w:r w:rsidR="00EC38C1" w:rsidRPr="00BB5DCF">
        <w:rPr>
          <w:szCs w:val="24"/>
        </w:rPr>
        <w:t xml:space="preserve"> (03) 9653 2244 or email: </w:t>
      </w:r>
      <w:proofErr w:type="spellStart"/>
      <w:r w:rsidR="00EC38C1" w:rsidRPr="00BB5DCF">
        <w:rPr>
          <w:szCs w:val="24"/>
        </w:rPr>
        <w:t>maps@pc.gov.au</w:t>
      </w:r>
      <w:proofErr w:type="spellEnd"/>
    </w:p>
    <w:p w:rsidR="008A3857" w:rsidRDefault="008A3857" w:rsidP="008A3857">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w:tblPr>
      <w:tblGrid>
        <w:gridCol w:w="8771"/>
      </w:tblGrid>
      <w:tr w:rsidR="008A3857" w:rsidTr="00C670DE">
        <w:tc>
          <w:tcPr>
            <w:tcW w:w="8771" w:type="dxa"/>
            <w:tcBorders>
              <w:top w:val="single" w:sz="6" w:space="0" w:color="78A22F"/>
              <w:left w:val="nil"/>
              <w:bottom w:val="nil"/>
              <w:right w:val="nil"/>
            </w:tcBorders>
            <w:shd w:val="clear" w:color="auto" w:fill="F2F2F2" w:themeFill="background1" w:themeFillShade="F2"/>
          </w:tcPr>
          <w:p w:rsidR="008A3857" w:rsidRPr="008A3857" w:rsidRDefault="008A3857" w:rsidP="006F2421">
            <w:pPr>
              <w:pStyle w:val="BoxTitle"/>
              <w:rPr>
                <w:sz w:val="22"/>
                <w:szCs w:val="22"/>
              </w:rPr>
            </w:pPr>
            <w:bookmarkStart w:id="2" w:name="_Toc452710095"/>
            <w:bookmarkStart w:id="3" w:name="_Toc465440261"/>
            <w:bookmarkStart w:id="4" w:name="_Toc465685366"/>
            <w:bookmarkStart w:id="5" w:name="_Toc465764225"/>
            <w:bookmarkStart w:id="6" w:name="_Toc465777591"/>
            <w:r w:rsidRPr="008A3857">
              <w:rPr>
                <w:sz w:val="22"/>
                <w:szCs w:val="22"/>
              </w:rPr>
              <w:t>The Productivity Commission</w:t>
            </w:r>
            <w:bookmarkEnd w:id="2"/>
            <w:bookmarkEnd w:id="3"/>
            <w:bookmarkEnd w:id="4"/>
            <w:bookmarkEnd w:id="5"/>
            <w:bookmarkEnd w:id="6"/>
          </w:p>
        </w:tc>
      </w:tr>
      <w:tr w:rsidR="008A3857" w:rsidTr="00C670DE">
        <w:tc>
          <w:tcPr>
            <w:tcW w:w="8771" w:type="dxa"/>
            <w:tcBorders>
              <w:top w:val="nil"/>
              <w:left w:val="nil"/>
              <w:bottom w:val="nil"/>
              <w:right w:val="nil"/>
            </w:tcBorders>
            <w:shd w:val="clear" w:color="auto" w:fill="F2F2F2" w:themeFill="background1" w:themeFillShade="F2"/>
          </w:tcPr>
          <w:p w:rsidR="008A3857" w:rsidRDefault="008A3857" w:rsidP="006F2421">
            <w:pPr>
              <w:pStyle w:val="Box"/>
            </w:pPr>
            <w:r w:rsidRPr="00BB5DCF">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rsidR="008A3857" w:rsidRDefault="008A3857" w:rsidP="006F2421">
            <w:pPr>
              <w:pStyle w:val="Box"/>
            </w:pPr>
            <w:r w:rsidRPr="00BB5DCF">
              <w:t>The Commission’s independence is underpinned by an Act of Parliament. Its processes and outputs are open to public scrutiny and are driven by concern for the wellbeing of the community as a whole.</w:t>
            </w:r>
          </w:p>
          <w:p w:rsidR="008A3857" w:rsidRDefault="008A3857" w:rsidP="00EC38C1">
            <w:pPr>
              <w:pStyle w:val="Box"/>
            </w:pPr>
            <w:r w:rsidRPr="00BB5DCF">
              <w:rPr>
                <w:szCs w:val="24"/>
              </w:rPr>
              <w:t>Further information on the Productivity Commission can be obtained from the Commission’s website (</w:t>
            </w:r>
            <w:proofErr w:type="spellStart"/>
            <w:r w:rsidRPr="00805FD7">
              <w:t>www.pc.gov.au</w:t>
            </w:r>
            <w:proofErr w:type="spellEnd"/>
            <w:r w:rsidRPr="00BB5DCF">
              <w:rPr>
                <w:szCs w:val="24"/>
              </w:rPr>
              <w:t>)</w:t>
            </w:r>
            <w:r w:rsidR="00EC38C1">
              <w:rPr>
                <w:szCs w:val="24"/>
              </w:rPr>
              <w:t>.</w:t>
            </w:r>
          </w:p>
        </w:tc>
      </w:tr>
      <w:tr w:rsidR="008A3857" w:rsidTr="00C670DE">
        <w:tc>
          <w:tcPr>
            <w:tcW w:w="8771" w:type="dxa"/>
            <w:tcBorders>
              <w:top w:val="nil"/>
              <w:left w:val="nil"/>
              <w:bottom w:val="single" w:sz="6" w:space="0" w:color="78A22F"/>
              <w:right w:val="nil"/>
            </w:tcBorders>
            <w:shd w:val="clear" w:color="auto" w:fill="F2F2F2" w:themeFill="background1" w:themeFillShade="F2"/>
          </w:tcPr>
          <w:p w:rsidR="008A3857" w:rsidRDefault="008A3857" w:rsidP="006F2421">
            <w:pPr>
              <w:pStyle w:val="Box"/>
              <w:spacing w:before="0" w:line="120" w:lineRule="exact"/>
            </w:pPr>
          </w:p>
        </w:tc>
      </w:tr>
    </w:tbl>
    <w:p w:rsidR="00735FEA" w:rsidRDefault="00735FEA">
      <w:pPr>
        <w:pStyle w:val="BodyText"/>
        <w:sectPr w:rsidR="00735FEA" w:rsidSect="00122FE9">
          <w:type w:val="oddPage"/>
          <w:pgSz w:w="11907" w:h="16840" w:code="9"/>
          <w:pgMar w:top="1304" w:right="1304" w:bottom="567" w:left="1814" w:header="1701" w:footer="397" w:gutter="0"/>
          <w:pgNumType w:fmt="lowerRoman" w:start="1"/>
          <w:cols w:space="720"/>
          <w:titlePg/>
        </w:sectPr>
      </w:pPr>
      <w:bookmarkStart w:id="7" w:name="cov"/>
      <w:bookmarkEnd w:id="7"/>
    </w:p>
    <w:p w:rsidR="00347D43" w:rsidRDefault="00735FEA" w:rsidP="00347D43">
      <w:pPr>
        <w:pStyle w:val="Heading1NotTOC"/>
        <w:spacing w:after="1200"/>
        <w:rPr>
          <w:noProof/>
        </w:rPr>
      </w:pPr>
      <w:bookmarkStart w:id="8" w:name="Contents"/>
      <w:bookmarkEnd w:id="8"/>
      <w:r w:rsidRPr="00B153C3">
        <w:lastRenderedPageBreak/>
        <w:t>Contents</w:t>
      </w:r>
      <w:bookmarkStart w:id="9" w:name="InsertContents"/>
      <w:bookmarkEnd w:id="9"/>
    </w:p>
    <w:p w:rsidR="00347D43" w:rsidRDefault="00347D43">
      <w:pPr>
        <w:pStyle w:val="TOC1"/>
        <w:rPr>
          <w:rFonts w:asciiTheme="minorHAnsi" w:eastAsiaTheme="minorEastAsia" w:hAnsiTheme="minorHAnsi" w:cstheme="minorBidi"/>
          <w:b w:val="0"/>
          <w:noProof/>
          <w:sz w:val="22"/>
          <w:szCs w:val="22"/>
          <w:lang w:eastAsia="en-AU"/>
        </w:rPr>
      </w:pPr>
      <w:r>
        <w:rPr>
          <w:noProof/>
        </w:rPr>
        <w:t>Preface</w:t>
      </w:r>
      <w:r>
        <w:rPr>
          <w:noProof/>
        </w:rPr>
        <w:tab/>
      </w:r>
      <w:r w:rsidR="00105BAE">
        <w:rPr>
          <w:noProof/>
        </w:rPr>
        <w:t>v</w:t>
      </w:r>
    </w:p>
    <w:p w:rsidR="00347D43" w:rsidRDefault="00347D43">
      <w:pPr>
        <w:pStyle w:val="TOC1"/>
        <w:rPr>
          <w:rFonts w:asciiTheme="minorHAnsi" w:eastAsiaTheme="minorEastAsia" w:hAnsiTheme="minorHAnsi" w:cstheme="minorBidi"/>
          <w:b w:val="0"/>
          <w:noProof/>
          <w:sz w:val="22"/>
          <w:szCs w:val="22"/>
          <w:lang w:eastAsia="en-AU"/>
        </w:rPr>
      </w:pPr>
      <w:r>
        <w:rPr>
          <w:noProof/>
        </w:rPr>
        <w:t>Abbreviations</w:t>
      </w:r>
      <w:r>
        <w:rPr>
          <w:noProof/>
        </w:rPr>
        <w:tab/>
      </w:r>
      <w:r w:rsidR="00105BAE">
        <w:rPr>
          <w:noProof/>
        </w:rPr>
        <w:t>v</w:t>
      </w:r>
      <w:r w:rsidR="00266467">
        <w:rPr>
          <w:noProof/>
        </w:rPr>
        <w:t>i</w:t>
      </w:r>
    </w:p>
    <w:p w:rsidR="00347D43" w:rsidRDefault="00347D43">
      <w:pPr>
        <w:pStyle w:val="TOC1"/>
        <w:rPr>
          <w:rFonts w:asciiTheme="minorHAnsi" w:eastAsiaTheme="minorEastAsia" w:hAnsiTheme="minorHAnsi" w:cstheme="minorBidi"/>
          <w:b w:val="0"/>
          <w:noProof/>
          <w:sz w:val="22"/>
          <w:szCs w:val="22"/>
          <w:lang w:eastAsia="en-AU"/>
        </w:rPr>
      </w:pPr>
      <w:r>
        <w:rPr>
          <w:noProof/>
        </w:rPr>
        <w:t>1</w:t>
      </w:r>
      <w:r>
        <w:rPr>
          <w:rFonts w:asciiTheme="minorHAnsi" w:eastAsiaTheme="minorEastAsia" w:hAnsiTheme="minorHAnsi" w:cstheme="minorBidi"/>
          <w:b w:val="0"/>
          <w:noProof/>
          <w:sz w:val="22"/>
          <w:szCs w:val="22"/>
          <w:lang w:eastAsia="en-AU"/>
        </w:rPr>
        <w:tab/>
      </w:r>
      <w:r>
        <w:rPr>
          <w:noProof/>
        </w:rPr>
        <w:t>Introduction</w:t>
      </w:r>
      <w:r>
        <w:rPr>
          <w:noProof/>
        </w:rPr>
        <w:tab/>
        <w:t>1</w:t>
      </w:r>
    </w:p>
    <w:p w:rsidR="00347D43" w:rsidRDefault="00347D43">
      <w:pPr>
        <w:pStyle w:val="TOC1"/>
        <w:rPr>
          <w:rFonts w:asciiTheme="minorHAnsi" w:eastAsiaTheme="minorEastAsia" w:hAnsiTheme="minorHAnsi" w:cstheme="minorBidi"/>
          <w:b w:val="0"/>
          <w:noProof/>
          <w:sz w:val="22"/>
          <w:szCs w:val="22"/>
          <w:lang w:eastAsia="en-AU"/>
        </w:rPr>
      </w:pPr>
      <w:r>
        <w:rPr>
          <w:noProof/>
        </w:rPr>
        <w:t>2</w:t>
      </w:r>
      <w:r>
        <w:rPr>
          <w:rFonts w:asciiTheme="minorHAnsi" w:eastAsiaTheme="minorEastAsia" w:hAnsiTheme="minorHAnsi" w:cstheme="minorBidi"/>
          <w:b w:val="0"/>
          <w:noProof/>
          <w:sz w:val="22"/>
          <w:szCs w:val="22"/>
          <w:lang w:eastAsia="en-AU"/>
        </w:rPr>
        <w:tab/>
      </w:r>
      <w:r>
        <w:rPr>
          <w:noProof/>
        </w:rPr>
        <w:t>Developing the reference case</w:t>
      </w:r>
      <w:r>
        <w:rPr>
          <w:noProof/>
        </w:rPr>
        <w:tab/>
        <w:t>5</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2.1</w:t>
      </w:r>
      <w:r>
        <w:rPr>
          <w:rFonts w:asciiTheme="minorHAnsi" w:eastAsiaTheme="minorEastAsia" w:hAnsiTheme="minorHAnsi" w:cstheme="minorBidi"/>
          <w:sz w:val="22"/>
          <w:szCs w:val="22"/>
          <w:lang w:eastAsia="en-AU"/>
        </w:rPr>
        <w:tab/>
      </w:r>
      <w:r>
        <w:t>About the reference case</w:t>
      </w:r>
      <w:r>
        <w:tab/>
        <w:t>5</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2.2</w:t>
      </w:r>
      <w:r>
        <w:rPr>
          <w:rFonts w:asciiTheme="minorHAnsi" w:eastAsiaTheme="minorEastAsia" w:hAnsiTheme="minorHAnsi" w:cstheme="minorBidi"/>
          <w:sz w:val="22"/>
          <w:szCs w:val="22"/>
          <w:lang w:eastAsia="en-AU"/>
        </w:rPr>
        <w:tab/>
      </w:r>
      <w:r>
        <w:t>Factors influencing the reference case</w:t>
      </w:r>
      <w:r>
        <w:tab/>
        <w:t>6</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2.3</w:t>
      </w:r>
      <w:r>
        <w:rPr>
          <w:rFonts w:asciiTheme="minorHAnsi" w:eastAsiaTheme="minorEastAsia" w:hAnsiTheme="minorHAnsi" w:cstheme="minorBidi"/>
          <w:sz w:val="22"/>
          <w:szCs w:val="22"/>
          <w:lang w:eastAsia="en-AU"/>
        </w:rPr>
        <w:tab/>
      </w:r>
      <w:r>
        <w:t>The reference case modelling environment</w:t>
      </w:r>
      <w:r>
        <w:tab/>
        <w:t>8</w:t>
      </w:r>
    </w:p>
    <w:p w:rsidR="00347D43" w:rsidRDefault="00347D43">
      <w:pPr>
        <w:pStyle w:val="TOC1"/>
        <w:rPr>
          <w:rFonts w:asciiTheme="minorHAnsi" w:eastAsiaTheme="minorEastAsia" w:hAnsiTheme="minorHAnsi" w:cstheme="minorBidi"/>
          <w:b w:val="0"/>
          <w:noProof/>
          <w:sz w:val="22"/>
          <w:szCs w:val="22"/>
          <w:lang w:eastAsia="en-AU"/>
        </w:rPr>
      </w:pPr>
      <w:r>
        <w:rPr>
          <w:noProof/>
        </w:rPr>
        <w:t>3</w:t>
      </w:r>
      <w:r>
        <w:rPr>
          <w:rFonts w:asciiTheme="minorHAnsi" w:eastAsiaTheme="minorEastAsia" w:hAnsiTheme="minorHAnsi" w:cstheme="minorBidi"/>
          <w:b w:val="0"/>
          <w:noProof/>
          <w:sz w:val="22"/>
          <w:szCs w:val="22"/>
          <w:lang w:eastAsia="en-AU"/>
        </w:rPr>
        <w:tab/>
      </w:r>
      <w:r>
        <w:rPr>
          <w:noProof/>
        </w:rPr>
        <w:t>The VUMR model database</w:t>
      </w:r>
      <w:r>
        <w:rPr>
          <w:noProof/>
        </w:rPr>
        <w:tab/>
        <w:t>13</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3.1</w:t>
      </w:r>
      <w:r>
        <w:rPr>
          <w:rFonts w:asciiTheme="minorHAnsi" w:eastAsiaTheme="minorEastAsia" w:hAnsiTheme="minorHAnsi" w:cstheme="minorBidi"/>
          <w:sz w:val="22"/>
          <w:szCs w:val="22"/>
          <w:lang w:eastAsia="en-AU"/>
        </w:rPr>
        <w:tab/>
      </w:r>
      <w:r>
        <w:t>Summary of the 2009</w:t>
      </w:r>
      <w:r>
        <w:noBreakHyphen/>
        <w:t>10 model database</w:t>
      </w:r>
      <w:r>
        <w:tab/>
        <w:t>13</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3.2</w:t>
      </w:r>
      <w:r>
        <w:rPr>
          <w:rFonts w:asciiTheme="minorHAnsi" w:eastAsiaTheme="minorEastAsia" w:hAnsiTheme="minorHAnsi" w:cstheme="minorBidi"/>
          <w:sz w:val="22"/>
          <w:szCs w:val="22"/>
          <w:lang w:eastAsia="en-AU"/>
        </w:rPr>
        <w:tab/>
      </w:r>
      <w:r>
        <w:t>Returns to capital data</w:t>
      </w:r>
      <w:r>
        <w:tab/>
        <w:t>58</w:t>
      </w:r>
    </w:p>
    <w:p w:rsidR="00347D43" w:rsidRDefault="00347D43">
      <w:pPr>
        <w:pStyle w:val="TOC1"/>
        <w:rPr>
          <w:rFonts w:asciiTheme="minorHAnsi" w:eastAsiaTheme="minorEastAsia" w:hAnsiTheme="minorHAnsi" w:cstheme="minorBidi"/>
          <w:b w:val="0"/>
          <w:noProof/>
          <w:sz w:val="22"/>
          <w:szCs w:val="22"/>
          <w:lang w:eastAsia="en-AU"/>
        </w:rPr>
      </w:pPr>
      <w:r>
        <w:rPr>
          <w:noProof/>
        </w:rPr>
        <w:t>4</w:t>
      </w:r>
      <w:r>
        <w:rPr>
          <w:rFonts w:asciiTheme="minorHAnsi" w:eastAsiaTheme="minorEastAsia" w:hAnsiTheme="minorHAnsi" w:cstheme="minorBidi"/>
          <w:b w:val="0"/>
          <w:noProof/>
          <w:sz w:val="22"/>
          <w:szCs w:val="22"/>
          <w:lang w:eastAsia="en-AU"/>
        </w:rPr>
        <w:tab/>
      </w:r>
      <w:r>
        <w:rPr>
          <w:noProof/>
        </w:rPr>
        <w:t>Uprating of the model database</w:t>
      </w:r>
      <w:r>
        <w:rPr>
          <w:noProof/>
        </w:rPr>
        <w:tab/>
        <w:t>61</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4.1</w:t>
      </w:r>
      <w:r>
        <w:rPr>
          <w:rFonts w:asciiTheme="minorHAnsi" w:eastAsiaTheme="minorEastAsia" w:hAnsiTheme="minorHAnsi" w:cstheme="minorBidi"/>
          <w:sz w:val="22"/>
          <w:szCs w:val="22"/>
          <w:lang w:eastAsia="en-AU"/>
        </w:rPr>
        <w:tab/>
      </w:r>
      <w:r>
        <w:t>Model numeraire</w:t>
      </w:r>
      <w:r>
        <w:tab/>
        <w:t>61</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4.2</w:t>
      </w:r>
      <w:r>
        <w:rPr>
          <w:rFonts w:asciiTheme="minorHAnsi" w:eastAsiaTheme="minorEastAsia" w:hAnsiTheme="minorHAnsi" w:cstheme="minorBidi"/>
          <w:sz w:val="22"/>
          <w:szCs w:val="22"/>
          <w:lang w:eastAsia="en-AU"/>
        </w:rPr>
        <w:tab/>
      </w:r>
      <w:r>
        <w:t>Macroeconomic aggregates</w:t>
      </w:r>
      <w:r>
        <w:tab/>
        <w:t>62</w:t>
      </w:r>
    </w:p>
    <w:p w:rsidR="00347D43" w:rsidRDefault="00347D43">
      <w:pPr>
        <w:pStyle w:val="TOC1"/>
        <w:rPr>
          <w:rFonts w:asciiTheme="minorHAnsi" w:eastAsiaTheme="minorEastAsia" w:hAnsiTheme="minorHAnsi" w:cstheme="minorBidi"/>
          <w:b w:val="0"/>
          <w:noProof/>
          <w:sz w:val="22"/>
          <w:szCs w:val="22"/>
          <w:lang w:eastAsia="en-AU"/>
        </w:rPr>
      </w:pPr>
      <w:r>
        <w:rPr>
          <w:noProof/>
        </w:rPr>
        <w:t>5</w:t>
      </w:r>
      <w:r>
        <w:rPr>
          <w:rFonts w:asciiTheme="minorHAnsi" w:eastAsiaTheme="minorEastAsia" w:hAnsiTheme="minorHAnsi" w:cstheme="minorBidi"/>
          <w:b w:val="0"/>
          <w:noProof/>
          <w:sz w:val="22"/>
          <w:szCs w:val="22"/>
          <w:lang w:eastAsia="en-AU"/>
        </w:rPr>
        <w:tab/>
      </w:r>
      <w:r>
        <w:rPr>
          <w:noProof/>
        </w:rPr>
        <w:t>Demography</w:t>
      </w:r>
      <w:r>
        <w:rPr>
          <w:noProof/>
        </w:rPr>
        <w:tab/>
        <w:t>65</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5.1</w:t>
      </w:r>
      <w:r>
        <w:rPr>
          <w:rFonts w:asciiTheme="minorHAnsi" w:eastAsiaTheme="minorEastAsia" w:hAnsiTheme="minorHAnsi" w:cstheme="minorBidi"/>
          <w:sz w:val="22"/>
          <w:szCs w:val="22"/>
          <w:lang w:eastAsia="en-AU"/>
        </w:rPr>
        <w:tab/>
      </w:r>
      <w:r>
        <w:t>Overview of demographic change in Australia</w:t>
      </w:r>
      <w:r>
        <w:tab/>
        <w:t>66</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5.2</w:t>
      </w:r>
      <w:r>
        <w:rPr>
          <w:rFonts w:asciiTheme="minorHAnsi" w:eastAsiaTheme="minorEastAsia" w:hAnsiTheme="minorHAnsi" w:cstheme="minorBidi"/>
          <w:sz w:val="22"/>
          <w:szCs w:val="22"/>
          <w:lang w:eastAsia="en-AU"/>
        </w:rPr>
        <w:tab/>
      </w:r>
      <w:r>
        <w:t>Fertility</w:t>
      </w:r>
      <w:r>
        <w:tab/>
        <w:t>71</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5.3</w:t>
      </w:r>
      <w:r>
        <w:rPr>
          <w:rFonts w:asciiTheme="minorHAnsi" w:eastAsiaTheme="minorEastAsia" w:hAnsiTheme="minorHAnsi" w:cstheme="minorBidi"/>
          <w:sz w:val="22"/>
          <w:szCs w:val="22"/>
          <w:lang w:eastAsia="en-AU"/>
        </w:rPr>
        <w:tab/>
      </w:r>
      <w:r>
        <w:t>Mortality</w:t>
      </w:r>
      <w:r>
        <w:tab/>
        <w:t>81</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5.4</w:t>
      </w:r>
      <w:r>
        <w:rPr>
          <w:rFonts w:asciiTheme="minorHAnsi" w:eastAsiaTheme="minorEastAsia" w:hAnsiTheme="minorHAnsi" w:cstheme="minorBidi"/>
          <w:sz w:val="22"/>
          <w:szCs w:val="22"/>
          <w:lang w:eastAsia="en-AU"/>
        </w:rPr>
        <w:tab/>
      </w:r>
      <w:r>
        <w:t>Overseas migration</w:t>
      </w:r>
      <w:r>
        <w:tab/>
        <w:t>87</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5.5</w:t>
      </w:r>
      <w:r>
        <w:rPr>
          <w:rFonts w:asciiTheme="minorHAnsi" w:eastAsiaTheme="minorEastAsia" w:hAnsiTheme="minorHAnsi" w:cstheme="minorBidi"/>
          <w:sz w:val="22"/>
          <w:szCs w:val="22"/>
          <w:lang w:eastAsia="en-AU"/>
        </w:rPr>
        <w:tab/>
      </w:r>
      <w:r>
        <w:t>Summary of reference case assumptions</w:t>
      </w:r>
      <w:r>
        <w:tab/>
        <w:t>100</w:t>
      </w:r>
    </w:p>
    <w:p w:rsidR="00347D43" w:rsidRDefault="00347D43">
      <w:pPr>
        <w:pStyle w:val="TOC1"/>
        <w:rPr>
          <w:rFonts w:asciiTheme="minorHAnsi" w:eastAsiaTheme="minorEastAsia" w:hAnsiTheme="minorHAnsi" w:cstheme="minorBidi"/>
          <w:b w:val="0"/>
          <w:noProof/>
          <w:sz w:val="22"/>
          <w:szCs w:val="22"/>
          <w:lang w:eastAsia="en-AU"/>
        </w:rPr>
      </w:pPr>
      <w:r>
        <w:rPr>
          <w:noProof/>
        </w:rPr>
        <w:t>6</w:t>
      </w:r>
      <w:r>
        <w:rPr>
          <w:rFonts w:asciiTheme="minorHAnsi" w:eastAsiaTheme="minorEastAsia" w:hAnsiTheme="minorHAnsi" w:cstheme="minorBidi"/>
          <w:b w:val="0"/>
          <w:noProof/>
          <w:sz w:val="22"/>
          <w:szCs w:val="22"/>
          <w:lang w:eastAsia="en-AU"/>
        </w:rPr>
        <w:tab/>
      </w:r>
      <w:r>
        <w:rPr>
          <w:noProof/>
        </w:rPr>
        <w:t>Labour market</w:t>
      </w:r>
      <w:r>
        <w:rPr>
          <w:noProof/>
        </w:rPr>
        <w:tab/>
        <w:t>103</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6.1</w:t>
      </w:r>
      <w:r>
        <w:rPr>
          <w:rFonts w:asciiTheme="minorHAnsi" w:eastAsiaTheme="minorEastAsia" w:hAnsiTheme="minorHAnsi" w:cstheme="minorBidi"/>
          <w:sz w:val="22"/>
          <w:szCs w:val="22"/>
          <w:lang w:eastAsia="en-AU"/>
        </w:rPr>
        <w:tab/>
      </w:r>
      <w:r>
        <w:t>Historical perspective</w:t>
      </w:r>
      <w:r>
        <w:tab/>
        <w:t>104</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6.2</w:t>
      </w:r>
      <w:r>
        <w:rPr>
          <w:rFonts w:asciiTheme="minorHAnsi" w:eastAsiaTheme="minorEastAsia" w:hAnsiTheme="minorHAnsi" w:cstheme="minorBidi"/>
          <w:sz w:val="22"/>
          <w:szCs w:val="22"/>
          <w:lang w:eastAsia="en-AU"/>
        </w:rPr>
        <w:tab/>
      </w:r>
      <w:r>
        <w:t>Projections used in other studies</w:t>
      </w:r>
      <w:r>
        <w:tab/>
        <w:t>114</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6.3</w:t>
      </w:r>
      <w:r>
        <w:rPr>
          <w:rFonts w:asciiTheme="minorHAnsi" w:eastAsiaTheme="minorEastAsia" w:hAnsiTheme="minorHAnsi" w:cstheme="minorBidi"/>
          <w:sz w:val="22"/>
          <w:szCs w:val="22"/>
          <w:lang w:eastAsia="en-AU"/>
        </w:rPr>
        <w:tab/>
      </w:r>
      <w:r>
        <w:t>Towards a modelling reference case</w:t>
      </w:r>
      <w:r>
        <w:tab/>
        <w:t>116</w:t>
      </w:r>
    </w:p>
    <w:p w:rsidR="00347D43" w:rsidRDefault="00347D43">
      <w:pPr>
        <w:pStyle w:val="TOC1"/>
        <w:rPr>
          <w:rFonts w:asciiTheme="minorHAnsi" w:eastAsiaTheme="minorEastAsia" w:hAnsiTheme="minorHAnsi" w:cstheme="minorBidi"/>
          <w:b w:val="0"/>
          <w:noProof/>
          <w:sz w:val="22"/>
          <w:szCs w:val="22"/>
          <w:lang w:eastAsia="en-AU"/>
        </w:rPr>
      </w:pPr>
      <w:r>
        <w:rPr>
          <w:noProof/>
        </w:rPr>
        <w:t>7</w:t>
      </w:r>
      <w:r>
        <w:rPr>
          <w:rFonts w:asciiTheme="minorHAnsi" w:eastAsiaTheme="minorEastAsia" w:hAnsiTheme="minorHAnsi" w:cstheme="minorBidi"/>
          <w:b w:val="0"/>
          <w:noProof/>
          <w:sz w:val="22"/>
          <w:szCs w:val="22"/>
          <w:lang w:eastAsia="en-AU"/>
        </w:rPr>
        <w:tab/>
      </w:r>
      <w:r>
        <w:rPr>
          <w:noProof/>
        </w:rPr>
        <w:t>Productivity</w:t>
      </w:r>
      <w:r>
        <w:rPr>
          <w:noProof/>
        </w:rPr>
        <w:tab/>
        <w:t>123</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7.1</w:t>
      </w:r>
      <w:r>
        <w:rPr>
          <w:rFonts w:asciiTheme="minorHAnsi" w:eastAsiaTheme="minorEastAsia" w:hAnsiTheme="minorHAnsi" w:cstheme="minorBidi"/>
          <w:sz w:val="22"/>
          <w:szCs w:val="22"/>
          <w:lang w:eastAsia="en-AU"/>
        </w:rPr>
        <w:tab/>
      </w:r>
      <w:r>
        <w:t>Historical perspective</w:t>
      </w:r>
      <w:r>
        <w:tab/>
        <w:t>124</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7.2</w:t>
      </w:r>
      <w:r>
        <w:rPr>
          <w:rFonts w:asciiTheme="minorHAnsi" w:eastAsiaTheme="minorEastAsia" w:hAnsiTheme="minorHAnsi" w:cstheme="minorBidi"/>
          <w:sz w:val="22"/>
          <w:szCs w:val="22"/>
          <w:lang w:eastAsia="en-AU"/>
        </w:rPr>
        <w:tab/>
      </w:r>
      <w:r>
        <w:t>Projections used in other studies</w:t>
      </w:r>
      <w:r>
        <w:tab/>
        <w:t>131</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7.3</w:t>
      </w:r>
      <w:r>
        <w:rPr>
          <w:rFonts w:asciiTheme="minorHAnsi" w:eastAsiaTheme="minorEastAsia" w:hAnsiTheme="minorHAnsi" w:cstheme="minorBidi"/>
          <w:sz w:val="22"/>
          <w:szCs w:val="22"/>
          <w:lang w:eastAsia="en-AU"/>
        </w:rPr>
        <w:tab/>
      </w:r>
      <w:r>
        <w:t>Some issues in modelling labour productivity growth</w:t>
      </w:r>
      <w:r>
        <w:tab/>
        <w:t>133</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7.4</w:t>
      </w:r>
      <w:r>
        <w:rPr>
          <w:rFonts w:asciiTheme="minorHAnsi" w:eastAsiaTheme="minorEastAsia" w:hAnsiTheme="minorHAnsi" w:cstheme="minorBidi"/>
          <w:sz w:val="22"/>
          <w:szCs w:val="22"/>
          <w:lang w:eastAsia="en-AU"/>
        </w:rPr>
        <w:tab/>
      </w:r>
      <w:r>
        <w:t>Towards a modelling reference case</w:t>
      </w:r>
      <w:r>
        <w:tab/>
        <w:t>145</w:t>
      </w:r>
    </w:p>
    <w:p w:rsidR="00010DB4" w:rsidRDefault="00010DB4">
      <w:pPr>
        <w:rPr>
          <w:rFonts w:ascii="Arial" w:hAnsi="Arial"/>
          <w:b/>
          <w:noProof/>
          <w:szCs w:val="26"/>
        </w:rPr>
      </w:pPr>
      <w:r>
        <w:rPr>
          <w:noProof/>
        </w:rPr>
        <w:br w:type="page"/>
      </w:r>
    </w:p>
    <w:p w:rsidR="00347D43" w:rsidRDefault="00347D43">
      <w:pPr>
        <w:pStyle w:val="TOC1"/>
        <w:rPr>
          <w:rFonts w:asciiTheme="minorHAnsi" w:eastAsiaTheme="minorEastAsia" w:hAnsiTheme="minorHAnsi" w:cstheme="minorBidi"/>
          <w:b w:val="0"/>
          <w:noProof/>
          <w:sz w:val="22"/>
          <w:szCs w:val="22"/>
          <w:lang w:eastAsia="en-AU"/>
        </w:rPr>
      </w:pPr>
      <w:r>
        <w:rPr>
          <w:noProof/>
        </w:rPr>
        <w:lastRenderedPageBreak/>
        <w:t>8</w:t>
      </w:r>
      <w:r>
        <w:rPr>
          <w:rFonts w:asciiTheme="minorHAnsi" w:eastAsiaTheme="minorEastAsia" w:hAnsiTheme="minorHAnsi" w:cstheme="minorBidi"/>
          <w:b w:val="0"/>
          <w:noProof/>
          <w:sz w:val="22"/>
          <w:szCs w:val="22"/>
          <w:lang w:eastAsia="en-AU"/>
        </w:rPr>
        <w:tab/>
      </w:r>
      <w:r>
        <w:rPr>
          <w:noProof/>
        </w:rPr>
        <w:t>Foreign trade</w:t>
      </w:r>
      <w:r>
        <w:rPr>
          <w:noProof/>
        </w:rPr>
        <w:tab/>
        <w:t>155</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8.1</w:t>
      </w:r>
      <w:r>
        <w:rPr>
          <w:rFonts w:asciiTheme="minorHAnsi" w:eastAsiaTheme="minorEastAsia" w:hAnsiTheme="minorHAnsi" w:cstheme="minorBidi"/>
          <w:sz w:val="22"/>
          <w:szCs w:val="22"/>
          <w:lang w:eastAsia="en-AU"/>
        </w:rPr>
        <w:tab/>
      </w:r>
      <w:r>
        <w:t>Historical perspective</w:t>
      </w:r>
      <w:r>
        <w:tab/>
        <w:t>156</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8.2</w:t>
      </w:r>
      <w:r>
        <w:rPr>
          <w:rFonts w:asciiTheme="minorHAnsi" w:eastAsiaTheme="minorEastAsia" w:hAnsiTheme="minorHAnsi" w:cstheme="minorBidi"/>
          <w:sz w:val="22"/>
          <w:szCs w:val="22"/>
          <w:lang w:eastAsia="en-AU"/>
        </w:rPr>
        <w:tab/>
      </w:r>
      <w:r>
        <w:t>Some perspectives on the outlook for Australia’s terms of trade</w:t>
      </w:r>
      <w:r>
        <w:tab/>
        <w:t>170</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8.3</w:t>
      </w:r>
      <w:r>
        <w:rPr>
          <w:rFonts w:asciiTheme="minorHAnsi" w:eastAsiaTheme="minorEastAsia" w:hAnsiTheme="minorHAnsi" w:cstheme="minorBidi"/>
          <w:sz w:val="22"/>
          <w:szCs w:val="22"/>
          <w:lang w:eastAsia="en-AU"/>
        </w:rPr>
        <w:tab/>
      </w:r>
      <w:r>
        <w:t>Terms of trade projections used in other studies</w:t>
      </w:r>
      <w:r>
        <w:tab/>
        <w:t>174</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8.4</w:t>
      </w:r>
      <w:r>
        <w:rPr>
          <w:rFonts w:asciiTheme="minorHAnsi" w:eastAsiaTheme="minorEastAsia" w:hAnsiTheme="minorHAnsi" w:cstheme="minorBidi"/>
          <w:sz w:val="22"/>
          <w:szCs w:val="22"/>
          <w:lang w:eastAsia="en-AU"/>
        </w:rPr>
        <w:tab/>
      </w:r>
      <w:r>
        <w:t>Towards a modelling reference case</w:t>
      </w:r>
      <w:r>
        <w:tab/>
        <w:t>180</w:t>
      </w:r>
    </w:p>
    <w:p w:rsidR="00347D43" w:rsidRDefault="00347D43">
      <w:pPr>
        <w:pStyle w:val="TOC1"/>
        <w:rPr>
          <w:rFonts w:asciiTheme="minorHAnsi" w:eastAsiaTheme="minorEastAsia" w:hAnsiTheme="minorHAnsi" w:cstheme="minorBidi"/>
          <w:b w:val="0"/>
          <w:noProof/>
          <w:sz w:val="22"/>
          <w:szCs w:val="22"/>
          <w:lang w:eastAsia="en-AU"/>
        </w:rPr>
      </w:pPr>
      <w:r>
        <w:rPr>
          <w:noProof/>
        </w:rPr>
        <w:t>9</w:t>
      </w:r>
      <w:r>
        <w:rPr>
          <w:rFonts w:asciiTheme="minorHAnsi" w:eastAsiaTheme="minorEastAsia" w:hAnsiTheme="minorHAnsi" w:cstheme="minorBidi"/>
          <w:b w:val="0"/>
          <w:noProof/>
          <w:sz w:val="22"/>
          <w:szCs w:val="22"/>
          <w:lang w:eastAsia="en-AU"/>
        </w:rPr>
        <w:tab/>
      </w:r>
      <w:r>
        <w:rPr>
          <w:noProof/>
        </w:rPr>
        <w:t>Foreign investment and income</w:t>
      </w:r>
      <w:r>
        <w:rPr>
          <w:noProof/>
        </w:rPr>
        <w:tab/>
        <w:t>191</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9.1</w:t>
      </w:r>
      <w:r>
        <w:rPr>
          <w:rFonts w:asciiTheme="minorHAnsi" w:eastAsiaTheme="minorEastAsia" w:hAnsiTheme="minorHAnsi" w:cstheme="minorBidi"/>
          <w:sz w:val="22"/>
          <w:szCs w:val="22"/>
          <w:lang w:eastAsia="en-AU"/>
        </w:rPr>
        <w:tab/>
      </w:r>
      <w:r>
        <w:t>Australia’s foreign investment and income flows in a balance of payments context</w:t>
      </w:r>
      <w:r>
        <w:tab/>
        <w:t>192</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9.2</w:t>
      </w:r>
      <w:r>
        <w:rPr>
          <w:rFonts w:asciiTheme="minorHAnsi" w:eastAsiaTheme="minorEastAsia" w:hAnsiTheme="minorHAnsi" w:cstheme="minorBidi"/>
          <w:sz w:val="22"/>
          <w:szCs w:val="22"/>
          <w:lang w:eastAsia="en-AU"/>
        </w:rPr>
        <w:tab/>
      </w:r>
      <w:r>
        <w:t>Towards a modelling reference case</w:t>
      </w:r>
      <w:r>
        <w:tab/>
        <w:t>195</w:t>
      </w:r>
    </w:p>
    <w:p w:rsidR="00347D43" w:rsidRDefault="00347D43">
      <w:pPr>
        <w:pStyle w:val="TOC1"/>
        <w:rPr>
          <w:rFonts w:asciiTheme="minorHAnsi" w:eastAsiaTheme="minorEastAsia" w:hAnsiTheme="minorHAnsi" w:cstheme="minorBidi"/>
          <w:b w:val="0"/>
          <w:noProof/>
          <w:sz w:val="22"/>
          <w:szCs w:val="22"/>
          <w:lang w:eastAsia="en-AU"/>
        </w:rPr>
      </w:pPr>
      <w:r>
        <w:rPr>
          <w:noProof/>
        </w:rPr>
        <w:t>10</w:t>
      </w:r>
      <w:r>
        <w:rPr>
          <w:rFonts w:asciiTheme="minorHAnsi" w:eastAsiaTheme="minorEastAsia" w:hAnsiTheme="minorHAnsi" w:cstheme="minorBidi"/>
          <w:b w:val="0"/>
          <w:noProof/>
          <w:sz w:val="22"/>
          <w:szCs w:val="22"/>
          <w:lang w:eastAsia="en-AU"/>
        </w:rPr>
        <w:tab/>
      </w:r>
      <w:r>
        <w:rPr>
          <w:noProof/>
        </w:rPr>
        <w:t>Government finances</w:t>
      </w:r>
      <w:r>
        <w:rPr>
          <w:noProof/>
        </w:rPr>
        <w:tab/>
        <w:t>199</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10.1</w:t>
      </w:r>
      <w:r>
        <w:rPr>
          <w:rFonts w:asciiTheme="minorHAnsi" w:eastAsiaTheme="minorEastAsia" w:hAnsiTheme="minorHAnsi" w:cstheme="minorBidi"/>
          <w:sz w:val="22"/>
          <w:szCs w:val="22"/>
          <w:lang w:eastAsia="en-AU"/>
        </w:rPr>
        <w:tab/>
      </w:r>
      <w:r>
        <w:t>Historical perspective</w:t>
      </w:r>
      <w:r>
        <w:tab/>
        <w:t>201</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10.2</w:t>
      </w:r>
      <w:r>
        <w:rPr>
          <w:rFonts w:asciiTheme="minorHAnsi" w:eastAsiaTheme="minorEastAsia" w:hAnsiTheme="minorHAnsi" w:cstheme="minorBidi"/>
          <w:sz w:val="22"/>
          <w:szCs w:val="22"/>
          <w:lang w:eastAsia="en-AU"/>
        </w:rPr>
        <w:tab/>
      </w:r>
      <w:r>
        <w:t>Projections used in other studies</w:t>
      </w:r>
      <w:r>
        <w:tab/>
        <w:t>214</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10.3</w:t>
      </w:r>
      <w:r>
        <w:rPr>
          <w:rFonts w:asciiTheme="minorHAnsi" w:eastAsiaTheme="minorEastAsia" w:hAnsiTheme="minorHAnsi" w:cstheme="minorBidi"/>
          <w:sz w:val="22"/>
          <w:szCs w:val="22"/>
          <w:lang w:eastAsia="en-AU"/>
        </w:rPr>
        <w:tab/>
      </w:r>
      <w:r>
        <w:t>Towards a modelling reference case</w:t>
      </w:r>
      <w:r>
        <w:tab/>
        <w:t>218</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Annex</w:t>
      </w:r>
      <w:r>
        <w:tab/>
      </w:r>
      <w:r>
        <w:tab/>
      </w:r>
      <w:r>
        <w:tab/>
        <w:t>221</w:t>
      </w:r>
    </w:p>
    <w:p w:rsidR="00347D43" w:rsidRDefault="00347D43">
      <w:pPr>
        <w:pStyle w:val="TOC1"/>
        <w:rPr>
          <w:rFonts w:asciiTheme="minorHAnsi" w:eastAsiaTheme="minorEastAsia" w:hAnsiTheme="minorHAnsi" w:cstheme="minorBidi"/>
          <w:b w:val="0"/>
          <w:noProof/>
          <w:sz w:val="22"/>
          <w:szCs w:val="22"/>
          <w:lang w:eastAsia="en-AU"/>
        </w:rPr>
      </w:pPr>
      <w:r>
        <w:rPr>
          <w:noProof/>
        </w:rPr>
        <w:t>11</w:t>
      </w:r>
      <w:r>
        <w:rPr>
          <w:rFonts w:asciiTheme="minorHAnsi" w:eastAsiaTheme="minorEastAsia" w:hAnsiTheme="minorHAnsi" w:cstheme="minorBidi"/>
          <w:b w:val="0"/>
          <w:noProof/>
          <w:sz w:val="22"/>
          <w:szCs w:val="22"/>
          <w:lang w:eastAsia="en-AU"/>
        </w:rPr>
        <w:tab/>
      </w:r>
      <w:r>
        <w:rPr>
          <w:noProof/>
        </w:rPr>
        <w:t>Household expenditure</w:t>
      </w:r>
      <w:r>
        <w:rPr>
          <w:noProof/>
        </w:rPr>
        <w:tab/>
        <w:t>223</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11.1</w:t>
      </w:r>
      <w:r>
        <w:rPr>
          <w:rFonts w:asciiTheme="minorHAnsi" w:eastAsiaTheme="minorEastAsia" w:hAnsiTheme="minorHAnsi" w:cstheme="minorBidi"/>
          <w:sz w:val="22"/>
          <w:szCs w:val="22"/>
          <w:lang w:eastAsia="en-AU"/>
        </w:rPr>
        <w:tab/>
      </w:r>
      <w:r>
        <w:t>Factors influencing patterns of household expenditure</w:t>
      </w:r>
      <w:r>
        <w:tab/>
        <w:t>223</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11.2</w:t>
      </w:r>
      <w:r>
        <w:rPr>
          <w:rFonts w:asciiTheme="minorHAnsi" w:eastAsiaTheme="minorEastAsia" w:hAnsiTheme="minorHAnsi" w:cstheme="minorBidi"/>
          <w:sz w:val="22"/>
          <w:szCs w:val="22"/>
          <w:lang w:eastAsia="en-AU"/>
        </w:rPr>
        <w:tab/>
      </w:r>
      <w:r>
        <w:t>Historical perspective</w:t>
      </w:r>
      <w:r>
        <w:tab/>
        <w:t>224</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11.3</w:t>
      </w:r>
      <w:r>
        <w:rPr>
          <w:rFonts w:asciiTheme="minorHAnsi" w:eastAsiaTheme="minorEastAsia" w:hAnsiTheme="minorHAnsi" w:cstheme="minorBidi"/>
          <w:sz w:val="22"/>
          <w:szCs w:val="22"/>
          <w:lang w:eastAsia="en-AU"/>
        </w:rPr>
        <w:tab/>
      </w:r>
      <w:r>
        <w:t>Projections used in other studies</w:t>
      </w:r>
      <w:r>
        <w:tab/>
        <w:t>231</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11.4</w:t>
      </w:r>
      <w:r>
        <w:rPr>
          <w:rFonts w:asciiTheme="minorHAnsi" w:eastAsiaTheme="minorEastAsia" w:hAnsiTheme="minorHAnsi" w:cstheme="minorBidi"/>
          <w:sz w:val="22"/>
          <w:szCs w:val="22"/>
          <w:lang w:eastAsia="en-AU"/>
        </w:rPr>
        <w:tab/>
      </w:r>
      <w:r>
        <w:t>Towards a modelling reference case</w:t>
      </w:r>
      <w:r>
        <w:tab/>
        <w:t>232</w:t>
      </w:r>
    </w:p>
    <w:p w:rsidR="00347D43" w:rsidRDefault="00347D43">
      <w:pPr>
        <w:pStyle w:val="TOC1"/>
        <w:rPr>
          <w:rFonts w:asciiTheme="minorHAnsi" w:eastAsiaTheme="minorEastAsia" w:hAnsiTheme="minorHAnsi" w:cstheme="minorBidi"/>
          <w:b w:val="0"/>
          <w:noProof/>
          <w:sz w:val="22"/>
          <w:szCs w:val="22"/>
          <w:lang w:eastAsia="en-AU"/>
        </w:rPr>
      </w:pPr>
      <w:r>
        <w:rPr>
          <w:noProof/>
        </w:rPr>
        <w:t>12</w:t>
      </w:r>
      <w:r>
        <w:rPr>
          <w:rFonts w:asciiTheme="minorHAnsi" w:eastAsiaTheme="minorEastAsia" w:hAnsiTheme="minorHAnsi" w:cstheme="minorBidi"/>
          <w:b w:val="0"/>
          <w:noProof/>
          <w:sz w:val="22"/>
          <w:szCs w:val="22"/>
          <w:lang w:eastAsia="en-AU"/>
        </w:rPr>
        <w:tab/>
      </w:r>
      <w:r>
        <w:rPr>
          <w:noProof/>
        </w:rPr>
        <w:t>Modelling reference case</w:t>
      </w:r>
      <w:r>
        <w:rPr>
          <w:noProof/>
        </w:rPr>
        <w:tab/>
        <w:t>235</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12.1</w:t>
      </w:r>
      <w:r>
        <w:rPr>
          <w:rFonts w:asciiTheme="minorHAnsi" w:eastAsiaTheme="minorEastAsia" w:hAnsiTheme="minorHAnsi" w:cstheme="minorBidi"/>
          <w:sz w:val="22"/>
          <w:szCs w:val="22"/>
          <w:lang w:eastAsia="en-AU"/>
        </w:rPr>
        <w:tab/>
      </w:r>
      <w:r>
        <w:t>Level of economic activity</w:t>
      </w:r>
      <w:r>
        <w:tab/>
        <w:t>235</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12.2</w:t>
      </w:r>
      <w:r>
        <w:rPr>
          <w:rFonts w:asciiTheme="minorHAnsi" w:eastAsiaTheme="minorEastAsia" w:hAnsiTheme="minorHAnsi" w:cstheme="minorBidi"/>
          <w:sz w:val="22"/>
          <w:szCs w:val="22"/>
          <w:lang w:eastAsia="en-AU"/>
        </w:rPr>
        <w:tab/>
      </w:r>
      <w:r>
        <w:t>Structure of the economy</w:t>
      </w:r>
      <w:r>
        <w:tab/>
        <w:t>243</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12.3</w:t>
      </w:r>
      <w:r>
        <w:rPr>
          <w:rFonts w:asciiTheme="minorHAnsi" w:eastAsiaTheme="minorEastAsia" w:hAnsiTheme="minorHAnsi" w:cstheme="minorBidi"/>
          <w:sz w:val="22"/>
          <w:szCs w:val="22"/>
          <w:lang w:eastAsia="en-AU"/>
        </w:rPr>
        <w:tab/>
      </w:r>
      <w:r>
        <w:t>Exploring the sources of labour productivity growth</w:t>
      </w:r>
      <w:r>
        <w:tab/>
        <w:t>257</w:t>
      </w:r>
    </w:p>
    <w:p w:rsidR="00347D43" w:rsidRDefault="00347D43" w:rsidP="00347D43">
      <w:pPr>
        <w:pStyle w:val="TOC2"/>
        <w:spacing w:line="260" w:lineRule="exact"/>
        <w:ind w:left="1417" w:hanging="907"/>
        <w:rPr>
          <w:rFonts w:asciiTheme="minorHAnsi" w:eastAsiaTheme="minorEastAsia" w:hAnsiTheme="minorHAnsi" w:cstheme="minorBidi"/>
          <w:sz w:val="22"/>
          <w:szCs w:val="22"/>
          <w:lang w:eastAsia="en-AU"/>
        </w:rPr>
      </w:pPr>
      <w:r>
        <w:t>12.4</w:t>
      </w:r>
      <w:r>
        <w:rPr>
          <w:rFonts w:asciiTheme="minorHAnsi" w:eastAsiaTheme="minorEastAsia" w:hAnsiTheme="minorHAnsi" w:cstheme="minorBidi"/>
          <w:sz w:val="22"/>
          <w:szCs w:val="22"/>
          <w:lang w:eastAsia="en-AU"/>
        </w:rPr>
        <w:tab/>
      </w:r>
      <w:r>
        <w:t>Summary</w:t>
      </w:r>
      <w:r>
        <w:tab/>
        <w:t>264</w:t>
      </w:r>
    </w:p>
    <w:p w:rsidR="00347D43" w:rsidRDefault="00347D43">
      <w:pPr>
        <w:pStyle w:val="TOC1"/>
        <w:rPr>
          <w:rFonts w:asciiTheme="minorHAnsi" w:eastAsiaTheme="minorEastAsia" w:hAnsiTheme="minorHAnsi" w:cstheme="minorBidi"/>
          <w:b w:val="0"/>
          <w:noProof/>
          <w:sz w:val="22"/>
          <w:szCs w:val="22"/>
          <w:lang w:eastAsia="en-AU"/>
        </w:rPr>
      </w:pPr>
      <w:r>
        <w:rPr>
          <w:noProof/>
        </w:rPr>
        <w:t>13</w:t>
      </w:r>
      <w:r>
        <w:rPr>
          <w:rFonts w:asciiTheme="minorHAnsi" w:eastAsiaTheme="minorEastAsia" w:hAnsiTheme="minorHAnsi" w:cstheme="minorBidi"/>
          <w:b w:val="0"/>
          <w:noProof/>
          <w:sz w:val="22"/>
          <w:szCs w:val="22"/>
          <w:lang w:eastAsia="en-AU"/>
        </w:rPr>
        <w:tab/>
      </w:r>
      <w:r>
        <w:rPr>
          <w:noProof/>
        </w:rPr>
        <w:t>Areas for further research</w:t>
      </w:r>
      <w:r>
        <w:rPr>
          <w:noProof/>
        </w:rPr>
        <w:tab/>
        <w:t>265</w:t>
      </w:r>
    </w:p>
    <w:p w:rsidR="00B218A4" w:rsidRDefault="00B218A4">
      <w:pPr>
        <w:pStyle w:val="TOC1"/>
        <w:rPr>
          <w:noProof/>
        </w:rPr>
      </w:pPr>
      <w:r>
        <w:rPr>
          <w:noProof/>
        </w:rPr>
        <w:t>Appendixes</w:t>
      </w:r>
    </w:p>
    <w:p w:rsidR="00347D43" w:rsidRDefault="00347D43">
      <w:pPr>
        <w:pStyle w:val="TOC1"/>
        <w:rPr>
          <w:noProof/>
        </w:rPr>
      </w:pPr>
      <w:r>
        <w:rPr>
          <w:noProof/>
        </w:rPr>
        <w:t>A</w:t>
      </w:r>
      <w:r>
        <w:rPr>
          <w:rFonts w:asciiTheme="minorHAnsi" w:eastAsiaTheme="minorEastAsia" w:hAnsiTheme="minorHAnsi" w:cstheme="minorBidi"/>
          <w:b w:val="0"/>
          <w:noProof/>
          <w:sz w:val="22"/>
          <w:szCs w:val="22"/>
          <w:lang w:eastAsia="en-AU"/>
        </w:rPr>
        <w:tab/>
      </w:r>
      <w:r>
        <w:rPr>
          <w:noProof/>
        </w:rPr>
        <w:t>Model closure</w:t>
      </w:r>
      <w:r>
        <w:rPr>
          <w:noProof/>
        </w:rPr>
        <w:tab/>
        <w:t>267</w:t>
      </w:r>
    </w:p>
    <w:p w:rsidR="00A9187D" w:rsidRPr="00A9187D" w:rsidRDefault="00A9187D" w:rsidP="00A9187D">
      <w:pPr>
        <w:pStyle w:val="TOC1"/>
        <w:rPr>
          <w:noProof/>
        </w:rPr>
      </w:pPr>
      <w:r w:rsidRPr="00A9187D">
        <w:rPr>
          <w:noProof/>
        </w:rPr>
        <w:t>B</w:t>
      </w:r>
      <w:r>
        <w:rPr>
          <w:noProof/>
        </w:rPr>
        <w:tab/>
      </w:r>
      <w:r w:rsidR="008F6EB4">
        <w:rPr>
          <w:noProof/>
        </w:rPr>
        <w:t xml:space="preserve">Index </w:t>
      </w:r>
      <w:r w:rsidRPr="00A9187D">
        <w:rPr>
          <w:noProof/>
        </w:rPr>
        <w:t>of boxes, figures and tables</w:t>
      </w:r>
      <w:r w:rsidR="00B218A4">
        <w:rPr>
          <w:noProof/>
        </w:rPr>
        <w:tab/>
        <w:t>271</w:t>
      </w:r>
    </w:p>
    <w:p w:rsidR="00C058AB" w:rsidRDefault="00347D43" w:rsidP="00B218A4">
      <w:pPr>
        <w:pStyle w:val="TOC1"/>
      </w:pPr>
      <w:r>
        <w:rPr>
          <w:noProof/>
        </w:rPr>
        <w:t>References</w:t>
      </w:r>
      <w:r>
        <w:rPr>
          <w:noProof/>
        </w:rPr>
        <w:tab/>
        <w:t>27</w:t>
      </w:r>
      <w:r w:rsidR="006A0C73">
        <w:rPr>
          <w:noProof/>
        </w:rPr>
        <w:t>7</w:t>
      </w:r>
    </w:p>
    <w:p w:rsidR="004D3F58" w:rsidRDefault="004D3F58">
      <w:pPr>
        <w:pStyle w:val="BodyText"/>
        <w:sectPr w:rsidR="004D3F58" w:rsidSect="007448F7">
          <w:headerReference w:type="even" r:id="rId11"/>
          <w:headerReference w:type="default" r:id="rId12"/>
          <w:footerReference w:type="even" r:id="rId13"/>
          <w:footerReference w:type="default" r:id="rId14"/>
          <w:type w:val="oddPage"/>
          <w:pgSz w:w="11907" w:h="16840" w:code="9"/>
          <w:pgMar w:top="1985" w:right="1304" w:bottom="1247" w:left="1814" w:header="1701" w:footer="397" w:gutter="0"/>
          <w:pgNumType w:fmt="lowerRoman"/>
          <w:cols w:space="720"/>
        </w:sectPr>
      </w:pPr>
    </w:p>
    <w:p w:rsidR="00D42BE3" w:rsidRDefault="00D42BE3">
      <w:pPr>
        <w:pStyle w:val="Heading1"/>
      </w:pPr>
      <w:bookmarkStart w:id="10" w:name="Abbreviations"/>
      <w:bookmarkStart w:id="11" w:name="RDnote"/>
      <w:bookmarkStart w:id="12" w:name="_Toc452710469"/>
      <w:bookmarkStart w:id="13" w:name="_Toc465440246"/>
      <w:bookmarkStart w:id="14" w:name="_Toc465777585"/>
      <w:bookmarkEnd w:id="10"/>
      <w:bookmarkEnd w:id="11"/>
      <w:r>
        <w:lastRenderedPageBreak/>
        <w:t>Preface</w:t>
      </w:r>
      <w:bookmarkEnd w:id="12"/>
      <w:bookmarkEnd w:id="13"/>
      <w:bookmarkEnd w:id="14"/>
    </w:p>
    <w:p w:rsidR="00266467" w:rsidRDefault="00266467" w:rsidP="00266467">
      <w:pPr>
        <w:pStyle w:val="BodyText"/>
      </w:pPr>
      <w:r>
        <w:t>This technical paper updates the 2012 modelling reference case used by the Productivity Commission to assess the impacts of a range of reforms being progressed by the Council of Australian Governments (PC </w:t>
      </w:r>
      <w:proofErr w:type="spellStart"/>
      <w:r>
        <w:t>2012b</w:t>
      </w:r>
      <w:proofErr w:type="spellEnd"/>
      <w:r>
        <w:t>).</w:t>
      </w:r>
    </w:p>
    <w:p w:rsidR="00266467" w:rsidRDefault="00266467" w:rsidP="00266467">
      <w:pPr>
        <w:pStyle w:val="BodyText"/>
      </w:pPr>
      <w:r>
        <w:t xml:space="preserve">Earlier versions of this reference case have supported modelling undertaken for a number of Commission inquiries, including </w:t>
      </w:r>
      <w:r w:rsidRPr="00873038">
        <w:rPr>
          <w:i/>
          <w:iCs/>
        </w:rPr>
        <w:t>Australia’s Automotive Manufacturing Industry</w:t>
      </w:r>
      <w:r>
        <w:t xml:space="preserve"> (PC 2014), </w:t>
      </w:r>
      <w:r w:rsidRPr="00CA27CA">
        <w:rPr>
          <w:i/>
          <w:iCs/>
          <w:szCs w:val="24"/>
        </w:rPr>
        <w:t>Workplace Relations Framework</w:t>
      </w:r>
      <w:r>
        <w:t xml:space="preserve"> (PC </w:t>
      </w:r>
      <w:proofErr w:type="spellStart"/>
      <w:r>
        <w:t>2015b</w:t>
      </w:r>
      <w:proofErr w:type="spellEnd"/>
      <w:r>
        <w:t xml:space="preserve">) and </w:t>
      </w:r>
      <w:r>
        <w:rPr>
          <w:i/>
          <w:iCs/>
          <w:szCs w:val="24"/>
        </w:rPr>
        <w:t>Migrant Intake into Australia</w:t>
      </w:r>
      <w:r>
        <w:t xml:space="preserve"> (PC 2016).</w:t>
      </w:r>
    </w:p>
    <w:p w:rsidR="00266467" w:rsidRPr="0002578C" w:rsidRDefault="00266467" w:rsidP="00266467">
      <w:pPr>
        <w:pStyle w:val="BodyText"/>
        <w:rPr>
          <w:spacing w:val="-2"/>
        </w:rPr>
      </w:pPr>
      <w:r w:rsidRPr="0002578C">
        <w:rPr>
          <w:spacing w:val="-2"/>
        </w:rPr>
        <w:t>The focus of this paper is to develop a dynamic reference case to run with the Victoria University Multi</w:t>
      </w:r>
      <w:r w:rsidRPr="0002578C">
        <w:rPr>
          <w:spacing w:val="-2"/>
        </w:rPr>
        <w:noBreakHyphen/>
        <w:t>Region (</w:t>
      </w:r>
      <w:proofErr w:type="spellStart"/>
      <w:r w:rsidRPr="0002578C">
        <w:rPr>
          <w:spacing w:val="-2"/>
        </w:rPr>
        <w:t>VUMR</w:t>
      </w:r>
      <w:proofErr w:type="spellEnd"/>
      <w:r w:rsidRPr="0002578C">
        <w:rPr>
          <w:spacing w:val="-2"/>
        </w:rPr>
        <w:t>) model.</w:t>
      </w:r>
      <w:r w:rsidRPr="0002578C">
        <w:rPr>
          <w:rStyle w:val="FootnoteReference"/>
          <w:spacing w:val="-2"/>
        </w:rPr>
        <w:footnoteReference w:id="2"/>
      </w:r>
      <w:r w:rsidRPr="0002578C">
        <w:rPr>
          <w:spacing w:val="-2"/>
        </w:rPr>
        <w:t xml:space="preserve"> The reference case provides a simplified general counterfactual or simplified projection of the economy against which the impacts of potential policies can be assessed. Specific adaptations may be needed on a case</w:t>
      </w:r>
      <w:r w:rsidRPr="0002578C">
        <w:rPr>
          <w:spacing w:val="-2"/>
        </w:rPr>
        <w:noBreakHyphen/>
        <w:t>by</w:t>
      </w:r>
      <w:r w:rsidRPr="0002578C">
        <w:rPr>
          <w:spacing w:val="-2"/>
        </w:rPr>
        <w:noBreakHyphen/>
        <w:t>case basis to this reference case to assess the impact of policies in particular subject matter areas.</w:t>
      </w:r>
    </w:p>
    <w:p w:rsidR="00266467" w:rsidRDefault="00266467" w:rsidP="00266467">
      <w:pPr>
        <w:pStyle w:val="BodyText"/>
      </w:pPr>
      <w:r>
        <w:t>The paper outlines the general assumptions adopted, the basis on which these assumptions are made and the model projections of their impact. The reference case does not represent a forecast of the size and composition of the economy into the future.</w:t>
      </w:r>
    </w:p>
    <w:p w:rsidR="00266467" w:rsidRDefault="00266467" w:rsidP="00266467">
      <w:pPr>
        <w:pStyle w:val="BodyText"/>
      </w:pPr>
      <w:r>
        <w:t>The supplement has benefited from feedback received from participants at a modelling workshop held on 24 June 2015, and from consultations conducted as part of the relevant inquiries.</w:t>
      </w:r>
      <w:bookmarkStart w:id="15" w:name="_GoBack"/>
      <w:bookmarkEnd w:id="15"/>
    </w:p>
    <w:p w:rsidR="00D42BE3" w:rsidRDefault="00D42BE3" w:rsidP="00266467">
      <w:pPr>
        <w:pStyle w:val="BodyText"/>
      </w:pPr>
      <w:r>
        <w:t xml:space="preserve">This staff working paper was prepared by Owen </w:t>
      </w:r>
      <w:proofErr w:type="spellStart"/>
      <w:r>
        <w:t>Gabbitas</w:t>
      </w:r>
      <w:proofErr w:type="spellEnd"/>
      <w:r>
        <w:t xml:space="preserve"> and </w:t>
      </w:r>
      <w:proofErr w:type="spellStart"/>
      <w:r>
        <w:t>Umme</w:t>
      </w:r>
      <w:proofErr w:type="spellEnd"/>
      <w:r>
        <w:t xml:space="preserve"> Salma under the supervision of Paul Gretton. </w:t>
      </w:r>
    </w:p>
    <w:p w:rsidR="00D42BE3" w:rsidRDefault="00D42BE3">
      <w:pPr>
        <w:pStyle w:val="BodyText"/>
      </w:pPr>
      <w:r>
        <w:t>The authors are grateful to Phil Bomford for assistance received, to participants at a number of modelling workshops that provided useful feedback and for comments received from Commission staff.</w:t>
      </w:r>
    </w:p>
    <w:p w:rsidR="00D42BE3" w:rsidRDefault="00D42BE3">
      <w:pPr>
        <w:pStyle w:val="BodyText"/>
        <w:sectPr w:rsidR="00D42BE3" w:rsidSect="00F84AC7">
          <w:headerReference w:type="even" r:id="rId15"/>
          <w:headerReference w:type="default" r:id="rId16"/>
          <w:footerReference w:type="even" r:id="rId17"/>
          <w:footerReference w:type="default" r:id="rId18"/>
          <w:type w:val="oddPage"/>
          <w:pgSz w:w="11906" w:h="16838" w:code="9"/>
          <w:pgMar w:top="1985" w:right="1304" w:bottom="1247" w:left="1814" w:header="1701" w:footer="397" w:gutter="0"/>
          <w:pgNumType w:fmt="lowerRoman"/>
          <w:cols w:space="708"/>
          <w:docGrid w:linePitch="360"/>
        </w:sectPr>
      </w:pPr>
    </w:p>
    <w:p w:rsidR="00735FEA" w:rsidRDefault="00735FEA" w:rsidP="00F7477E">
      <w:pPr>
        <w:pStyle w:val="Heading1"/>
      </w:pPr>
      <w:bookmarkStart w:id="16" w:name="EndContents"/>
      <w:bookmarkStart w:id="17" w:name="_Toc452710470"/>
      <w:bookmarkStart w:id="18" w:name="_Toc465440247"/>
      <w:bookmarkStart w:id="19" w:name="_Toc465777586"/>
      <w:bookmarkEnd w:id="16"/>
      <w:r>
        <w:lastRenderedPageBreak/>
        <w:t>Abbreviations</w:t>
      </w:r>
      <w:bookmarkEnd w:id="17"/>
      <w:bookmarkEnd w:id="18"/>
      <w:bookmarkEnd w:id="19"/>
    </w:p>
    <w:p w:rsidR="006304DB" w:rsidRDefault="006304DB" w:rsidP="006304DB">
      <w:pPr>
        <w:pStyle w:val="Abbreviation"/>
        <w:spacing w:before="0" w:after="60" w:line="300" w:lineRule="exact"/>
      </w:pPr>
      <w:proofErr w:type="spellStart"/>
      <w:r>
        <w:t>ABARE</w:t>
      </w:r>
      <w:proofErr w:type="spellEnd"/>
      <w:r>
        <w:tab/>
      </w:r>
      <w:r w:rsidRPr="003A48A9">
        <w:t>Australian Bureau of Agricultural and Resource Economics</w:t>
      </w:r>
    </w:p>
    <w:p w:rsidR="00D42BE3" w:rsidRDefault="00D42BE3" w:rsidP="00D42BE3">
      <w:pPr>
        <w:pStyle w:val="Abbreviation"/>
        <w:spacing w:before="0" w:after="60" w:line="300" w:lineRule="exact"/>
      </w:pPr>
      <w:r>
        <w:t>ABS</w:t>
      </w:r>
      <w:r>
        <w:tab/>
        <w:t>Australian Bureau of Statistics</w:t>
      </w:r>
    </w:p>
    <w:p w:rsidR="006304DB" w:rsidRDefault="006304DB" w:rsidP="00D42BE3">
      <w:pPr>
        <w:pStyle w:val="Abbreviation"/>
        <w:spacing w:before="0" w:after="60" w:line="300" w:lineRule="exact"/>
      </w:pPr>
      <w:r>
        <w:t>ACT</w:t>
      </w:r>
      <w:r>
        <w:tab/>
        <w:t>Australian Capital Territory</w:t>
      </w:r>
    </w:p>
    <w:p w:rsidR="00D42BE3" w:rsidRDefault="00D42BE3" w:rsidP="00D42BE3">
      <w:pPr>
        <w:pStyle w:val="Abbreviation"/>
        <w:spacing w:before="0" w:after="60" w:line="300" w:lineRule="exact"/>
      </w:pPr>
      <w:proofErr w:type="spellStart"/>
      <w:r>
        <w:t>ANZSIC</w:t>
      </w:r>
      <w:proofErr w:type="spellEnd"/>
      <w:r>
        <w:tab/>
        <w:t>Australian and New Zealand Standard Industrial Classification</w:t>
      </w:r>
    </w:p>
    <w:p w:rsidR="00D42BE3" w:rsidRDefault="00D42BE3" w:rsidP="00D42BE3">
      <w:pPr>
        <w:pStyle w:val="Abbreviation"/>
        <w:spacing w:before="0" w:after="60" w:line="300" w:lineRule="exact"/>
      </w:pPr>
      <w:r>
        <w:t>ASEAN</w:t>
      </w:r>
      <w:r>
        <w:tab/>
        <w:t>Association of Southeast Asian Nations</w:t>
      </w:r>
    </w:p>
    <w:p w:rsidR="00D43542" w:rsidRDefault="00D43542" w:rsidP="00D42BE3">
      <w:pPr>
        <w:pStyle w:val="Abbreviation"/>
        <w:spacing w:before="0" w:after="60" w:line="300" w:lineRule="exact"/>
      </w:pPr>
      <w:proofErr w:type="spellStart"/>
      <w:r>
        <w:t>ASFR</w:t>
      </w:r>
      <w:proofErr w:type="spellEnd"/>
      <w:r>
        <w:tab/>
        <w:t>Age</w:t>
      </w:r>
      <w:r>
        <w:noBreakHyphen/>
        <w:t>specific fertility rate</w:t>
      </w:r>
    </w:p>
    <w:p w:rsidR="00167E98" w:rsidRDefault="005834B8" w:rsidP="00D42BE3">
      <w:pPr>
        <w:pStyle w:val="Abbreviation"/>
        <w:spacing w:before="0" w:after="60" w:line="300" w:lineRule="exact"/>
      </w:pPr>
      <w:proofErr w:type="spellStart"/>
      <w:r>
        <w:t>AUST</w:t>
      </w:r>
      <w:proofErr w:type="spellEnd"/>
      <w:r w:rsidR="00167E98">
        <w:tab/>
        <w:t>Australia</w:t>
      </w:r>
    </w:p>
    <w:p w:rsidR="00923C79" w:rsidRDefault="00923C79" w:rsidP="00923C79">
      <w:pPr>
        <w:pStyle w:val="Abbreviation"/>
        <w:spacing w:before="0" w:after="60" w:line="300" w:lineRule="exact"/>
      </w:pPr>
      <w:proofErr w:type="spellStart"/>
      <w:r>
        <w:t>CGE</w:t>
      </w:r>
      <w:proofErr w:type="spellEnd"/>
      <w:r>
        <w:tab/>
        <w:t>Compu</w:t>
      </w:r>
      <w:r w:rsidR="0018663B">
        <w:t xml:space="preserve">table </w:t>
      </w:r>
      <w:r>
        <w:t>general equilibrium (model)</w:t>
      </w:r>
    </w:p>
    <w:p w:rsidR="00D43542" w:rsidRDefault="00D43542" w:rsidP="00D42BE3">
      <w:pPr>
        <w:pStyle w:val="Abbreviation"/>
        <w:spacing w:before="0" w:after="60" w:line="300" w:lineRule="exact"/>
      </w:pPr>
      <w:r>
        <w:t>CIE</w:t>
      </w:r>
      <w:r>
        <w:tab/>
        <w:t>Centre for International Economics</w:t>
      </w:r>
    </w:p>
    <w:p w:rsidR="00D42BE3" w:rsidRDefault="00D42BE3" w:rsidP="00D42BE3">
      <w:pPr>
        <w:pStyle w:val="Abbreviation"/>
        <w:spacing w:before="0" w:after="60" w:line="300" w:lineRule="exact"/>
      </w:pPr>
      <w:proofErr w:type="spellStart"/>
      <w:r>
        <w:t>COAG</w:t>
      </w:r>
      <w:proofErr w:type="spellEnd"/>
      <w:r>
        <w:tab/>
        <w:t>Council of Australian Governments</w:t>
      </w:r>
    </w:p>
    <w:p w:rsidR="00D42BE3" w:rsidRDefault="00D42BE3" w:rsidP="00D42BE3">
      <w:pPr>
        <w:pStyle w:val="Abbreviation"/>
        <w:spacing w:before="0" w:after="60" w:line="300" w:lineRule="exact"/>
      </w:pPr>
      <w:proofErr w:type="spellStart"/>
      <w:r>
        <w:t>CoPS</w:t>
      </w:r>
      <w:proofErr w:type="spellEnd"/>
      <w:r>
        <w:tab/>
        <w:t>Centre of Policy Studies</w:t>
      </w:r>
    </w:p>
    <w:p w:rsidR="00D42BE3" w:rsidRPr="00526E23" w:rsidRDefault="00D42BE3" w:rsidP="00D42BE3">
      <w:pPr>
        <w:pStyle w:val="Abbreviation"/>
        <w:spacing w:before="0" w:after="60" w:line="300" w:lineRule="exact"/>
      </w:pPr>
      <w:r w:rsidRPr="00526E23">
        <w:t>DCD</w:t>
      </w:r>
      <w:r w:rsidRPr="00526E23">
        <w:tab/>
      </w:r>
      <w:r>
        <w:t>Dual rate of cost diminution</w:t>
      </w:r>
    </w:p>
    <w:p w:rsidR="00D42BE3" w:rsidRDefault="00D42BE3" w:rsidP="00D42BE3">
      <w:pPr>
        <w:pStyle w:val="Abbreviation"/>
        <w:spacing w:before="0" w:after="60" w:line="300" w:lineRule="exact"/>
      </w:pPr>
      <w:proofErr w:type="spellStart"/>
      <w:r>
        <w:t>DFAT</w:t>
      </w:r>
      <w:proofErr w:type="spellEnd"/>
      <w:r>
        <w:tab/>
        <w:t>Department of Foreign Affairs and Trade</w:t>
      </w:r>
    </w:p>
    <w:p w:rsidR="00D42BE3" w:rsidRDefault="00D42BE3" w:rsidP="00D42BE3">
      <w:pPr>
        <w:pStyle w:val="Abbreviation"/>
        <w:spacing w:before="0" w:after="60" w:line="300" w:lineRule="exact"/>
      </w:pPr>
      <w:proofErr w:type="spellStart"/>
      <w:r>
        <w:t>DIAC</w:t>
      </w:r>
      <w:proofErr w:type="spellEnd"/>
      <w:r>
        <w:tab/>
        <w:t>Department of Immigration and Citizenship</w:t>
      </w:r>
    </w:p>
    <w:p w:rsidR="00D43542" w:rsidRDefault="00D43542" w:rsidP="00D42BE3">
      <w:pPr>
        <w:pStyle w:val="Abbreviation"/>
        <w:spacing w:before="0" w:after="60" w:line="300" w:lineRule="exact"/>
      </w:pPr>
      <w:proofErr w:type="spellStart"/>
      <w:r>
        <w:t>DIBP</w:t>
      </w:r>
      <w:proofErr w:type="spellEnd"/>
      <w:r>
        <w:tab/>
        <w:t>Department of Immigration and Border Protection</w:t>
      </w:r>
    </w:p>
    <w:p w:rsidR="00923C79" w:rsidRDefault="00923C79" w:rsidP="00923C79">
      <w:pPr>
        <w:pStyle w:val="Abbreviation"/>
        <w:spacing w:before="0" w:after="60" w:line="300" w:lineRule="exact"/>
      </w:pPr>
      <w:proofErr w:type="spellStart"/>
      <w:r>
        <w:t>DIIS</w:t>
      </w:r>
      <w:proofErr w:type="spellEnd"/>
      <w:r>
        <w:tab/>
        <w:t>Department of Industry, Innovation and Science</w:t>
      </w:r>
    </w:p>
    <w:p w:rsidR="00D43542" w:rsidRDefault="00D43542" w:rsidP="00D42BE3">
      <w:pPr>
        <w:pStyle w:val="Abbreviation"/>
        <w:spacing w:before="0" w:after="60" w:line="300" w:lineRule="exact"/>
      </w:pPr>
      <w:r>
        <w:t>DIMA</w:t>
      </w:r>
      <w:r>
        <w:tab/>
        <w:t>Department of Immigration and Multicultural Affairs</w:t>
      </w:r>
    </w:p>
    <w:p w:rsidR="00D42BE3" w:rsidRPr="009318F9" w:rsidRDefault="00D42BE3" w:rsidP="00D42BE3">
      <w:pPr>
        <w:pStyle w:val="Abbreviation"/>
        <w:spacing w:before="0" w:after="60" w:line="300" w:lineRule="exact"/>
      </w:pPr>
      <w:proofErr w:type="spellStart"/>
      <w:r w:rsidRPr="009318F9">
        <w:t>DSP</w:t>
      </w:r>
      <w:proofErr w:type="spellEnd"/>
      <w:r w:rsidRPr="009318F9">
        <w:tab/>
        <w:t>Disability support pension</w:t>
      </w:r>
    </w:p>
    <w:p w:rsidR="00D42BE3" w:rsidRDefault="00D42BE3" w:rsidP="00D42BE3">
      <w:pPr>
        <w:pStyle w:val="Abbreviation"/>
        <w:spacing w:before="0" w:after="60" w:line="300" w:lineRule="exact"/>
      </w:pPr>
      <w:proofErr w:type="spellStart"/>
      <w:r>
        <w:t>FDI</w:t>
      </w:r>
      <w:proofErr w:type="spellEnd"/>
      <w:r>
        <w:tab/>
        <w:t>Foreign direct investment</w:t>
      </w:r>
    </w:p>
    <w:p w:rsidR="00D42BE3" w:rsidRDefault="00D42BE3" w:rsidP="00D42BE3">
      <w:pPr>
        <w:pStyle w:val="Abbreviation"/>
        <w:spacing w:before="0" w:after="60" w:line="300" w:lineRule="exact"/>
      </w:pPr>
      <w:r>
        <w:t>GDP</w:t>
      </w:r>
      <w:r>
        <w:tab/>
        <w:t>Gross domestic product</w:t>
      </w:r>
    </w:p>
    <w:p w:rsidR="00D42BE3" w:rsidRDefault="00D42BE3" w:rsidP="00D42BE3">
      <w:pPr>
        <w:pStyle w:val="Abbreviation"/>
        <w:spacing w:before="0" w:after="60" w:line="300" w:lineRule="exact"/>
      </w:pPr>
      <w:proofErr w:type="spellStart"/>
      <w:r>
        <w:t>GFC</w:t>
      </w:r>
      <w:proofErr w:type="spellEnd"/>
      <w:r>
        <w:tab/>
        <w:t>Global financial crisis</w:t>
      </w:r>
    </w:p>
    <w:p w:rsidR="00D42BE3" w:rsidRDefault="00D42BE3" w:rsidP="00D42BE3">
      <w:pPr>
        <w:pStyle w:val="Abbreviation"/>
        <w:spacing w:before="0" w:after="60" w:line="300" w:lineRule="exact"/>
      </w:pPr>
      <w:proofErr w:type="spellStart"/>
      <w:r>
        <w:t>GFS</w:t>
      </w:r>
      <w:proofErr w:type="spellEnd"/>
      <w:r>
        <w:tab/>
      </w:r>
      <w:r w:rsidRPr="00EF7E28">
        <w:t>Government finance statistics</w:t>
      </w:r>
    </w:p>
    <w:p w:rsidR="00932825" w:rsidRDefault="00932825" w:rsidP="00D42BE3">
      <w:pPr>
        <w:pStyle w:val="Abbreviation"/>
        <w:spacing w:before="0" w:after="60" w:line="300" w:lineRule="exact"/>
      </w:pPr>
      <w:proofErr w:type="spellStart"/>
      <w:r>
        <w:t>GNE</w:t>
      </w:r>
      <w:proofErr w:type="spellEnd"/>
      <w:r>
        <w:tab/>
        <w:t>Gross national expenditure</w:t>
      </w:r>
    </w:p>
    <w:p w:rsidR="00D42BE3" w:rsidRDefault="00D42BE3" w:rsidP="00D42BE3">
      <w:pPr>
        <w:pStyle w:val="Abbreviation"/>
        <w:spacing w:before="0" w:after="60" w:line="300" w:lineRule="exact"/>
      </w:pPr>
      <w:r>
        <w:t>GSP</w:t>
      </w:r>
      <w:r>
        <w:tab/>
        <w:t>Gross state product</w:t>
      </w:r>
    </w:p>
    <w:p w:rsidR="00D42BE3" w:rsidRDefault="00D42BE3" w:rsidP="00D42BE3">
      <w:pPr>
        <w:pStyle w:val="Abbreviation"/>
        <w:spacing w:before="0" w:after="60" w:line="300" w:lineRule="exact"/>
      </w:pPr>
      <w:r>
        <w:t>GST</w:t>
      </w:r>
      <w:r>
        <w:tab/>
        <w:t>Goods and services tax</w:t>
      </w:r>
    </w:p>
    <w:p w:rsidR="00D42BE3" w:rsidRDefault="00D42BE3" w:rsidP="00D42BE3">
      <w:pPr>
        <w:pStyle w:val="Abbreviation"/>
        <w:spacing w:before="0" w:after="60" w:line="300" w:lineRule="exact"/>
      </w:pPr>
      <w:proofErr w:type="spellStart"/>
      <w:r>
        <w:t>GTEM</w:t>
      </w:r>
      <w:proofErr w:type="spellEnd"/>
      <w:r>
        <w:tab/>
      </w:r>
      <w:r w:rsidRPr="0003639C">
        <w:t>Global trade and environment model</w:t>
      </w:r>
    </w:p>
    <w:p w:rsidR="00D42BE3" w:rsidRDefault="00D42BE3" w:rsidP="00D42BE3">
      <w:pPr>
        <w:pStyle w:val="Abbreviation"/>
        <w:spacing w:before="0" w:after="60" w:line="300" w:lineRule="exact"/>
      </w:pPr>
      <w:proofErr w:type="spellStart"/>
      <w:r>
        <w:t>GVA</w:t>
      </w:r>
      <w:proofErr w:type="spellEnd"/>
      <w:r>
        <w:tab/>
        <w:t>Gross value added</w:t>
      </w:r>
    </w:p>
    <w:p w:rsidR="00D42BE3" w:rsidRDefault="00D42BE3" w:rsidP="00D42BE3">
      <w:pPr>
        <w:pStyle w:val="Abbreviation"/>
        <w:spacing w:before="0" w:after="60" w:line="300" w:lineRule="exact"/>
      </w:pPr>
      <w:proofErr w:type="spellStart"/>
      <w:r>
        <w:t>HFCE</w:t>
      </w:r>
      <w:proofErr w:type="spellEnd"/>
      <w:r>
        <w:tab/>
      </w:r>
      <w:r w:rsidRPr="00C47C3C">
        <w:t>Household final consumption</w:t>
      </w:r>
      <w:r>
        <w:t xml:space="preserve"> expenditure</w:t>
      </w:r>
    </w:p>
    <w:p w:rsidR="00D42BE3" w:rsidRDefault="00D42BE3" w:rsidP="00D42BE3">
      <w:pPr>
        <w:pStyle w:val="Abbreviation"/>
        <w:spacing w:before="0" w:after="60" w:line="300" w:lineRule="exact"/>
      </w:pPr>
      <w:r>
        <w:t>ICT</w:t>
      </w:r>
      <w:r>
        <w:tab/>
        <w:t>Information and communications technology</w:t>
      </w:r>
    </w:p>
    <w:p w:rsidR="00D42BE3" w:rsidRDefault="00D42BE3" w:rsidP="00D42BE3">
      <w:pPr>
        <w:pStyle w:val="Abbreviation"/>
        <w:spacing w:before="0" w:after="60" w:line="300" w:lineRule="exact"/>
      </w:pPr>
      <w:proofErr w:type="spellStart"/>
      <w:r>
        <w:t>IEA</w:t>
      </w:r>
      <w:proofErr w:type="spellEnd"/>
      <w:r>
        <w:tab/>
        <w:t>International Energy Agency</w:t>
      </w:r>
    </w:p>
    <w:p w:rsidR="00D42BE3" w:rsidRDefault="00D42BE3" w:rsidP="00D42BE3">
      <w:pPr>
        <w:pStyle w:val="Abbreviation"/>
        <w:spacing w:before="0" w:after="60" w:line="300" w:lineRule="exact"/>
      </w:pPr>
      <w:r>
        <w:t>IMF</w:t>
      </w:r>
      <w:r>
        <w:tab/>
        <w:t>International Monetary Fund</w:t>
      </w:r>
    </w:p>
    <w:p w:rsidR="00D42BE3" w:rsidRDefault="00D42BE3" w:rsidP="00D42BE3">
      <w:pPr>
        <w:pStyle w:val="Abbreviation"/>
        <w:spacing w:before="0" w:after="60" w:line="300" w:lineRule="exact"/>
      </w:pPr>
      <w:proofErr w:type="spellStart"/>
      <w:r>
        <w:lastRenderedPageBreak/>
        <w:t>IPD</w:t>
      </w:r>
      <w:proofErr w:type="spellEnd"/>
      <w:r>
        <w:tab/>
        <w:t>Implicit price deflator</w:t>
      </w:r>
    </w:p>
    <w:p w:rsidR="00C34208" w:rsidRDefault="00C34208" w:rsidP="00C34208">
      <w:pPr>
        <w:pStyle w:val="Abbreviation"/>
        <w:spacing w:before="0" w:after="60" w:line="300" w:lineRule="exact"/>
      </w:pPr>
      <w:r>
        <w:t>LHS</w:t>
      </w:r>
      <w:r>
        <w:tab/>
        <w:t>Left hand side</w:t>
      </w:r>
    </w:p>
    <w:p w:rsidR="00D42BE3" w:rsidRDefault="00D42BE3" w:rsidP="00D42BE3">
      <w:pPr>
        <w:pStyle w:val="Abbreviation"/>
        <w:spacing w:before="0" w:after="60" w:line="300" w:lineRule="exact"/>
      </w:pPr>
      <w:r>
        <w:t>LNG</w:t>
      </w:r>
      <w:r>
        <w:tab/>
        <w:t>Liquefied natural gas</w:t>
      </w:r>
    </w:p>
    <w:p w:rsidR="00D42BE3" w:rsidRDefault="00D42BE3" w:rsidP="00D42BE3">
      <w:pPr>
        <w:pStyle w:val="Abbreviation"/>
        <w:spacing w:before="0" w:after="60" w:line="300" w:lineRule="exact"/>
      </w:pPr>
      <w:r>
        <w:t>MFP</w:t>
      </w:r>
      <w:r>
        <w:tab/>
        <w:t>Multifactor productivity</w:t>
      </w:r>
    </w:p>
    <w:p w:rsidR="00D42BE3" w:rsidRDefault="00D42BE3" w:rsidP="00D42BE3">
      <w:pPr>
        <w:pStyle w:val="Abbreviation"/>
        <w:spacing w:before="0" w:after="60" w:line="300" w:lineRule="exact"/>
      </w:pPr>
      <w:proofErr w:type="spellStart"/>
      <w:r>
        <w:t>MMRF</w:t>
      </w:r>
      <w:proofErr w:type="spellEnd"/>
      <w:r>
        <w:tab/>
        <w:t>Monash Multi-Regional Forecasting (model)</w:t>
      </w:r>
    </w:p>
    <w:p w:rsidR="00D42BE3" w:rsidRDefault="00D42BE3" w:rsidP="00D42BE3">
      <w:pPr>
        <w:pStyle w:val="Abbreviation"/>
        <w:spacing w:before="0" w:after="60" w:line="300" w:lineRule="exact"/>
      </w:pPr>
      <w:proofErr w:type="spellStart"/>
      <w:r>
        <w:t>MYEFO</w:t>
      </w:r>
      <w:proofErr w:type="spellEnd"/>
      <w:r>
        <w:tab/>
        <w:t>Mid-Year Economic and Fiscal Outlook</w:t>
      </w:r>
    </w:p>
    <w:p w:rsidR="00AA725D" w:rsidRDefault="00AA725D" w:rsidP="00D42BE3">
      <w:pPr>
        <w:pStyle w:val="Abbreviation"/>
        <w:spacing w:before="0" w:after="60" w:line="300" w:lineRule="exact"/>
      </w:pPr>
      <w:proofErr w:type="spellStart"/>
      <w:r>
        <w:t>NEM</w:t>
      </w:r>
      <w:proofErr w:type="spellEnd"/>
      <w:r>
        <w:tab/>
        <w:t>National Electricity Market</w:t>
      </w:r>
    </w:p>
    <w:p w:rsidR="00D42BE3" w:rsidRDefault="00D42BE3" w:rsidP="00D42BE3">
      <w:pPr>
        <w:pStyle w:val="Abbreviation"/>
        <w:spacing w:before="0" w:after="60" w:line="300" w:lineRule="exact"/>
      </w:pPr>
      <w:r>
        <w:t>NOM</w:t>
      </w:r>
      <w:r>
        <w:tab/>
        <w:t>Net overseas migration</w:t>
      </w:r>
    </w:p>
    <w:p w:rsidR="006304DB" w:rsidRDefault="006304DB" w:rsidP="00D42BE3">
      <w:pPr>
        <w:pStyle w:val="Abbreviation"/>
        <w:spacing w:before="0" w:after="60" w:line="300" w:lineRule="exact"/>
      </w:pPr>
      <w:r>
        <w:t>NSW</w:t>
      </w:r>
      <w:r>
        <w:tab/>
        <w:t>New South Wales</w:t>
      </w:r>
    </w:p>
    <w:p w:rsidR="006304DB" w:rsidRDefault="006304DB" w:rsidP="00D42BE3">
      <w:pPr>
        <w:pStyle w:val="Abbreviation"/>
        <w:spacing w:before="0" w:after="60" w:line="300" w:lineRule="exact"/>
      </w:pPr>
      <w:r>
        <w:t>NT</w:t>
      </w:r>
      <w:r>
        <w:tab/>
        <w:t>Northern Territory</w:t>
      </w:r>
    </w:p>
    <w:p w:rsidR="00D42BE3" w:rsidRPr="00CB7894" w:rsidRDefault="00D42BE3" w:rsidP="00D42BE3">
      <w:pPr>
        <w:pStyle w:val="Abbreviation"/>
        <w:spacing w:before="0" w:after="60" w:line="300" w:lineRule="exact"/>
      </w:pPr>
      <w:r w:rsidRPr="00CB7894">
        <w:t>OECD</w:t>
      </w:r>
      <w:r w:rsidRPr="00CB7894">
        <w:tab/>
        <w:t>Organisation for Economic Co-operation and Development</w:t>
      </w:r>
    </w:p>
    <w:p w:rsidR="00D42BE3" w:rsidRDefault="00D42BE3" w:rsidP="00D42BE3">
      <w:pPr>
        <w:pStyle w:val="Abbreviation"/>
        <w:spacing w:before="0" w:after="60" w:line="300" w:lineRule="exact"/>
      </w:pPr>
      <w:r>
        <w:t>PC</w:t>
      </w:r>
      <w:r>
        <w:tab/>
        <w:t>Productivity Commission</w:t>
      </w:r>
    </w:p>
    <w:p w:rsidR="007C5F41" w:rsidRDefault="007C5F41" w:rsidP="00D42BE3">
      <w:pPr>
        <w:pStyle w:val="Abbreviation"/>
        <w:spacing w:before="0" w:after="60" w:line="300" w:lineRule="exact"/>
      </w:pPr>
      <w:proofErr w:type="spellStart"/>
      <w:r w:rsidRPr="00A13F39">
        <w:t>PEFO</w:t>
      </w:r>
      <w:proofErr w:type="spellEnd"/>
      <w:r>
        <w:tab/>
      </w:r>
      <w:r w:rsidRPr="00A13F39">
        <w:t>Pre</w:t>
      </w:r>
      <w:r>
        <w:noBreakHyphen/>
      </w:r>
      <w:r w:rsidRPr="00A13F39">
        <w:t xml:space="preserve">election </w:t>
      </w:r>
      <w:r>
        <w:t>Economic and Fiscal Outlook</w:t>
      </w:r>
    </w:p>
    <w:p w:rsidR="00D42BE3" w:rsidRDefault="00D42BE3" w:rsidP="00D42BE3">
      <w:pPr>
        <w:pStyle w:val="Abbreviation"/>
        <w:spacing w:before="0" w:after="60" w:line="300" w:lineRule="exact"/>
      </w:pPr>
      <w:r>
        <w:t>PPP</w:t>
      </w:r>
      <w:r>
        <w:tab/>
        <w:t>Population, participation and productivity (framework)</w:t>
      </w:r>
    </w:p>
    <w:p w:rsidR="00413DB9" w:rsidRDefault="005834B8" w:rsidP="00D42BE3">
      <w:pPr>
        <w:pStyle w:val="Abbreviation"/>
        <w:spacing w:before="0" w:after="60" w:line="300" w:lineRule="exact"/>
      </w:pPr>
      <w:r>
        <w:t>QLD</w:t>
      </w:r>
      <w:r w:rsidR="00413DB9">
        <w:tab/>
        <w:t>Queensland</w:t>
      </w:r>
    </w:p>
    <w:p w:rsidR="00D42BE3" w:rsidRDefault="00D42BE3" w:rsidP="00D42BE3">
      <w:pPr>
        <w:pStyle w:val="Abbreviation"/>
        <w:spacing w:before="0" w:after="60" w:line="300" w:lineRule="exact"/>
      </w:pPr>
      <w:r>
        <w:t>RBA</w:t>
      </w:r>
      <w:r>
        <w:tab/>
        <w:t>Reserve Bank of Australia</w:t>
      </w:r>
    </w:p>
    <w:p w:rsidR="00C34208" w:rsidRDefault="00C34208" w:rsidP="00D42BE3">
      <w:pPr>
        <w:pStyle w:val="Abbreviation"/>
        <w:spacing w:before="0" w:after="60" w:line="300" w:lineRule="exact"/>
      </w:pPr>
      <w:r>
        <w:t>RHS</w:t>
      </w:r>
      <w:r>
        <w:tab/>
        <w:t>Right hand side</w:t>
      </w:r>
    </w:p>
    <w:p w:rsidR="006304DB" w:rsidRDefault="006304DB" w:rsidP="00D42BE3">
      <w:pPr>
        <w:pStyle w:val="Abbreviation"/>
        <w:spacing w:before="0" w:after="60" w:line="300" w:lineRule="exact"/>
      </w:pPr>
      <w:r>
        <w:t>SA</w:t>
      </w:r>
      <w:r>
        <w:tab/>
        <w:t>South Australia</w:t>
      </w:r>
    </w:p>
    <w:p w:rsidR="00D42BE3" w:rsidRDefault="00D42BE3" w:rsidP="00D42BE3">
      <w:pPr>
        <w:pStyle w:val="Abbreviation"/>
        <w:spacing w:before="0" w:after="60" w:line="300" w:lineRule="exact"/>
      </w:pPr>
      <w:proofErr w:type="spellStart"/>
      <w:r>
        <w:t>SITC</w:t>
      </w:r>
      <w:proofErr w:type="spellEnd"/>
      <w:r>
        <w:tab/>
      </w:r>
      <w:r w:rsidRPr="00F350BA">
        <w:t>Standard International Trade Classification</w:t>
      </w:r>
    </w:p>
    <w:p w:rsidR="00413DB9" w:rsidRDefault="005834B8" w:rsidP="00D42BE3">
      <w:pPr>
        <w:pStyle w:val="Abbreviation"/>
        <w:spacing w:before="0" w:after="60" w:line="300" w:lineRule="exact"/>
      </w:pPr>
      <w:r>
        <w:t>TAS</w:t>
      </w:r>
      <w:r w:rsidR="00413DB9">
        <w:tab/>
        <w:t>Tasmania</w:t>
      </w:r>
    </w:p>
    <w:p w:rsidR="00D42BE3" w:rsidRDefault="00D42BE3" w:rsidP="00D42BE3">
      <w:pPr>
        <w:pStyle w:val="Abbreviation"/>
        <w:spacing w:before="0" w:after="60" w:line="300" w:lineRule="exact"/>
      </w:pPr>
      <w:proofErr w:type="spellStart"/>
      <w:r>
        <w:t>TFR</w:t>
      </w:r>
      <w:proofErr w:type="spellEnd"/>
      <w:r>
        <w:tab/>
        <w:t>Total fertility rate</w:t>
      </w:r>
    </w:p>
    <w:p w:rsidR="00D42BE3" w:rsidRDefault="00D42BE3" w:rsidP="00D42BE3">
      <w:pPr>
        <w:pStyle w:val="Abbreviation"/>
        <w:spacing w:before="0" w:after="60" w:line="300" w:lineRule="exact"/>
      </w:pPr>
      <w:r>
        <w:t>TWI</w:t>
      </w:r>
      <w:r>
        <w:tab/>
        <w:t>Trade weighted index</w:t>
      </w:r>
    </w:p>
    <w:p w:rsidR="006304DB" w:rsidRDefault="006304DB" w:rsidP="00D42BE3">
      <w:pPr>
        <w:pStyle w:val="Abbreviation"/>
        <w:spacing w:before="0" w:after="60" w:line="300" w:lineRule="exact"/>
      </w:pPr>
      <w:r>
        <w:t>US</w:t>
      </w:r>
      <w:r>
        <w:tab/>
        <w:t>United States</w:t>
      </w:r>
    </w:p>
    <w:p w:rsidR="00413DB9" w:rsidRDefault="005834B8" w:rsidP="00D42BE3">
      <w:pPr>
        <w:pStyle w:val="Abbreviation"/>
        <w:spacing w:before="0" w:after="60" w:line="300" w:lineRule="exact"/>
      </w:pPr>
      <w:r>
        <w:t>VIC</w:t>
      </w:r>
      <w:r w:rsidR="00413DB9">
        <w:tab/>
        <w:t>Victoria</w:t>
      </w:r>
    </w:p>
    <w:p w:rsidR="00D42BE3" w:rsidRDefault="00D42BE3" w:rsidP="00D42BE3">
      <w:pPr>
        <w:pStyle w:val="Abbreviation"/>
        <w:spacing w:before="0" w:after="60" w:line="300" w:lineRule="exact"/>
      </w:pPr>
      <w:proofErr w:type="spellStart"/>
      <w:r>
        <w:t>VUMR</w:t>
      </w:r>
      <w:proofErr w:type="spellEnd"/>
      <w:r>
        <w:tab/>
        <w:t>Victoria University Multi-Region (model)</w:t>
      </w:r>
    </w:p>
    <w:p w:rsidR="005C07A4" w:rsidRDefault="005C07A4" w:rsidP="005C07A4">
      <w:pPr>
        <w:pStyle w:val="Abbreviation"/>
        <w:spacing w:before="0" w:after="60" w:line="300" w:lineRule="exact"/>
      </w:pPr>
      <w:proofErr w:type="spellStart"/>
      <w:r>
        <w:t>VURM</w:t>
      </w:r>
      <w:proofErr w:type="spellEnd"/>
      <w:r>
        <w:tab/>
        <w:t xml:space="preserve">Victoria University Regional Model (same as </w:t>
      </w:r>
      <w:proofErr w:type="spellStart"/>
      <w:r>
        <w:t>VUMR</w:t>
      </w:r>
      <w:proofErr w:type="spellEnd"/>
      <w:r>
        <w:t>)</w:t>
      </w:r>
    </w:p>
    <w:p w:rsidR="006304DB" w:rsidRDefault="006304DB" w:rsidP="005C07A4">
      <w:pPr>
        <w:pStyle w:val="Abbreviation"/>
        <w:spacing w:before="0" w:after="60" w:line="300" w:lineRule="exact"/>
      </w:pPr>
      <w:r>
        <w:t>WA</w:t>
      </w:r>
      <w:r>
        <w:tab/>
        <w:t>Western Australia</w:t>
      </w:r>
    </w:p>
    <w:sectPr w:rsidR="006304DB" w:rsidSect="00585B3F">
      <w:headerReference w:type="even" r:id="rId19"/>
      <w:headerReference w:type="default" r:id="rId20"/>
      <w:footerReference w:type="even" r:id="rId21"/>
      <w:footerReference w:type="default" r:id="rId22"/>
      <w:pgSz w:w="11907" w:h="16840" w:code="9"/>
      <w:pgMar w:top="1332" w:right="1304" w:bottom="1247" w:left="1814" w:header="1701" w:footer="397"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7D43" w:rsidRDefault="00347D43">
      <w:r>
        <w:separator/>
      </w:r>
    </w:p>
    <w:p w:rsidR="00347D43" w:rsidRDefault="00347D43"/>
    <w:p w:rsidR="00347D43" w:rsidRDefault="00347D43"/>
  </w:endnote>
  <w:endnote w:type="continuationSeparator" w:id="0">
    <w:p w:rsidR="00347D43" w:rsidRDefault="00347D43">
      <w:r>
        <w:continuationSeparator/>
      </w:r>
    </w:p>
    <w:p w:rsidR="00347D43" w:rsidRDefault="00347D43"/>
    <w:p w:rsidR="00347D43" w:rsidRDefault="00347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347D43" w:rsidTr="006F2421">
      <w:trPr>
        <w:trHeight w:hRule="exact" w:val="567"/>
      </w:trPr>
      <w:tc>
        <w:tcPr>
          <w:tcW w:w="510" w:type="dxa"/>
        </w:tcPr>
        <w:p w:rsidR="00347D43" w:rsidRPr="00A24443" w:rsidRDefault="00347D43" w:rsidP="006F2421">
          <w:pPr>
            <w:pStyle w:val="Footer"/>
            <w:tabs>
              <w:tab w:val="left" w:pos="0"/>
            </w:tabs>
            <w:ind w:right="0"/>
            <w:rPr>
              <w:rStyle w:val="PageNumbe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F84AC7">
            <w:rPr>
              <w:rStyle w:val="PageNumber"/>
              <w:caps w:val="0"/>
              <w:noProof/>
            </w:rPr>
            <w:t>iv</w:t>
          </w:r>
          <w:r w:rsidRPr="00A24443">
            <w:rPr>
              <w:rStyle w:val="PageNumber"/>
              <w:caps w:val="0"/>
            </w:rPr>
            <w:fldChar w:fldCharType="end"/>
          </w:r>
        </w:p>
      </w:tc>
      <w:tc>
        <w:tcPr>
          <w:tcW w:w="7767" w:type="dxa"/>
        </w:tcPr>
        <w:p w:rsidR="00347D43" w:rsidRPr="0013739A" w:rsidRDefault="00105BAE" w:rsidP="0002578C">
          <w:pPr>
            <w:pStyle w:val="Footer"/>
            <w:rPr>
              <w:rFonts w:cs="Arial"/>
            </w:rPr>
          </w:pPr>
          <w:proofErr w:type="spellStart"/>
          <w:r>
            <w:rPr>
              <w:rFonts w:cs="Arial"/>
            </w:rPr>
            <w:t>VUMR</w:t>
          </w:r>
          <w:proofErr w:type="spellEnd"/>
          <w:r>
            <w:rPr>
              <w:rFonts w:cs="Arial"/>
            </w:rPr>
            <w:t xml:space="preserve"> Modelling Reference Case</w:t>
          </w:r>
        </w:p>
      </w:tc>
      <w:tc>
        <w:tcPr>
          <w:tcW w:w="510" w:type="dxa"/>
        </w:tcPr>
        <w:p w:rsidR="00347D43" w:rsidRDefault="00347D43" w:rsidP="006F2421">
          <w:pPr>
            <w:pStyle w:val="Footer"/>
          </w:pPr>
        </w:p>
      </w:tc>
    </w:tr>
  </w:tbl>
  <w:p w:rsidR="00347D43" w:rsidRDefault="00347D43" w:rsidP="006F2421">
    <w:pPr>
      <w:pStyle w:val="FooterEnd"/>
    </w:pPr>
  </w:p>
  <w:p w:rsidR="00347D43" w:rsidRDefault="00347D43">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347D43" w:rsidTr="006F2421">
      <w:trPr>
        <w:trHeight w:hRule="exact" w:val="567"/>
      </w:trPr>
      <w:tc>
        <w:tcPr>
          <w:tcW w:w="510" w:type="dxa"/>
        </w:tcPr>
        <w:p w:rsidR="00347D43" w:rsidRDefault="00347D43">
          <w:pPr>
            <w:pStyle w:val="Footer"/>
            <w:ind w:right="360" w:firstLine="360"/>
          </w:pPr>
        </w:p>
      </w:tc>
      <w:tc>
        <w:tcPr>
          <w:tcW w:w="7767" w:type="dxa"/>
        </w:tcPr>
        <w:p w:rsidR="00347D43" w:rsidRPr="00BA5B14" w:rsidRDefault="0002578C" w:rsidP="007448F7">
          <w:pPr>
            <w:pStyle w:val="Footer"/>
            <w:jc w:val="right"/>
            <w:rPr>
              <w:rFonts w:cs="Arial"/>
            </w:rPr>
          </w:pPr>
          <w:r>
            <w:rPr>
              <w:noProof/>
            </w:rPr>
            <w:t>Contents</w:t>
          </w:r>
          <w:r w:rsidR="00347D43">
            <w:rPr>
              <w:rFonts w:cs="Arial"/>
            </w:rPr>
            <w:t xml:space="preserve"> </w:t>
          </w:r>
        </w:p>
      </w:tc>
      <w:tc>
        <w:tcPr>
          <w:tcW w:w="510" w:type="dxa"/>
        </w:tcPr>
        <w:p w:rsidR="00347D43" w:rsidRPr="007448F7" w:rsidRDefault="00347D43">
          <w:pPr>
            <w:pStyle w:val="Footer"/>
            <w:jc w:val="right"/>
            <w:rPr>
              <w:caps w:val="0"/>
            </w:rPr>
          </w:pPr>
          <w:r w:rsidRPr="007448F7">
            <w:rPr>
              <w:rStyle w:val="PageNumber"/>
              <w:caps w:val="0"/>
            </w:rPr>
            <w:fldChar w:fldCharType="begin"/>
          </w:r>
          <w:r w:rsidRPr="007448F7">
            <w:rPr>
              <w:rStyle w:val="PageNumber"/>
              <w:caps w:val="0"/>
            </w:rPr>
            <w:instrText xml:space="preserve">PAGE  </w:instrText>
          </w:r>
          <w:r w:rsidRPr="007448F7">
            <w:rPr>
              <w:rStyle w:val="PageNumber"/>
              <w:caps w:val="0"/>
            </w:rPr>
            <w:fldChar w:fldCharType="separate"/>
          </w:r>
          <w:r w:rsidR="00F84AC7">
            <w:rPr>
              <w:rStyle w:val="PageNumber"/>
              <w:caps w:val="0"/>
              <w:noProof/>
            </w:rPr>
            <w:t>iii</w:t>
          </w:r>
          <w:r w:rsidRPr="007448F7">
            <w:rPr>
              <w:rStyle w:val="PageNumber"/>
              <w:caps w:val="0"/>
            </w:rPr>
            <w:fldChar w:fldCharType="end"/>
          </w:r>
        </w:p>
      </w:tc>
    </w:tr>
  </w:tbl>
  <w:p w:rsidR="00347D43" w:rsidRDefault="00347D43">
    <w:pPr>
      <w:pStyle w:val="FooterEnd"/>
    </w:pPr>
  </w:p>
  <w:p w:rsidR="00347D43" w:rsidRDefault="00347D43">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105BAE" w:rsidTr="006F2421">
      <w:trPr>
        <w:trHeight w:hRule="exact" w:val="567"/>
      </w:trPr>
      <w:tc>
        <w:tcPr>
          <w:tcW w:w="510" w:type="dxa"/>
        </w:tcPr>
        <w:p w:rsidR="00105BAE" w:rsidRPr="000A26A1" w:rsidRDefault="00105BAE" w:rsidP="006F2421">
          <w:pPr>
            <w:pStyle w:val="Footer"/>
            <w:tabs>
              <w:tab w:val="left" w:pos="0"/>
            </w:tabs>
            <w:ind w:right="0"/>
            <w:rPr>
              <w:rStyle w:val="PageNumber"/>
              <w:caps w:val="0"/>
            </w:rPr>
          </w:pPr>
          <w:r w:rsidRPr="000A26A1">
            <w:rPr>
              <w:rStyle w:val="PageNumber"/>
              <w:caps w:val="0"/>
            </w:rPr>
            <w:fldChar w:fldCharType="begin"/>
          </w:r>
          <w:r w:rsidRPr="000A26A1">
            <w:rPr>
              <w:rStyle w:val="PageNumber"/>
              <w:caps w:val="0"/>
            </w:rPr>
            <w:instrText xml:space="preserve">PAGE  </w:instrText>
          </w:r>
          <w:r w:rsidRPr="000A26A1">
            <w:rPr>
              <w:rStyle w:val="PageNumber"/>
              <w:caps w:val="0"/>
            </w:rPr>
            <w:fldChar w:fldCharType="separate"/>
          </w:r>
          <w:r w:rsidR="00010DB4">
            <w:rPr>
              <w:rStyle w:val="PageNumber"/>
              <w:caps w:val="0"/>
              <w:noProof/>
            </w:rPr>
            <w:t>vi</w:t>
          </w:r>
          <w:r w:rsidRPr="000A26A1">
            <w:rPr>
              <w:rStyle w:val="PageNumber"/>
              <w:caps w:val="0"/>
            </w:rPr>
            <w:fldChar w:fldCharType="end"/>
          </w:r>
        </w:p>
      </w:tc>
      <w:tc>
        <w:tcPr>
          <w:tcW w:w="7767" w:type="dxa"/>
        </w:tcPr>
        <w:p w:rsidR="00105BAE" w:rsidRPr="0013739A" w:rsidRDefault="00105BAE" w:rsidP="0002578C">
          <w:pPr>
            <w:pStyle w:val="Footer"/>
            <w:rPr>
              <w:rFonts w:cs="Arial"/>
            </w:rPr>
          </w:pPr>
          <w:proofErr w:type="spellStart"/>
          <w:r>
            <w:rPr>
              <w:rFonts w:cs="Arial"/>
            </w:rPr>
            <w:t>VUMR</w:t>
          </w:r>
          <w:proofErr w:type="spellEnd"/>
          <w:r>
            <w:rPr>
              <w:rFonts w:cs="Arial"/>
            </w:rPr>
            <w:t xml:space="preserve"> Modelling Reference Case</w:t>
          </w:r>
        </w:p>
      </w:tc>
      <w:tc>
        <w:tcPr>
          <w:tcW w:w="510" w:type="dxa"/>
        </w:tcPr>
        <w:p w:rsidR="00105BAE" w:rsidRDefault="00105BAE" w:rsidP="006F2421">
          <w:pPr>
            <w:pStyle w:val="Footer"/>
          </w:pPr>
        </w:p>
      </w:tc>
    </w:tr>
  </w:tbl>
  <w:p w:rsidR="00105BAE" w:rsidRDefault="00105BAE" w:rsidP="006F2421">
    <w:pPr>
      <w:pStyle w:val="FooterEnd"/>
    </w:pPr>
  </w:p>
  <w:p w:rsidR="00105BAE" w:rsidRDefault="00105BAE">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105BAE" w:rsidTr="006F2421">
      <w:trPr>
        <w:trHeight w:hRule="exact" w:val="567"/>
      </w:trPr>
      <w:tc>
        <w:tcPr>
          <w:tcW w:w="510" w:type="dxa"/>
        </w:tcPr>
        <w:p w:rsidR="00105BAE" w:rsidRDefault="00105BAE">
          <w:pPr>
            <w:pStyle w:val="Footer"/>
            <w:ind w:right="360" w:firstLine="360"/>
          </w:pPr>
        </w:p>
      </w:tc>
      <w:tc>
        <w:tcPr>
          <w:tcW w:w="7767" w:type="dxa"/>
        </w:tcPr>
        <w:p w:rsidR="00105BAE" w:rsidRPr="000A26A1" w:rsidRDefault="00A9187D" w:rsidP="006F2421">
          <w:pPr>
            <w:pStyle w:val="Footer"/>
            <w:jc w:val="right"/>
            <w:rPr>
              <w:rFonts w:cs="Arial"/>
            </w:rPr>
          </w:pPr>
          <w:r>
            <w:rPr>
              <w:noProof/>
            </w:rPr>
            <w:t>Preface</w:t>
          </w:r>
        </w:p>
      </w:tc>
      <w:tc>
        <w:tcPr>
          <w:tcW w:w="510" w:type="dxa"/>
        </w:tcPr>
        <w:p w:rsidR="00105BAE" w:rsidRPr="00A24443" w:rsidRDefault="00105BAE">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F84AC7">
            <w:rPr>
              <w:rStyle w:val="PageNumber"/>
              <w:caps w:val="0"/>
              <w:noProof/>
            </w:rPr>
            <w:t>v</w:t>
          </w:r>
          <w:r w:rsidRPr="00A24443">
            <w:rPr>
              <w:rStyle w:val="PageNumber"/>
              <w:caps w:val="0"/>
            </w:rPr>
            <w:fldChar w:fldCharType="end"/>
          </w:r>
        </w:p>
      </w:tc>
    </w:tr>
  </w:tbl>
  <w:p w:rsidR="00105BAE" w:rsidRDefault="00105BAE">
    <w:pPr>
      <w:pStyle w:val="FooterEnd"/>
    </w:pPr>
  </w:p>
  <w:p w:rsidR="00105BAE" w:rsidRDefault="00105BAE">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347D43" w:rsidTr="006F2421">
      <w:trPr>
        <w:trHeight w:hRule="exact" w:val="567"/>
      </w:trPr>
      <w:tc>
        <w:tcPr>
          <w:tcW w:w="510" w:type="dxa"/>
        </w:tcPr>
        <w:p w:rsidR="00347D43" w:rsidRPr="007448F7" w:rsidRDefault="00347D43" w:rsidP="006F2421">
          <w:pPr>
            <w:pStyle w:val="Footer"/>
            <w:tabs>
              <w:tab w:val="left" w:pos="0"/>
            </w:tabs>
            <w:ind w:right="0"/>
            <w:rPr>
              <w:rStyle w:val="PageNumber"/>
              <w:caps w:val="0"/>
            </w:rPr>
          </w:pPr>
          <w:r w:rsidRPr="007448F7">
            <w:rPr>
              <w:rStyle w:val="PageNumber"/>
              <w:caps w:val="0"/>
            </w:rPr>
            <w:fldChar w:fldCharType="begin"/>
          </w:r>
          <w:r w:rsidRPr="007448F7">
            <w:rPr>
              <w:rStyle w:val="PageNumber"/>
              <w:caps w:val="0"/>
            </w:rPr>
            <w:instrText xml:space="preserve">PAGE  </w:instrText>
          </w:r>
          <w:r w:rsidRPr="007448F7">
            <w:rPr>
              <w:rStyle w:val="PageNumber"/>
              <w:caps w:val="0"/>
            </w:rPr>
            <w:fldChar w:fldCharType="separate"/>
          </w:r>
          <w:r w:rsidR="00F84AC7">
            <w:rPr>
              <w:rStyle w:val="PageNumber"/>
              <w:caps w:val="0"/>
              <w:noProof/>
            </w:rPr>
            <w:t>vi</w:t>
          </w:r>
          <w:r w:rsidRPr="007448F7">
            <w:rPr>
              <w:rStyle w:val="PageNumber"/>
              <w:caps w:val="0"/>
            </w:rPr>
            <w:fldChar w:fldCharType="end"/>
          </w:r>
        </w:p>
      </w:tc>
      <w:tc>
        <w:tcPr>
          <w:tcW w:w="7767" w:type="dxa"/>
        </w:tcPr>
        <w:p w:rsidR="00347D43" w:rsidRPr="0013739A" w:rsidRDefault="00DD1D68" w:rsidP="00DD1D68">
          <w:pPr>
            <w:pStyle w:val="Footer"/>
            <w:rPr>
              <w:rFonts w:cs="Arial"/>
            </w:rPr>
          </w:pPr>
          <w:proofErr w:type="spellStart"/>
          <w:r>
            <w:rPr>
              <w:rFonts w:cs="Arial"/>
            </w:rPr>
            <w:t>VUMR</w:t>
          </w:r>
          <w:proofErr w:type="spellEnd"/>
          <w:r>
            <w:rPr>
              <w:rFonts w:cs="Arial"/>
            </w:rPr>
            <w:t xml:space="preserve"> Modelling Reference CasE</w:t>
          </w:r>
        </w:p>
      </w:tc>
      <w:tc>
        <w:tcPr>
          <w:tcW w:w="510" w:type="dxa"/>
        </w:tcPr>
        <w:p w:rsidR="00347D43" w:rsidRDefault="00347D43" w:rsidP="006F2421">
          <w:pPr>
            <w:pStyle w:val="Footer"/>
          </w:pPr>
        </w:p>
      </w:tc>
    </w:tr>
  </w:tbl>
  <w:p w:rsidR="00347D43" w:rsidRDefault="00347D43" w:rsidP="006F2421">
    <w:pPr>
      <w:pStyle w:val="FooterEnd"/>
    </w:pPr>
  </w:p>
  <w:p w:rsidR="00347D43" w:rsidRDefault="00347D43">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347D43" w:rsidTr="006F2421">
      <w:trPr>
        <w:trHeight w:hRule="exact" w:val="567"/>
      </w:trPr>
      <w:tc>
        <w:tcPr>
          <w:tcW w:w="510" w:type="dxa"/>
        </w:tcPr>
        <w:p w:rsidR="00347D43" w:rsidRDefault="00347D43">
          <w:pPr>
            <w:pStyle w:val="Footer"/>
            <w:ind w:right="360" w:firstLine="360"/>
          </w:pPr>
        </w:p>
      </w:tc>
      <w:tc>
        <w:tcPr>
          <w:tcW w:w="7767" w:type="dxa"/>
        </w:tcPr>
        <w:p w:rsidR="00347D43" w:rsidRPr="00340511" w:rsidRDefault="00A9187D" w:rsidP="00E6237B">
          <w:pPr>
            <w:pStyle w:val="Footer"/>
            <w:jc w:val="right"/>
            <w:rPr>
              <w:rFonts w:cs="Arial"/>
            </w:rPr>
          </w:pPr>
          <w:r w:rsidRPr="00A9187D">
            <w:rPr>
              <w:bCs/>
              <w:noProof/>
              <w:lang w:val="en-US"/>
            </w:rPr>
            <w:t>Abbreviations</w:t>
          </w:r>
          <w:r>
            <w:rPr>
              <w:noProof/>
            </w:rPr>
            <w:t xml:space="preserve"> </w:t>
          </w:r>
        </w:p>
      </w:tc>
      <w:tc>
        <w:tcPr>
          <w:tcW w:w="510" w:type="dxa"/>
        </w:tcPr>
        <w:p w:rsidR="00347D43" w:rsidRPr="00A24443" w:rsidRDefault="00347D43">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F84AC7">
            <w:rPr>
              <w:rStyle w:val="PageNumber"/>
              <w:caps w:val="0"/>
              <w:noProof/>
            </w:rPr>
            <w:t>vii</w:t>
          </w:r>
          <w:r w:rsidRPr="00A24443">
            <w:rPr>
              <w:rStyle w:val="PageNumber"/>
              <w:caps w:val="0"/>
            </w:rPr>
            <w:fldChar w:fldCharType="end"/>
          </w:r>
        </w:p>
      </w:tc>
    </w:tr>
  </w:tbl>
  <w:p w:rsidR="00347D43" w:rsidRDefault="00347D43">
    <w:pPr>
      <w:pStyle w:val="FooterEnd"/>
    </w:pPr>
  </w:p>
  <w:p w:rsidR="00347D43" w:rsidRDefault="00347D43" w:rsidP="00B953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7D43" w:rsidRDefault="00347D43">
      <w:r>
        <w:separator/>
      </w:r>
    </w:p>
  </w:footnote>
  <w:footnote w:type="continuationSeparator" w:id="0">
    <w:p w:rsidR="00347D43" w:rsidRDefault="00347D43">
      <w:r>
        <w:continuationSeparator/>
      </w:r>
    </w:p>
  </w:footnote>
  <w:footnote w:type="continuationNotice" w:id="1">
    <w:p w:rsidR="0002578C" w:rsidRPr="0002578C" w:rsidRDefault="0002578C" w:rsidP="00F84AC7">
      <w:pPr>
        <w:spacing w:line="80" w:lineRule="exact"/>
        <w:rPr>
          <w:sz w:val="12"/>
          <w:szCs w:val="12"/>
        </w:rPr>
      </w:pPr>
    </w:p>
  </w:footnote>
  <w:footnote w:id="2">
    <w:p w:rsidR="00266467" w:rsidRDefault="00266467" w:rsidP="00266467">
      <w:pPr>
        <w:pStyle w:val="FootnoteText"/>
        <w:ind w:left="284" w:hanging="284"/>
      </w:pPr>
      <w:r>
        <w:rPr>
          <w:rStyle w:val="FootnoteReference"/>
        </w:rPr>
        <w:footnoteRef/>
      </w:r>
      <w:r>
        <w:tab/>
        <w:t xml:space="preserve">The model can be obtained from the Centre of Policy Studies at the Victoria University </w:t>
      </w:r>
      <w:proofErr w:type="spellStart"/>
      <w:r w:rsidRPr="00342A60">
        <w:t>www.vu.edu.au</w:t>
      </w:r>
      <w:proofErr w:type="spellEnd"/>
      <w:r w:rsidRPr="00342A60">
        <w:t>/centre-of-policy-studies-cops</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347D43">
      <w:tc>
        <w:tcPr>
          <w:tcW w:w="2155" w:type="dxa"/>
          <w:tcBorders>
            <w:top w:val="single" w:sz="24" w:space="0" w:color="auto"/>
          </w:tcBorders>
        </w:tcPr>
        <w:p w:rsidR="00347D43" w:rsidRDefault="00347D43">
          <w:pPr>
            <w:pStyle w:val="Header"/>
          </w:pPr>
        </w:p>
      </w:tc>
      <w:tc>
        <w:tcPr>
          <w:tcW w:w="6634" w:type="dxa"/>
          <w:tcBorders>
            <w:top w:val="single" w:sz="6" w:space="0" w:color="auto"/>
          </w:tcBorders>
        </w:tcPr>
        <w:p w:rsidR="00347D43" w:rsidRDefault="00347D43">
          <w:pPr>
            <w:pStyle w:val="Header"/>
          </w:pPr>
        </w:p>
      </w:tc>
    </w:tr>
  </w:tbl>
  <w:p w:rsidR="00347D43" w:rsidRDefault="00347D43">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347D43" w:rsidTr="005C68FE">
      <w:tc>
        <w:tcPr>
          <w:tcW w:w="6634" w:type="dxa"/>
          <w:tcBorders>
            <w:top w:val="single" w:sz="6" w:space="0" w:color="auto"/>
          </w:tcBorders>
        </w:tcPr>
        <w:p w:rsidR="00347D43" w:rsidRDefault="00347D43" w:rsidP="005C68FE">
          <w:pPr>
            <w:pStyle w:val="HeaderOdd"/>
          </w:pPr>
        </w:p>
      </w:tc>
      <w:tc>
        <w:tcPr>
          <w:tcW w:w="2155" w:type="dxa"/>
          <w:tcBorders>
            <w:top w:val="single" w:sz="24" w:space="0" w:color="auto"/>
          </w:tcBorders>
        </w:tcPr>
        <w:p w:rsidR="00347D43" w:rsidRDefault="00347D43" w:rsidP="005C68FE">
          <w:pPr>
            <w:pStyle w:val="HeaderOdd"/>
          </w:pPr>
        </w:p>
      </w:tc>
    </w:tr>
  </w:tbl>
  <w:p w:rsidR="00347D43" w:rsidRPr="005C68FE" w:rsidRDefault="00347D43" w:rsidP="005C68FE">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105BAE">
      <w:tc>
        <w:tcPr>
          <w:tcW w:w="2155" w:type="dxa"/>
          <w:tcBorders>
            <w:top w:val="single" w:sz="24" w:space="0" w:color="auto"/>
          </w:tcBorders>
        </w:tcPr>
        <w:p w:rsidR="00105BAE" w:rsidRDefault="00105BAE">
          <w:pPr>
            <w:pStyle w:val="HeaderEven"/>
          </w:pPr>
        </w:p>
      </w:tc>
      <w:tc>
        <w:tcPr>
          <w:tcW w:w="6634" w:type="dxa"/>
          <w:tcBorders>
            <w:top w:val="single" w:sz="6" w:space="0" w:color="auto"/>
          </w:tcBorders>
        </w:tcPr>
        <w:p w:rsidR="00105BAE" w:rsidRDefault="00105BAE">
          <w:pPr>
            <w:pStyle w:val="HeaderEven"/>
          </w:pPr>
        </w:p>
      </w:tc>
    </w:tr>
  </w:tbl>
  <w:p w:rsidR="00105BAE" w:rsidRDefault="00105BAE">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105BAE">
      <w:tc>
        <w:tcPr>
          <w:tcW w:w="6634" w:type="dxa"/>
          <w:tcBorders>
            <w:top w:val="single" w:sz="6" w:space="0" w:color="auto"/>
          </w:tcBorders>
        </w:tcPr>
        <w:p w:rsidR="00105BAE" w:rsidRDefault="00105BAE">
          <w:pPr>
            <w:pStyle w:val="HeaderOdd"/>
          </w:pPr>
        </w:p>
      </w:tc>
      <w:tc>
        <w:tcPr>
          <w:tcW w:w="2155" w:type="dxa"/>
          <w:tcBorders>
            <w:top w:val="single" w:sz="24" w:space="0" w:color="auto"/>
          </w:tcBorders>
        </w:tcPr>
        <w:p w:rsidR="00105BAE" w:rsidRDefault="00105BAE">
          <w:pPr>
            <w:pStyle w:val="HeaderOdd"/>
          </w:pPr>
        </w:p>
      </w:tc>
    </w:tr>
  </w:tbl>
  <w:p w:rsidR="00105BAE" w:rsidRDefault="00105BAE">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347D43" w:rsidTr="005C68FE">
      <w:tc>
        <w:tcPr>
          <w:tcW w:w="2155" w:type="dxa"/>
          <w:tcBorders>
            <w:top w:val="single" w:sz="24" w:space="0" w:color="auto"/>
          </w:tcBorders>
        </w:tcPr>
        <w:p w:rsidR="00347D43" w:rsidRDefault="00347D43" w:rsidP="005C68FE">
          <w:pPr>
            <w:pStyle w:val="HeaderEven"/>
          </w:pPr>
        </w:p>
      </w:tc>
      <w:tc>
        <w:tcPr>
          <w:tcW w:w="6634" w:type="dxa"/>
          <w:tcBorders>
            <w:top w:val="single" w:sz="6" w:space="0" w:color="auto"/>
          </w:tcBorders>
        </w:tcPr>
        <w:p w:rsidR="00347D43" w:rsidRDefault="00347D43" w:rsidP="005C68FE">
          <w:pPr>
            <w:pStyle w:val="HeaderEven"/>
          </w:pPr>
        </w:p>
      </w:tc>
    </w:tr>
  </w:tbl>
  <w:p w:rsidR="00347D43" w:rsidRDefault="00347D43" w:rsidP="00D732FE">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347D43">
      <w:tc>
        <w:tcPr>
          <w:tcW w:w="6634" w:type="dxa"/>
          <w:tcBorders>
            <w:top w:val="single" w:sz="6" w:space="0" w:color="auto"/>
          </w:tcBorders>
        </w:tcPr>
        <w:p w:rsidR="00347D43" w:rsidRDefault="00347D43">
          <w:pPr>
            <w:pStyle w:val="HeaderOdd"/>
          </w:pPr>
        </w:p>
      </w:tc>
      <w:tc>
        <w:tcPr>
          <w:tcW w:w="2155" w:type="dxa"/>
          <w:tcBorders>
            <w:top w:val="single" w:sz="24" w:space="0" w:color="auto"/>
          </w:tcBorders>
        </w:tcPr>
        <w:p w:rsidR="00347D43" w:rsidRDefault="00347D43">
          <w:pPr>
            <w:pStyle w:val="HeaderOdd"/>
          </w:pPr>
        </w:p>
      </w:tc>
    </w:tr>
  </w:tbl>
  <w:p w:rsidR="00347D43" w:rsidRDefault="00347D43" w:rsidP="00B95339">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8">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9">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2">
    <w:nsid w:val="1AB25CDE"/>
    <w:multiLevelType w:val="singleLevel"/>
    <w:tmpl w:val="3086CA22"/>
    <w:lvl w:ilvl="0">
      <w:start w:val="1"/>
      <w:numFmt w:val="decimal"/>
      <w:lvlText w:val="%1."/>
      <w:legacy w:legacy="1" w:legacySpace="0" w:legacyIndent="340"/>
      <w:lvlJc w:val="left"/>
      <w:pPr>
        <w:ind w:left="340" w:hanging="340"/>
      </w:pPr>
    </w:lvl>
  </w:abstractNum>
  <w:abstractNum w:abstractNumId="13">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4">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5">
    <w:nsid w:val="2F1F7586"/>
    <w:multiLevelType w:val="hybridMultilevel"/>
    <w:tmpl w:val="C956622A"/>
    <w:lvl w:ilvl="0" w:tplc="8D90534E">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7">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9">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0">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1">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2">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23">
    <w:nsid w:val="6B740744"/>
    <w:multiLevelType w:val="singleLevel"/>
    <w:tmpl w:val="B4744B66"/>
    <w:lvl w:ilvl="0">
      <w:start w:val="1"/>
      <w:numFmt w:val="decimal"/>
      <w:lvlText w:val="%1."/>
      <w:legacy w:legacy="1" w:legacySpace="0" w:legacyIndent="340"/>
      <w:lvlJc w:val="left"/>
      <w:pPr>
        <w:ind w:left="340" w:hanging="340"/>
      </w:pPr>
    </w:lvl>
  </w:abstractNum>
  <w:abstractNum w:abstractNumId="24">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25">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3"/>
  </w:num>
  <w:num w:numId="13">
    <w:abstractNumId w:val="16"/>
  </w:num>
  <w:num w:numId="14">
    <w:abstractNumId w:val="8"/>
  </w:num>
  <w:num w:numId="15">
    <w:abstractNumId w:val="24"/>
  </w:num>
  <w:num w:numId="16">
    <w:abstractNumId w:val="18"/>
  </w:num>
  <w:num w:numId="17">
    <w:abstractNumId w:val="7"/>
  </w:num>
  <w:num w:numId="18">
    <w:abstractNumId w:val="22"/>
  </w:num>
  <w:num w:numId="19">
    <w:abstractNumId w:val="20"/>
  </w:num>
  <w:num w:numId="20">
    <w:abstractNumId w:val="25"/>
  </w:num>
  <w:num w:numId="21">
    <w:abstractNumId w:val="13"/>
  </w:num>
  <w:num w:numId="22">
    <w:abstractNumId w:val="11"/>
  </w:num>
  <w:num w:numId="23">
    <w:abstractNumId w:val="19"/>
  </w:num>
  <w:num w:numId="24">
    <w:abstractNumId w:val="12"/>
  </w:num>
  <w:num w:numId="25">
    <w:abstractNumId w:val="10"/>
  </w:num>
  <w:num w:numId="26">
    <w:abstractNumId w:val="10"/>
  </w:num>
  <w:num w:numId="27">
    <w:abstractNumId w:val="10"/>
  </w:num>
  <w:num w:numId="28">
    <w:abstractNumId w:val="10"/>
  </w:num>
  <w:num w:numId="29">
    <w:abstractNumId w:val="15"/>
  </w:num>
  <w:num w:numId="30">
    <w:abstractNumId w:val="9"/>
  </w:num>
  <w:num w:numId="31">
    <w:abstractNumId w:val="18"/>
  </w:num>
  <w:num w:numId="32">
    <w:abstractNumId w:val="16"/>
  </w:num>
  <w:num w:numId="33">
    <w:abstractNumId w:val="8"/>
  </w:num>
  <w:num w:numId="34">
    <w:abstractNumId w:val="22"/>
  </w:num>
  <w:num w:numId="35">
    <w:abstractNumId w:val="21"/>
  </w:num>
  <w:num w:numId="36">
    <w:abstractNumId w:val="9"/>
  </w:num>
  <w:num w:numId="37">
    <w:abstractNumId w:val="9"/>
  </w:num>
  <w:num w:numId="38">
    <w:abstractNumId w:val="14"/>
  </w:num>
  <w:num w:numId="39">
    <w:abstractNumId w:val="24"/>
  </w:num>
  <w:num w:numId="40">
    <w:abstractNumId w:val="18"/>
  </w:num>
  <w:num w:numId="41">
    <w:abstractNumId w:val="17"/>
  </w:num>
  <w:num w:numId="42">
    <w:abstractNumId w:val="7"/>
  </w:num>
  <w:num w:numId="43">
    <w:abstractNumId w:val="10"/>
  </w:num>
  <w:num w:numId="44">
    <w:abstractNumId w:val="10"/>
  </w:num>
  <w:num w:numId="45">
    <w:abstractNumId w:val="10"/>
  </w:num>
  <w:num w:numId="46">
    <w:abstractNumId w:val="20"/>
  </w:num>
  <w:num w:numId="47">
    <w:abstractNumId w:val="25"/>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mirrorMargins/>
  <w:proofState w:spelling="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BE3"/>
    <w:rsid w:val="0000708C"/>
    <w:rsid w:val="00010DB4"/>
    <w:rsid w:val="00017AFC"/>
    <w:rsid w:val="00023D84"/>
    <w:rsid w:val="0002578C"/>
    <w:rsid w:val="00025878"/>
    <w:rsid w:val="00026B38"/>
    <w:rsid w:val="000502D3"/>
    <w:rsid w:val="00052CB2"/>
    <w:rsid w:val="000567D3"/>
    <w:rsid w:val="000623BF"/>
    <w:rsid w:val="000779EB"/>
    <w:rsid w:val="0008626D"/>
    <w:rsid w:val="00095EEA"/>
    <w:rsid w:val="00097C15"/>
    <w:rsid w:val="000A037C"/>
    <w:rsid w:val="000A0A0E"/>
    <w:rsid w:val="000A5E12"/>
    <w:rsid w:val="000B416E"/>
    <w:rsid w:val="000F185F"/>
    <w:rsid w:val="000F2F5F"/>
    <w:rsid w:val="00105BAE"/>
    <w:rsid w:val="00105FA2"/>
    <w:rsid w:val="00106041"/>
    <w:rsid w:val="0010611E"/>
    <w:rsid w:val="00122FE9"/>
    <w:rsid w:val="00131572"/>
    <w:rsid w:val="00131D4F"/>
    <w:rsid w:val="0013399B"/>
    <w:rsid w:val="00156E12"/>
    <w:rsid w:val="00167E98"/>
    <w:rsid w:val="00180515"/>
    <w:rsid w:val="00181F4B"/>
    <w:rsid w:val="0018663B"/>
    <w:rsid w:val="00190919"/>
    <w:rsid w:val="00196FB3"/>
    <w:rsid w:val="001A5071"/>
    <w:rsid w:val="001B26BB"/>
    <w:rsid w:val="001B4E73"/>
    <w:rsid w:val="001B7F1E"/>
    <w:rsid w:val="001C63D1"/>
    <w:rsid w:val="001C7AE8"/>
    <w:rsid w:val="001D4B1F"/>
    <w:rsid w:val="001D6629"/>
    <w:rsid w:val="001E3390"/>
    <w:rsid w:val="001F2270"/>
    <w:rsid w:val="00203B40"/>
    <w:rsid w:val="00205A82"/>
    <w:rsid w:val="00211BEE"/>
    <w:rsid w:val="002179C6"/>
    <w:rsid w:val="0024085A"/>
    <w:rsid w:val="00261607"/>
    <w:rsid w:val="00263DD1"/>
    <w:rsid w:val="00264D3B"/>
    <w:rsid w:val="00265685"/>
    <w:rsid w:val="00266467"/>
    <w:rsid w:val="00271B0C"/>
    <w:rsid w:val="00281D5F"/>
    <w:rsid w:val="002923AD"/>
    <w:rsid w:val="00296592"/>
    <w:rsid w:val="002A0A4B"/>
    <w:rsid w:val="002A499E"/>
    <w:rsid w:val="002B636E"/>
    <w:rsid w:val="002B64D6"/>
    <w:rsid w:val="002C12F5"/>
    <w:rsid w:val="002D6FCE"/>
    <w:rsid w:val="002F0F8A"/>
    <w:rsid w:val="002F4564"/>
    <w:rsid w:val="0031709F"/>
    <w:rsid w:val="00322731"/>
    <w:rsid w:val="00322BF0"/>
    <w:rsid w:val="00331893"/>
    <w:rsid w:val="00340511"/>
    <w:rsid w:val="00347D43"/>
    <w:rsid w:val="0038164E"/>
    <w:rsid w:val="00384938"/>
    <w:rsid w:val="0038647D"/>
    <w:rsid w:val="00387BDF"/>
    <w:rsid w:val="00393A49"/>
    <w:rsid w:val="003B41E0"/>
    <w:rsid w:val="003C3D73"/>
    <w:rsid w:val="003D624D"/>
    <w:rsid w:val="003D7193"/>
    <w:rsid w:val="003E7802"/>
    <w:rsid w:val="00401742"/>
    <w:rsid w:val="00410001"/>
    <w:rsid w:val="00413DB9"/>
    <w:rsid w:val="0042007A"/>
    <w:rsid w:val="0042126A"/>
    <w:rsid w:val="00431EC8"/>
    <w:rsid w:val="00432587"/>
    <w:rsid w:val="00433C81"/>
    <w:rsid w:val="00446D6B"/>
    <w:rsid w:val="00457B3F"/>
    <w:rsid w:val="00463022"/>
    <w:rsid w:val="00481CF0"/>
    <w:rsid w:val="004A58C2"/>
    <w:rsid w:val="004B492A"/>
    <w:rsid w:val="004C0B0C"/>
    <w:rsid w:val="004D3D25"/>
    <w:rsid w:val="004D3F58"/>
    <w:rsid w:val="004E52E2"/>
    <w:rsid w:val="004E6BB4"/>
    <w:rsid w:val="004E7D3C"/>
    <w:rsid w:val="00515D43"/>
    <w:rsid w:val="0052544D"/>
    <w:rsid w:val="00526B19"/>
    <w:rsid w:val="00532128"/>
    <w:rsid w:val="00551FB8"/>
    <w:rsid w:val="005537F6"/>
    <w:rsid w:val="00560F43"/>
    <w:rsid w:val="005654D0"/>
    <w:rsid w:val="005834B8"/>
    <w:rsid w:val="00585B3F"/>
    <w:rsid w:val="00587657"/>
    <w:rsid w:val="005A53B9"/>
    <w:rsid w:val="005B17AB"/>
    <w:rsid w:val="005C07A4"/>
    <w:rsid w:val="005C68FE"/>
    <w:rsid w:val="005F7D30"/>
    <w:rsid w:val="00602523"/>
    <w:rsid w:val="006040CB"/>
    <w:rsid w:val="00604110"/>
    <w:rsid w:val="00604351"/>
    <w:rsid w:val="00606798"/>
    <w:rsid w:val="00607D8A"/>
    <w:rsid w:val="0061590F"/>
    <w:rsid w:val="00625E95"/>
    <w:rsid w:val="006304DB"/>
    <w:rsid w:val="00636497"/>
    <w:rsid w:val="00637D54"/>
    <w:rsid w:val="00641AE2"/>
    <w:rsid w:val="0064456A"/>
    <w:rsid w:val="00647172"/>
    <w:rsid w:val="00650DDA"/>
    <w:rsid w:val="0065126A"/>
    <w:rsid w:val="00653FA6"/>
    <w:rsid w:val="00660EBB"/>
    <w:rsid w:val="0067557D"/>
    <w:rsid w:val="006802D4"/>
    <w:rsid w:val="00683849"/>
    <w:rsid w:val="00691AB5"/>
    <w:rsid w:val="006A0C73"/>
    <w:rsid w:val="006E1E6B"/>
    <w:rsid w:val="006F0EAC"/>
    <w:rsid w:val="006F2421"/>
    <w:rsid w:val="006F3BFD"/>
    <w:rsid w:val="006F6A85"/>
    <w:rsid w:val="0070328D"/>
    <w:rsid w:val="00706DE6"/>
    <w:rsid w:val="00731F96"/>
    <w:rsid w:val="007321DF"/>
    <w:rsid w:val="00734127"/>
    <w:rsid w:val="00735FEA"/>
    <w:rsid w:val="00743460"/>
    <w:rsid w:val="00743A27"/>
    <w:rsid w:val="007448F7"/>
    <w:rsid w:val="00752A45"/>
    <w:rsid w:val="00753DC6"/>
    <w:rsid w:val="0075578C"/>
    <w:rsid w:val="00757E9E"/>
    <w:rsid w:val="00766DFB"/>
    <w:rsid w:val="007734B5"/>
    <w:rsid w:val="007809B8"/>
    <w:rsid w:val="007813A6"/>
    <w:rsid w:val="007B0D87"/>
    <w:rsid w:val="007B60A2"/>
    <w:rsid w:val="007C5F41"/>
    <w:rsid w:val="007D1EB6"/>
    <w:rsid w:val="00805FD7"/>
    <w:rsid w:val="00806E54"/>
    <w:rsid w:val="00820181"/>
    <w:rsid w:val="008206EE"/>
    <w:rsid w:val="008214B1"/>
    <w:rsid w:val="00824FFD"/>
    <w:rsid w:val="008273A9"/>
    <w:rsid w:val="00836ED7"/>
    <w:rsid w:val="0084355E"/>
    <w:rsid w:val="008453AC"/>
    <w:rsid w:val="00860D09"/>
    <w:rsid w:val="00862044"/>
    <w:rsid w:val="00870147"/>
    <w:rsid w:val="00880BF7"/>
    <w:rsid w:val="0089269F"/>
    <w:rsid w:val="008A2133"/>
    <w:rsid w:val="008A3857"/>
    <w:rsid w:val="008B2205"/>
    <w:rsid w:val="008B5D74"/>
    <w:rsid w:val="008C08EF"/>
    <w:rsid w:val="008C305F"/>
    <w:rsid w:val="008C3AD2"/>
    <w:rsid w:val="008C7C3D"/>
    <w:rsid w:val="008D106A"/>
    <w:rsid w:val="008D1E89"/>
    <w:rsid w:val="008D6F66"/>
    <w:rsid w:val="008E1BEA"/>
    <w:rsid w:val="008E242D"/>
    <w:rsid w:val="008E43D2"/>
    <w:rsid w:val="008E5248"/>
    <w:rsid w:val="008F04C9"/>
    <w:rsid w:val="008F6EB4"/>
    <w:rsid w:val="008F7C50"/>
    <w:rsid w:val="008F7DB7"/>
    <w:rsid w:val="00902ABA"/>
    <w:rsid w:val="009064D3"/>
    <w:rsid w:val="00915300"/>
    <w:rsid w:val="00923C79"/>
    <w:rsid w:val="00932825"/>
    <w:rsid w:val="00933B0C"/>
    <w:rsid w:val="00935676"/>
    <w:rsid w:val="00957F7E"/>
    <w:rsid w:val="009671CF"/>
    <w:rsid w:val="0098401D"/>
    <w:rsid w:val="009A379A"/>
    <w:rsid w:val="009A789F"/>
    <w:rsid w:val="009B12EF"/>
    <w:rsid w:val="009B48F7"/>
    <w:rsid w:val="009B6185"/>
    <w:rsid w:val="009C6C6D"/>
    <w:rsid w:val="009D4EFF"/>
    <w:rsid w:val="009E1E78"/>
    <w:rsid w:val="00A0029F"/>
    <w:rsid w:val="00A1597D"/>
    <w:rsid w:val="00A17AAA"/>
    <w:rsid w:val="00A46989"/>
    <w:rsid w:val="00A469AA"/>
    <w:rsid w:val="00A65F2C"/>
    <w:rsid w:val="00A71CE9"/>
    <w:rsid w:val="00A72A19"/>
    <w:rsid w:val="00A75A30"/>
    <w:rsid w:val="00A9187D"/>
    <w:rsid w:val="00A93C82"/>
    <w:rsid w:val="00AA725D"/>
    <w:rsid w:val="00AB2099"/>
    <w:rsid w:val="00AB2A48"/>
    <w:rsid w:val="00AC3236"/>
    <w:rsid w:val="00AD4874"/>
    <w:rsid w:val="00AD794F"/>
    <w:rsid w:val="00AE1F8A"/>
    <w:rsid w:val="00B036B2"/>
    <w:rsid w:val="00B04D19"/>
    <w:rsid w:val="00B12238"/>
    <w:rsid w:val="00B153C3"/>
    <w:rsid w:val="00B16383"/>
    <w:rsid w:val="00B218A4"/>
    <w:rsid w:val="00B22087"/>
    <w:rsid w:val="00B323DE"/>
    <w:rsid w:val="00B722F2"/>
    <w:rsid w:val="00B80355"/>
    <w:rsid w:val="00B90958"/>
    <w:rsid w:val="00B95339"/>
    <w:rsid w:val="00BA0B81"/>
    <w:rsid w:val="00BA311E"/>
    <w:rsid w:val="00BA612E"/>
    <w:rsid w:val="00BB2C0C"/>
    <w:rsid w:val="00BB334E"/>
    <w:rsid w:val="00BB5DCF"/>
    <w:rsid w:val="00BC2476"/>
    <w:rsid w:val="00BF59EA"/>
    <w:rsid w:val="00BF79CD"/>
    <w:rsid w:val="00C00579"/>
    <w:rsid w:val="00C058AB"/>
    <w:rsid w:val="00C0721B"/>
    <w:rsid w:val="00C13E18"/>
    <w:rsid w:val="00C20F72"/>
    <w:rsid w:val="00C34208"/>
    <w:rsid w:val="00C34C8C"/>
    <w:rsid w:val="00C44C7D"/>
    <w:rsid w:val="00C50792"/>
    <w:rsid w:val="00C51371"/>
    <w:rsid w:val="00C55A45"/>
    <w:rsid w:val="00C670DE"/>
    <w:rsid w:val="00C83BE5"/>
    <w:rsid w:val="00C84425"/>
    <w:rsid w:val="00C904D9"/>
    <w:rsid w:val="00C94C06"/>
    <w:rsid w:val="00CA48BF"/>
    <w:rsid w:val="00CA78BB"/>
    <w:rsid w:val="00CB3ACC"/>
    <w:rsid w:val="00CB4745"/>
    <w:rsid w:val="00CD2163"/>
    <w:rsid w:val="00CD225D"/>
    <w:rsid w:val="00CD4FE7"/>
    <w:rsid w:val="00CD5E6B"/>
    <w:rsid w:val="00CE3915"/>
    <w:rsid w:val="00CE4FBC"/>
    <w:rsid w:val="00CE5D96"/>
    <w:rsid w:val="00CE7344"/>
    <w:rsid w:val="00CF26EE"/>
    <w:rsid w:val="00D310F0"/>
    <w:rsid w:val="00D37AC2"/>
    <w:rsid w:val="00D42BE3"/>
    <w:rsid w:val="00D43542"/>
    <w:rsid w:val="00D500A9"/>
    <w:rsid w:val="00D5293D"/>
    <w:rsid w:val="00D54730"/>
    <w:rsid w:val="00D61180"/>
    <w:rsid w:val="00D64121"/>
    <w:rsid w:val="00D67119"/>
    <w:rsid w:val="00D732FE"/>
    <w:rsid w:val="00D74E25"/>
    <w:rsid w:val="00D772E9"/>
    <w:rsid w:val="00D82E10"/>
    <w:rsid w:val="00D969AE"/>
    <w:rsid w:val="00DA31AB"/>
    <w:rsid w:val="00DA3281"/>
    <w:rsid w:val="00DA6D3E"/>
    <w:rsid w:val="00DB422F"/>
    <w:rsid w:val="00DC02E8"/>
    <w:rsid w:val="00DC75C7"/>
    <w:rsid w:val="00DC78D3"/>
    <w:rsid w:val="00DD1077"/>
    <w:rsid w:val="00DD1D68"/>
    <w:rsid w:val="00DE617C"/>
    <w:rsid w:val="00DF00FE"/>
    <w:rsid w:val="00DF4592"/>
    <w:rsid w:val="00E15FDC"/>
    <w:rsid w:val="00E2651B"/>
    <w:rsid w:val="00E30DDB"/>
    <w:rsid w:val="00E551F6"/>
    <w:rsid w:val="00E6237B"/>
    <w:rsid w:val="00E6632E"/>
    <w:rsid w:val="00E90CF2"/>
    <w:rsid w:val="00EA635A"/>
    <w:rsid w:val="00EC38C1"/>
    <w:rsid w:val="00EC38CE"/>
    <w:rsid w:val="00EC628B"/>
    <w:rsid w:val="00ED0F61"/>
    <w:rsid w:val="00EE3F6D"/>
    <w:rsid w:val="00EE73E1"/>
    <w:rsid w:val="00F0677B"/>
    <w:rsid w:val="00F12107"/>
    <w:rsid w:val="00F13165"/>
    <w:rsid w:val="00F4234E"/>
    <w:rsid w:val="00F53200"/>
    <w:rsid w:val="00F61429"/>
    <w:rsid w:val="00F7477E"/>
    <w:rsid w:val="00F84AC7"/>
    <w:rsid w:val="00F85393"/>
    <w:rsid w:val="00F87BEF"/>
    <w:rsid w:val="00F93802"/>
    <w:rsid w:val="00FA4A24"/>
    <w:rsid w:val="00FA544A"/>
    <w:rsid w:val="00FC098C"/>
    <w:rsid w:val="00FC41B4"/>
    <w:rsid w:val="00FC5A6B"/>
    <w:rsid w:val="00FD06C0"/>
    <w:rsid w:val="00FD4728"/>
    <w:rsid w:val="00FD741A"/>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Body Text"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tabs>
        <w:tab w:val="clear" w:pos="284"/>
        <w:tab w:val="num" w:pos="360"/>
      </w:tabs>
      <w:spacing w:before="100" w:line="260" w:lineRule="atLeast"/>
      <w:ind w:left="0" w:firstLine="0"/>
    </w:pPr>
    <w:rPr>
      <w:rFonts w:ascii="Arial" w:hAnsi="Arial"/>
      <w:sz w:val="20"/>
    </w:rPr>
  </w:style>
  <w:style w:type="paragraph" w:customStyle="1" w:styleId="BoxListBullet2">
    <w:name w:val="Box List Bullet 2"/>
    <w:basedOn w:val="BoxListBullet"/>
    <w:rsid w:val="0010611E"/>
    <w:pPr>
      <w:numPr>
        <w:numId w:val="33"/>
      </w:numPr>
      <w:tabs>
        <w:tab w:val="clear" w:pos="567"/>
        <w:tab w:val="num" w:pos="360"/>
      </w:tabs>
      <w:ind w:left="0" w:firstLine="0"/>
    </w:pPr>
  </w:style>
  <w:style w:type="paragraph" w:customStyle="1" w:styleId="BoxListNumber">
    <w:name w:val="Box List Number"/>
    <w:basedOn w:val="BodyText"/>
    <w:rsid w:val="0010611E"/>
    <w:pPr>
      <w:keepNext/>
      <w:numPr>
        <w:numId w:val="37"/>
      </w:numPr>
      <w:tabs>
        <w:tab w:val="clear" w:pos="284"/>
        <w:tab w:val="num" w:pos="360"/>
      </w:tabs>
      <w:spacing w:before="100" w:line="260" w:lineRule="atLeast"/>
      <w:ind w:left="0" w:firstLine="0"/>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tabs>
        <w:tab w:val="clear" w:pos="340"/>
        <w:tab w:val="num" w:pos="360"/>
      </w:tabs>
      <w:spacing w:before="120"/>
      <w:ind w:left="0" w:firstLine="0"/>
    </w:pPr>
  </w:style>
  <w:style w:type="paragraph" w:styleId="ListNumber2">
    <w:name w:val="List Number 2"/>
    <w:basedOn w:val="ListNumber"/>
    <w:rsid w:val="0010611E"/>
    <w:pPr>
      <w:numPr>
        <w:ilvl w:val="1"/>
      </w:numPr>
      <w:tabs>
        <w:tab w:val="clear" w:pos="794"/>
        <w:tab w:val="num" w:pos="360"/>
      </w:tabs>
      <w:ind w:left="0" w:firstLine="0"/>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EC38CE"/>
    <w:pPr>
      <w:tabs>
        <w:tab w:val="left" w:pos="1418"/>
      </w:tabs>
      <w:ind w:left="1418" w:hanging="908"/>
    </w:pPr>
    <w:rPr>
      <w:b w:val="0"/>
      <w:noProof/>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uiPriority w:val="39"/>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character" w:customStyle="1" w:styleId="Heading1Char">
    <w:name w:val="Heading 1 Char"/>
    <w:basedOn w:val="DefaultParagraphFont"/>
    <w:link w:val="Heading1"/>
    <w:rsid w:val="00D42BE3"/>
    <w:rPr>
      <w:kern w:val="28"/>
      <w:sz w:val="5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Body Text"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tabs>
        <w:tab w:val="clear" w:pos="284"/>
        <w:tab w:val="num" w:pos="360"/>
      </w:tabs>
      <w:spacing w:before="100" w:line="260" w:lineRule="atLeast"/>
      <w:ind w:left="0" w:firstLine="0"/>
    </w:pPr>
    <w:rPr>
      <w:rFonts w:ascii="Arial" w:hAnsi="Arial"/>
      <w:sz w:val="20"/>
    </w:rPr>
  </w:style>
  <w:style w:type="paragraph" w:customStyle="1" w:styleId="BoxListBullet2">
    <w:name w:val="Box List Bullet 2"/>
    <w:basedOn w:val="BoxListBullet"/>
    <w:rsid w:val="0010611E"/>
    <w:pPr>
      <w:numPr>
        <w:numId w:val="33"/>
      </w:numPr>
      <w:tabs>
        <w:tab w:val="clear" w:pos="567"/>
        <w:tab w:val="num" w:pos="360"/>
      </w:tabs>
      <w:ind w:left="0" w:firstLine="0"/>
    </w:pPr>
  </w:style>
  <w:style w:type="paragraph" w:customStyle="1" w:styleId="BoxListNumber">
    <w:name w:val="Box List Number"/>
    <w:basedOn w:val="BodyText"/>
    <w:rsid w:val="0010611E"/>
    <w:pPr>
      <w:keepNext/>
      <w:numPr>
        <w:numId w:val="37"/>
      </w:numPr>
      <w:tabs>
        <w:tab w:val="clear" w:pos="284"/>
        <w:tab w:val="num" w:pos="360"/>
      </w:tabs>
      <w:spacing w:before="100" w:line="260" w:lineRule="atLeast"/>
      <w:ind w:left="0" w:firstLine="0"/>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tabs>
        <w:tab w:val="clear" w:pos="340"/>
        <w:tab w:val="num" w:pos="360"/>
      </w:tabs>
      <w:spacing w:before="120"/>
      <w:ind w:left="0" w:firstLine="0"/>
    </w:pPr>
  </w:style>
  <w:style w:type="paragraph" w:styleId="ListNumber2">
    <w:name w:val="List Number 2"/>
    <w:basedOn w:val="ListNumber"/>
    <w:rsid w:val="0010611E"/>
    <w:pPr>
      <w:numPr>
        <w:ilvl w:val="1"/>
      </w:numPr>
      <w:tabs>
        <w:tab w:val="clear" w:pos="794"/>
        <w:tab w:val="num" w:pos="360"/>
      </w:tabs>
      <w:ind w:left="0" w:firstLine="0"/>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EC38CE"/>
    <w:pPr>
      <w:tabs>
        <w:tab w:val="left" w:pos="1418"/>
      </w:tabs>
      <w:ind w:left="1418" w:hanging="908"/>
    </w:pPr>
    <w:rPr>
      <w:b w:val="0"/>
      <w:noProof/>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uiPriority w:val="39"/>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character" w:customStyle="1" w:styleId="Heading1Char">
    <w:name w:val="Heading 1 Char"/>
    <w:basedOn w:val="DefaultParagraphFont"/>
    <w:link w:val="Heading1"/>
    <w:rsid w:val="00D42BE3"/>
    <w:rPr>
      <w:kern w:val="28"/>
      <w:sz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 w:id="73951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prelims.dotm" TargetMode="External"/></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C8C8C8"/>
      </a:lt2>
      <a:accent1>
        <a:srgbClr val="78A22F"/>
      </a:accent1>
      <a:accent2>
        <a:srgbClr val="265A9A"/>
      </a:accent2>
      <a:accent3>
        <a:srgbClr val="B2D673"/>
      </a:accent3>
      <a:accent4>
        <a:srgbClr val="000000"/>
      </a:accent4>
      <a:accent5>
        <a:srgbClr val="F2F2F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DD2FFBFB-DB25-4C1C-B785-EACD62DA1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prelims.dotm</Template>
  <TotalTime>1524</TotalTime>
  <Pages>7</Pages>
  <Words>1182</Words>
  <Characters>6816</Characters>
  <Application>Microsoft Office Word</Application>
  <DocSecurity>0</DocSecurity>
  <Lines>184</Lines>
  <Paragraphs>166</Paragraphs>
  <ScaleCrop>false</ScaleCrop>
  <HeadingPairs>
    <vt:vector size="2" baseType="variant">
      <vt:variant>
        <vt:lpstr>Title</vt:lpstr>
      </vt:variant>
      <vt:variant>
        <vt:i4>1</vt:i4>
      </vt:variant>
    </vt:vector>
  </HeadingPairs>
  <TitlesOfParts>
    <vt:vector size="1" baseType="lpstr">
      <vt:lpstr>VUMR Modelling Reference Case — 2059-60 to 2009-10 - Preliminaries</vt:lpstr>
    </vt:vector>
  </TitlesOfParts>
  <Company>Productivity Commission</Company>
  <LinksUpToDate>false</LinksUpToDate>
  <CharactersWithSpaces>7832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VUMR Modelling Reference Case — 2059-60 to 2009-10 - Preliminaries</dc:title>
  <dc:creator>Productivity Commission</dc:creator>
  <cp:lastModifiedBy>Michelle Cross</cp:lastModifiedBy>
  <cp:revision>78</cp:revision>
  <cp:lastPrinted>2016-11-01T04:44:00Z</cp:lastPrinted>
  <dcterms:created xsi:type="dcterms:W3CDTF">2016-09-28T04:37:00Z</dcterms:created>
  <dcterms:modified xsi:type="dcterms:W3CDTF">2016-11-23T03:16:00Z</dcterms:modified>
</cp:coreProperties>
</file>